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BD4BC0" w14:textId="4E872EC5" w:rsidR="003F3E84" w:rsidRDefault="00842ED0" w:rsidP="00431183">
      <w:pPr>
        <w:spacing w:after="0" w:line="360" w:lineRule="auto"/>
        <w:jc w:val="center"/>
        <w:rPr>
          <w:rFonts w:ascii="Arial" w:eastAsia="Times New Roman" w:hAnsi="Arial" w:cs="Arial"/>
          <w:b/>
          <w:bCs/>
          <w:color w:val="000000"/>
          <w:sz w:val="28"/>
          <w:szCs w:val="28"/>
          <w:lang w:eastAsia="es-CR"/>
        </w:rPr>
      </w:pPr>
      <w:r>
        <w:rPr>
          <w:rFonts w:ascii="Arial" w:eastAsia="Times New Roman" w:hAnsi="Arial" w:cs="Arial"/>
          <w:b/>
          <w:bCs/>
          <w:noProof/>
          <w:color w:val="000000"/>
          <w:sz w:val="28"/>
          <w:szCs w:val="28"/>
          <w:lang w:eastAsia="es-CR"/>
        </w:rPr>
        <w:drawing>
          <wp:anchor distT="0" distB="0" distL="114300" distR="114300" simplePos="0" relativeHeight="251668480" behindDoc="1" locked="0" layoutInCell="1" allowOverlap="1" wp14:anchorId="7B85D0BB" wp14:editId="1CAAFF26">
            <wp:simplePos x="0" y="0"/>
            <wp:positionH relativeFrom="column">
              <wp:posOffset>-707602</wp:posOffset>
            </wp:positionH>
            <wp:positionV relativeFrom="paragraph">
              <wp:posOffset>-654261</wp:posOffset>
            </wp:positionV>
            <wp:extent cx="2488868" cy="2108200"/>
            <wp:effectExtent l="0" t="0" r="6985" b="6350"/>
            <wp:wrapNone/>
            <wp:docPr id="8" name="Imagen 8"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Logotipo, nombre de la empresa&#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2512632" cy="2128329"/>
                    </a:xfrm>
                    <a:prstGeom prst="rect">
                      <a:avLst/>
                    </a:prstGeom>
                  </pic:spPr>
                </pic:pic>
              </a:graphicData>
            </a:graphic>
            <wp14:sizeRelH relativeFrom="page">
              <wp14:pctWidth>0</wp14:pctWidth>
            </wp14:sizeRelH>
            <wp14:sizeRelV relativeFrom="page">
              <wp14:pctHeight>0</wp14:pctHeight>
            </wp14:sizeRelV>
          </wp:anchor>
        </w:drawing>
      </w:r>
      <w:r w:rsidR="003F3E84" w:rsidRPr="00277415">
        <w:rPr>
          <w:rFonts w:ascii="Times New Roman" w:eastAsia="Calibri" w:hAnsi="Times New Roman" w:cs="Times New Roman"/>
          <w:b/>
          <w:noProof/>
          <w:sz w:val="24"/>
          <w:szCs w:val="24"/>
          <w:lang w:eastAsia="es-CR"/>
        </w:rPr>
        <w:drawing>
          <wp:anchor distT="0" distB="0" distL="114300" distR="114300" simplePos="0" relativeHeight="251665408" behindDoc="1" locked="0" layoutInCell="1" allowOverlap="1" wp14:anchorId="01EAEE82" wp14:editId="2E146470">
            <wp:simplePos x="0" y="0"/>
            <wp:positionH relativeFrom="column">
              <wp:posOffset>4301490</wp:posOffset>
            </wp:positionH>
            <wp:positionV relativeFrom="paragraph">
              <wp:posOffset>-494030</wp:posOffset>
            </wp:positionV>
            <wp:extent cx="2114550" cy="1895475"/>
            <wp:effectExtent l="0" t="0" r="0" b="0"/>
            <wp:wrapNone/>
            <wp:docPr id="2" name="Imagen 2" descr="C:\Users\German\Desktop\1018_gr_U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rman\Desktop\1018_gr_UNA.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14550" cy="1895475"/>
                    </a:xfrm>
                    <a:prstGeom prst="rect">
                      <a:avLst/>
                    </a:prstGeom>
                    <a:noFill/>
                    <a:ln>
                      <a:noFill/>
                    </a:ln>
                  </pic:spPr>
                </pic:pic>
              </a:graphicData>
            </a:graphic>
          </wp:anchor>
        </w:drawing>
      </w:r>
      <w:bookmarkStart w:id="0" w:name="_Hlk527529918"/>
      <w:bookmarkEnd w:id="0"/>
    </w:p>
    <w:p w14:paraId="3E0FC2A4" w14:textId="77777777" w:rsidR="003F3E84" w:rsidRDefault="003F3E84" w:rsidP="00431183">
      <w:pPr>
        <w:spacing w:after="0" w:line="360" w:lineRule="auto"/>
        <w:jc w:val="center"/>
        <w:rPr>
          <w:rFonts w:ascii="Arial" w:eastAsia="Times New Roman" w:hAnsi="Arial" w:cs="Arial"/>
          <w:b/>
          <w:bCs/>
          <w:color w:val="000000"/>
          <w:sz w:val="28"/>
          <w:szCs w:val="28"/>
          <w:lang w:eastAsia="es-CR"/>
        </w:rPr>
      </w:pPr>
    </w:p>
    <w:p w14:paraId="7DAAE8C3" w14:textId="77777777" w:rsidR="003F3E84" w:rsidRDefault="003F3E84" w:rsidP="00431183">
      <w:pPr>
        <w:spacing w:after="0" w:line="360" w:lineRule="auto"/>
        <w:jc w:val="center"/>
        <w:rPr>
          <w:rFonts w:ascii="Arial" w:eastAsia="Times New Roman" w:hAnsi="Arial" w:cs="Arial"/>
          <w:b/>
          <w:bCs/>
          <w:color w:val="000000"/>
          <w:sz w:val="28"/>
          <w:szCs w:val="28"/>
          <w:lang w:eastAsia="es-CR"/>
        </w:rPr>
      </w:pPr>
    </w:p>
    <w:p w14:paraId="20B08338" w14:textId="77777777" w:rsidR="003F3E84" w:rsidRDefault="003F3E84" w:rsidP="00431183">
      <w:pPr>
        <w:spacing w:after="0" w:line="360" w:lineRule="auto"/>
        <w:jc w:val="center"/>
        <w:rPr>
          <w:rFonts w:ascii="Arial" w:eastAsia="Times New Roman" w:hAnsi="Arial" w:cs="Arial"/>
          <w:b/>
          <w:bCs/>
          <w:color w:val="000000"/>
          <w:sz w:val="28"/>
          <w:szCs w:val="28"/>
          <w:lang w:eastAsia="es-CR"/>
        </w:rPr>
      </w:pPr>
    </w:p>
    <w:p w14:paraId="2EA6B0EB" w14:textId="77777777" w:rsidR="003F3E84" w:rsidRDefault="003F3E84" w:rsidP="00431183">
      <w:pPr>
        <w:spacing w:after="0" w:line="360" w:lineRule="auto"/>
        <w:jc w:val="center"/>
        <w:rPr>
          <w:rFonts w:ascii="Arial" w:eastAsia="Times New Roman" w:hAnsi="Arial" w:cs="Arial"/>
          <w:b/>
          <w:bCs/>
          <w:color w:val="000000"/>
          <w:sz w:val="28"/>
          <w:szCs w:val="28"/>
          <w:lang w:eastAsia="es-CR"/>
        </w:rPr>
      </w:pPr>
    </w:p>
    <w:p w14:paraId="4BDDFC57" w14:textId="51CD12FF" w:rsidR="00431183" w:rsidRPr="00AE07A1" w:rsidRDefault="00431183" w:rsidP="00431183">
      <w:pPr>
        <w:spacing w:after="0" w:line="360" w:lineRule="auto"/>
        <w:jc w:val="center"/>
        <w:rPr>
          <w:rFonts w:ascii="Arial" w:eastAsia="Times New Roman" w:hAnsi="Arial" w:cs="Arial"/>
          <w:b/>
          <w:bCs/>
          <w:color w:val="000000"/>
          <w:sz w:val="28"/>
          <w:szCs w:val="28"/>
          <w:lang w:eastAsia="es-CR"/>
        </w:rPr>
      </w:pPr>
      <w:r w:rsidRPr="00AE07A1">
        <w:rPr>
          <w:rFonts w:ascii="Arial" w:eastAsia="Times New Roman" w:hAnsi="Arial" w:cs="Arial"/>
          <w:b/>
          <w:bCs/>
          <w:color w:val="000000"/>
          <w:sz w:val="28"/>
          <w:szCs w:val="28"/>
          <w:lang w:eastAsia="es-CR"/>
        </w:rPr>
        <w:t>UNIVERSIDAD NACIONAL</w:t>
      </w:r>
    </w:p>
    <w:p w14:paraId="1E266EB3" w14:textId="77777777" w:rsidR="00431183" w:rsidRPr="00AE07A1" w:rsidRDefault="00431183" w:rsidP="00431183">
      <w:pPr>
        <w:spacing w:after="0" w:line="360" w:lineRule="auto"/>
        <w:jc w:val="center"/>
        <w:rPr>
          <w:rFonts w:ascii="Arial" w:eastAsia="Times New Roman" w:hAnsi="Arial" w:cs="Arial"/>
          <w:b/>
          <w:bCs/>
          <w:color w:val="000000"/>
          <w:sz w:val="28"/>
          <w:szCs w:val="28"/>
          <w:lang w:eastAsia="es-CR"/>
        </w:rPr>
      </w:pPr>
      <w:r w:rsidRPr="00AE07A1">
        <w:rPr>
          <w:rFonts w:ascii="Arial" w:eastAsia="Times New Roman" w:hAnsi="Arial" w:cs="Arial"/>
          <w:b/>
          <w:bCs/>
          <w:color w:val="000000"/>
          <w:sz w:val="28"/>
          <w:szCs w:val="28"/>
          <w:lang w:eastAsia="es-CR"/>
        </w:rPr>
        <w:t>FA</w:t>
      </w:r>
      <w:bookmarkStart w:id="1" w:name="_Hlk512949552"/>
      <w:bookmarkEnd w:id="1"/>
      <w:r w:rsidRPr="00AE07A1">
        <w:rPr>
          <w:rFonts w:ascii="Arial" w:eastAsia="Times New Roman" w:hAnsi="Arial" w:cs="Arial"/>
          <w:b/>
          <w:bCs/>
          <w:color w:val="000000"/>
          <w:sz w:val="28"/>
          <w:szCs w:val="28"/>
          <w:lang w:eastAsia="es-CR"/>
        </w:rPr>
        <w:t>CULTAD DE CIENCIAS SOCIALES</w:t>
      </w:r>
    </w:p>
    <w:p w14:paraId="43717B61" w14:textId="77777777" w:rsidR="00431183" w:rsidRPr="00AE07A1" w:rsidRDefault="00431183" w:rsidP="00431183">
      <w:pPr>
        <w:spacing w:after="0" w:line="360" w:lineRule="auto"/>
        <w:jc w:val="center"/>
        <w:rPr>
          <w:rFonts w:ascii="Arial" w:eastAsia="Times New Roman" w:hAnsi="Arial" w:cs="Arial"/>
          <w:b/>
          <w:bCs/>
          <w:color w:val="000000"/>
          <w:sz w:val="28"/>
          <w:szCs w:val="28"/>
          <w:lang w:eastAsia="es-CR"/>
        </w:rPr>
      </w:pPr>
      <w:r w:rsidRPr="00AE07A1">
        <w:rPr>
          <w:rFonts w:ascii="Arial" w:eastAsia="Times New Roman" w:hAnsi="Arial" w:cs="Arial"/>
          <w:b/>
          <w:bCs/>
          <w:color w:val="000000"/>
          <w:sz w:val="28"/>
          <w:szCs w:val="28"/>
          <w:lang w:eastAsia="es-CR"/>
        </w:rPr>
        <w:t>ESCUELA DE ECONOMÍA</w:t>
      </w:r>
    </w:p>
    <w:p w14:paraId="73971479" w14:textId="77777777" w:rsidR="00431183" w:rsidRPr="00277415" w:rsidRDefault="00431183" w:rsidP="00431183">
      <w:pPr>
        <w:spacing w:after="0" w:line="360" w:lineRule="auto"/>
        <w:jc w:val="both"/>
        <w:rPr>
          <w:rFonts w:ascii="Times New Roman" w:eastAsia="Times New Roman" w:hAnsi="Times New Roman" w:cs="Times New Roman"/>
          <w:b/>
          <w:bCs/>
          <w:color w:val="000000"/>
          <w:sz w:val="24"/>
          <w:szCs w:val="24"/>
          <w:lang w:eastAsia="es-CR"/>
        </w:rPr>
      </w:pPr>
    </w:p>
    <w:p w14:paraId="05F956CE" w14:textId="77777777" w:rsidR="003F3E84" w:rsidRDefault="003F3E84" w:rsidP="00431183">
      <w:pPr>
        <w:spacing w:after="0" w:line="360" w:lineRule="auto"/>
        <w:jc w:val="center"/>
        <w:rPr>
          <w:rFonts w:ascii="Times New Roman" w:eastAsia="Times New Roman" w:hAnsi="Times New Roman" w:cs="Times New Roman"/>
          <w:b/>
          <w:bCs/>
          <w:color w:val="000000"/>
          <w:sz w:val="24"/>
          <w:szCs w:val="24"/>
          <w:lang w:eastAsia="es-CR"/>
        </w:rPr>
      </w:pPr>
    </w:p>
    <w:p w14:paraId="4983BF3A" w14:textId="77777777" w:rsidR="00431183" w:rsidRPr="00277415" w:rsidRDefault="00431183" w:rsidP="00431183">
      <w:pPr>
        <w:spacing w:after="0" w:line="360" w:lineRule="auto"/>
        <w:jc w:val="center"/>
        <w:rPr>
          <w:rFonts w:ascii="Times New Roman" w:eastAsia="Times New Roman" w:hAnsi="Times New Roman" w:cs="Times New Roman"/>
          <w:b/>
          <w:bCs/>
          <w:color w:val="000000"/>
          <w:sz w:val="24"/>
          <w:szCs w:val="24"/>
          <w:lang w:eastAsia="es-CR"/>
        </w:rPr>
      </w:pPr>
    </w:p>
    <w:p w14:paraId="5E4BFC38" w14:textId="7642E011" w:rsidR="00431183" w:rsidRDefault="00431183" w:rsidP="00431183">
      <w:pPr>
        <w:jc w:val="center"/>
        <w:rPr>
          <w:rFonts w:ascii="Arial" w:hAnsi="Arial" w:cs="Arial"/>
          <w:sz w:val="28"/>
          <w:szCs w:val="28"/>
        </w:rPr>
      </w:pPr>
      <w:r w:rsidRPr="00677CFB">
        <w:rPr>
          <w:rFonts w:ascii="Arial" w:hAnsi="Arial" w:cs="Arial"/>
          <w:sz w:val="28"/>
          <w:szCs w:val="28"/>
        </w:rPr>
        <w:t>“</w:t>
      </w:r>
      <w:r w:rsidR="008823E9">
        <w:rPr>
          <w:rFonts w:ascii="Arial" w:hAnsi="Arial" w:cs="Arial"/>
          <w:sz w:val="28"/>
          <w:szCs w:val="28"/>
        </w:rPr>
        <w:t>Propuesta de medición de las c</w:t>
      </w:r>
      <w:r w:rsidRPr="00677CFB">
        <w:rPr>
          <w:rFonts w:ascii="Arial" w:hAnsi="Arial" w:cs="Arial"/>
          <w:sz w:val="28"/>
          <w:szCs w:val="28"/>
        </w:rPr>
        <w:t xml:space="preserve">ontribuciones de la Banca para el Desarrollo hacia la consolidación de la Denominación de Origen del café </w:t>
      </w:r>
      <w:r>
        <w:rPr>
          <w:rFonts w:ascii="Arial" w:hAnsi="Arial" w:cs="Arial"/>
          <w:sz w:val="28"/>
          <w:szCs w:val="28"/>
        </w:rPr>
        <w:t>Tarrazú</w:t>
      </w:r>
      <w:r w:rsidRPr="00677CFB">
        <w:rPr>
          <w:rFonts w:ascii="Arial" w:hAnsi="Arial" w:cs="Arial"/>
          <w:sz w:val="28"/>
          <w:szCs w:val="28"/>
        </w:rPr>
        <w:t>”.</w:t>
      </w:r>
    </w:p>
    <w:p w14:paraId="2417DC9E" w14:textId="77777777" w:rsidR="00431183" w:rsidRPr="00AE07A1" w:rsidRDefault="00431183" w:rsidP="00431183">
      <w:pPr>
        <w:spacing w:after="0" w:line="360" w:lineRule="auto"/>
        <w:jc w:val="center"/>
        <w:rPr>
          <w:rFonts w:ascii="Arial" w:eastAsia="Times New Roman" w:hAnsi="Arial" w:cs="Arial"/>
          <w:b/>
          <w:bCs/>
          <w:color w:val="000000"/>
          <w:sz w:val="28"/>
          <w:szCs w:val="28"/>
          <w:lang w:eastAsia="es-CR"/>
        </w:rPr>
      </w:pPr>
    </w:p>
    <w:p w14:paraId="42775EEF" w14:textId="77777777" w:rsidR="003F3E84" w:rsidRPr="003F3E84" w:rsidRDefault="003F3E84" w:rsidP="003F3E84">
      <w:pPr>
        <w:spacing w:after="200" w:line="276" w:lineRule="auto"/>
        <w:jc w:val="center"/>
        <w:rPr>
          <w:rFonts w:ascii="Cambria" w:hAnsi="Cambria" w:cs="Times New Roman"/>
          <w:b/>
        </w:rPr>
      </w:pPr>
      <w:r w:rsidRPr="003F3E84">
        <w:rPr>
          <w:rFonts w:ascii="Cambria" w:hAnsi="Cambria" w:cs="Times New Roman"/>
          <w:b/>
        </w:rPr>
        <w:t>Trabajo Final de Graduación sometido a consideración del Tribunal Examinador para optar por el grado de Licenciatura en Economía.</w:t>
      </w:r>
    </w:p>
    <w:p w14:paraId="7881BFE0" w14:textId="77777777" w:rsidR="00431183" w:rsidRPr="00AE07A1" w:rsidRDefault="00431183" w:rsidP="00431183">
      <w:pPr>
        <w:spacing w:after="0" w:line="360" w:lineRule="auto"/>
        <w:jc w:val="center"/>
        <w:rPr>
          <w:rFonts w:ascii="Arial" w:eastAsia="Times New Roman" w:hAnsi="Arial" w:cs="Arial"/>
          <w:b/>
          <w:bCs/>
          <w:color w:val="000000"/>
          <w:sz w:val="28"/>
          <w:szCs w:val="28"/>
          <w:lang w:eastAsia="es-CR"/>
        </w:rPr>
      </w:pPr>
    </w:p>
    <w:p w14:paraId="24AAF867" w14:textId="77777777" w:rsidR="00431183" w:rsidRPr="00AE07A1" w:rsidRDefault="00431183" w:rsidP="00431183">
      <w:pPr>
        <w:spacing w:after="0" w:line="360" w:lineRule="auto"/>
        <w:jc w:val="center"/>
        <w:rPr>
          <w:rFonts w:ascii="Arial" w:eastAsia="Times New Roman" w:hAnsi="Arial" w:cs="Arial"/>
          <w:b/>
          <w:bCs/>
          <w:color w:val="000000"/>
          <w:sz w:val="28"/>
          <w:szCs w:val="28"/>
          <w:lang w:eastAsia="es-CR"/>
        </w:rPr>
      </w:pPr>
      <w:r w:rsidRPr="00AE07A1">
        <w:rPr>
          <w:rFonts w:ascii="Arial" w:eastAsia="Times New Roman" w:hAnsi="Arial" w:cs="Arial"/>
          <w:b/>
          <w:bCs/>
          <w:color w:val="000000"/>
          <w:sz w:val="28"/>
          <w:szCs w:val="28"/>
          <w:lang w:eastAsia="es-CR"/>
        </w:rPr>
        <w:t xml:space="preserve"> </w:t>
      </w:r>
    </w:p>
    <w:p w14:paraId="4E083CFE" w14:textId="77777777" w:rsidR="003F3E84" w:rsidRDefault="003F3E84" w:rsidP="00431183">
      <w:pPr>
        <w:spacing w:after="0" w:line="360" w:lineRule="auto"/>
        <w:jc w:val="center"/>
        <w:rPr>
          <w:rFonts w:ascii="Arial" w:eastAsia="Times New Roman" w:hAnsi="Arial" w:cs="Arial"/>
          <w:b/>
          <w:bCs/>
          <w:color w:val="000000"/>
          <w:sz w:val="28"/>
          <w:szCs w:val="28"/>
          <w:lang w:eastAsia="es-CR"/>
        </w:rPr>
      </w:pPr>
      <w:r>
        <w:rPr>
          <w:rFonts w:ascii="Arial" w:eastAsia="Times New Roman" w:hAnsi="Arial" w:cs="Arial"/>
          <w:b/>
          <w:bCs/>
          <w:color w:val="000000"/>
          <w:sz w:val="28"/>
          <w:szCs w:val="28"/>
          <w:lang w:eastAsia="es-CR"/>
        </w:rPr>
        <w:t xml:space="preserve">Sustentantes: </w:t>
      </w:r>
    </w:p>
    <w:p w14:paraId="2D18B13E" w14:textId="77777777" w:rsidR="00431183" w:rsidRPr="00AE07A1" w:rsidRDefault="00431183" w:rsidP="00431183">
      <w:pPr>
        <w:spacing w:after="0" w:line="360" w:lineRule="auto"/>
        <w:jc w:val="center"/>
        <w:rPr>
          <w:rFonts w:ascii="Arial" w:eastAsia="Times New Roman" w:hAnsi="Arial" w:cs="Arial"/>
          <w:b/>
          <w:bCs/>
          <w:color w:val="000000"/>
          <w:sz w:val="28"/>
          <w:szCs w:val="28"/>
          <w:lang w:eastAsia="es-CR"/>
        </w:rPr>
      </w:pPr>
      <w:r w:rsidRPr="00AE07A1">
        <w:rPr>
          <w:rFonts w:ascii="Arial" w:eastAsia="Times New Roman" w:hAnsi="Arial" w:cs="Arial"/>
          <w:b/>
          <w:bCs/>
          <w:color w:val="000000"/>
          <w:sz w:val="28"/>
          <w:szCs w:val="28"/>
          <w:lang w:eastAsia="es-CR"/>
        </w:rPr>
        <w:t>German Andrés Brenes Cerdas</w:t>
      </w:r>
    </w:p>
    <w:p w14:paraId="2754709D" w14:textId="77777777" w:rsidR="00431183" w:rsidRPr="00AE07A1" w:rsidRDefault="00431183" w:rsidP="00431183">
      <w:pPr>
        <w:spacing w:after="0" w:line="360" w:lineRule="auto"/>
        <w:jc w:val="center"/>
        <w:rPr>
          <w:rFonts w:ascii="Arial" w:eastAsia="Times New Roman" w:hAnsi="Arial" w:cs="Arial"/>
          <w:b/>
          <w:bCs/>
          <w:color w:val="000000"/>
          <w:sz w:val="28"/>
          <w:szCs w:val="28"/>
          <w:lang w:eastAsia="es-CR"/>
        </w:rPr>
      </w:pPr>
      <w:r w:rsidRPr="00AE07A1">
        <w:rPr>
          <w:rFonts w:ascii="Arial" w:eastAsia="Times New Roman" w:hAnsi="Arial" w:cs="Arial"/>
          <w:b/>
          <w:bCs/>
          <w:color w:val="000000"/>
          <w:sz w:val="28"/>
          <w:szCs w:val="28"/>
          <w:lang w:eastAsia="es-CR"/>
        </w:rPr>
        <w:t>Osvaldo Andrey Mora Mora</w:t>
      </w:r>
    </w:p>
    <w:p w14:paraId="6D710FBF" w14:textId="77777777" w:rsidR="00431183" w:rsidRPr="00AE07A1" w:rsidRDefault="00431183" w:rsidP="00431183">
      <w:pPr>
        <w:spacing w:after="0" w:line="360" w:lineRule="auto"/>
        <w:jc w:val="center"/>
        <w:rPr>
          <w:rFonts w:ascii="Arial" w:eastAsia="Times New Roman" w:hAnsi="Arial" w:cs="Arial"/>
          <w:b/>
          <w:bCs/>
          <w:color w:val="000000"/>
          <w:sz w:val="28"/>
          <w:szCs w:val="28"/>
          <w:lang w:eastAsia="es-CR"/>
        </w:rPr>
      </w:pPr>
    </w:p>
    <w:p w14:paraId="257614FD" w14:textId="77777777" w:rsidR="00431183" w:rsidRPr="00AE07A1" w:rsidRDefault="00431183" w:rsidP="00431183">
      <w:pPr>
        <w:spacing w:after="0" w:line="360" w:lineRule="auto"/>
        <w:rPr>
          <w:rFonts w:ascii="Arial" w:eastAsia="Times New Roman" w:hAnsi="Arial" w:cs="Arial"/>
          <w:b/>
          <w:bCs/>
          <w:color w:val="000000"/>
          <w:sz w:val="28"/>
          <w:szCs w:val="28"/>
          <w:lang w:eastAsia="es-CR"/>
        </w:rPr>
      </w:pPr>
    </w:p>
    <w:p w14:paraId="3E0FF877" w14:textId="77777777" w:rsidR="00431183" w:rsidRDefault="003F3E84" w:rsidP="003F3E84">
      <w:pPr>
        <w:spacing w:after="0" w:line="360" w:lineRule="auto"/>
        <w:jc w:val="center"/>
        <w:rPr>
          <w:rFonts w:ascii="Arial" w:eastAsia="Times New Roman" w:hAnsi="Arial" w:cs="Arial"/>
          <w:b/>
          <w:bCs/>
          <w:color w:val="000000"/>
          <w:sz w:val="28"/>
          <w:szCs w:val="28"/>
          <w:lang w:eastAsia="es-CR"/>
        </w:rPr>
      </w:pPr>
      <w:r>
        <w:rPr>
          <w:rFonts w:ascii="Arial" w:eastAsia="Times New Roman" w:hAnsi="Arial" w:cs="Arial"/>
          <w:b/>
          <w:bCs/>
          <w:color w:val="000000"/>
          <w:sz w:val="28"/>
          <w:szCs w:val="28"/>
          <w:lang w:eastAsia="es-CR"/>
        </w:rPr>
        <w:t xml:space="preserve">Campus Omar Dengo, </w:t>
      </w:r>
      <w:r w:rsidR="00431183" w:rsidRPr="00AE07A1">
        <w:rPr>
          <w:rFonts w:ascii="Arial" w:eastAsia="Times New Roman" w:hAnsi="Arial" w:cs="Arial"/>
          <w:b/>
          <w:bCs/>
          <w:color w:val="000000"/>
          <w:sz w:val="28"/>
          <w:szCs w:val="28"/>
          <w:lang w:eastAsia="es-CR"/>
        </w:rPr>
        <w:t>Heredia, Costa Rica</w:t>
      </w:r>
    </w:p>
    <w:p w14:paraId="05BBBCCF" w14:textId="10154F69" w:rsidR="003F3E84" w:rsidRPr="00AE07A1" w:rsidRDefault="00842ED0" w:rsidP="003F3E84">
      <w:pPr>
        <w:spacing w:after="0" w:line="360" w:lineRule="auto"/>
        <w:jc w:val="center"/>
        <w:rPr>
          <w:rFonts w:ascii="Arial" w:eastAsia="Times New Roman" w:hAnsi="Arial" w:cs="Arial"/>
          <w:b/>
          <w:bCs/>
          <w:color w:val="000000"/>
          <w:sz w:val="28"/>
          <w:szCs w:val="28"/>
          <w:lang w:eastAsia="es-CR"/>
        </w:rPr>
      </w:pPr>
      <w:r>
        <w:rPr>
          <w:rFonts w:ascii="Arial" w:eastAsia="Times New Roman" w:hAnsi="Arial" w:cs="Arial"/>
          <w:b/>
          <w:bCs/>
          <w:color w:val="000000"/>
          <w:sz w:val="28"/>
          <w:szCs w:val="28"/>
          <w:lang w:eastAsia="es-CR"/>
        </w:rPr>
        <w:t>Junio 2020</w:t>
      </w:r>
    </w:p>
    <w:p w14:paraId="0E4700EF" w14:textId="77777777" w:rsidR="00431183" w:rsidRPr="00277415" w:rsidRDefault="00431183" w:rsidP="00431183">
      <w:pPr>
        <w:spacing w:after="0" w:line="360" w:lineRule="auto"/>
        <w:jc w:val="both"/>
        <w:rPr>
          <w:rFonts w:ascii="Times New Roman" w:eastAsia="Times New Roman" w:hAnsi="Times New Roman" w:cs="Times New Roman"/>
          <w:b/>
          <w:bCs/>
          <w:color w:val="000000"/>
          <w:sz w:val="24"/>
          <w:szCs w:val="24"/>
          <w:lang w:eastAsia="es-CR"/>
        </w:rPr>
      </w:pPr>
    </w:p>
    <w:p w14:paraId="54FB78FC" w14:textId="77777777" w:rsidR="00431183" w:rsidRDefault="00431183" w:rsidP="00431183">
      <w:pPr>
        <w:spacing w:line="360" w:lineRule="auto"/>
        <w:jc w:val="center"/>
        <w:rPr>
          <w:rFonts w:ascii="Times New Roman" w:hAnsi="Times New Roman" w:cs="Times New Roman"/>
          <w:sz w:val="24"/>
          <w:szCs w:val="24"/>
        </w:rPr>
      </w:pPr>
    </w:p>
    <w:p w14:paraId="4E5D432C" w14:textId="77777777" w:rsidR="00431183" w:rsidRDefault="00431183" w:rsidP="00431183">
      <w:pPr>
        <w:spacing w:after="0" w:line="240" w:lineRule="auto"/>
        <w:rPr>
          <w:rFonts w:ascii="Cambria" w:eastAsia="Times New Roman" w:hAnsi="Cambria" w:cs="Arial"/>
          <w:b/>
          <w:bCs/>
          <w:color w:val="000000"/>
          <w:sz w:val="24"/>
          <w:szCs w:val="24"/>
          <w:lang w:eastAsia="es-CR"/>
        </w:rPr>
      </w:pPr>
    </w:p>
    <w:sdt>
      <w:sdtPr>
        <w:rPr>
          <w:rFonts w:ascii="Cambria" w:eastAsiaTheme="minorHAnsi" w:hAnsi="Cambria" w:cstheme="minorBidi"/>
          <w:color w:val="auto"/>
          <w:sz w:val="24"/>
          <w:szCs w:val="24"/>
          <w:lang w:val="es-ES" w:eastAsia="en-US"/>
        </w:rPr>
        <w:id w:val="-1385719332"/>
        <w:docPartObj>
          <w:docPartGallery w:val="Table of Contents"/>
          <w:docPartUnique/>
        </w:docPartObj>
      </w:sdtPr>
      <w:sdtEndPr>
        <w:rPr>
          <w:b/>
          <w:bCs/>
        </w:rPr>
      </w:sdtEndPr>
      <w:sdtContent>
        <w:p w14:paraId="6AE6D0D7" w14:textId="77777777" w:rsidR="00431183" w:rsidRDefault="00431183" w:rsidP="00431183">
          <w:pPr>
            <w:pStyle w:val="TtuloTDC"/>
            <w:spacing w:line="240" w:lineRule="auto"/>
            <w:rPr>
              <w:rFonts w:ascii="Cambria" w:eastAsiaTheme="minorHAnsi" w:hAnsi="Cambria" w:cstheme="minorBidi"/>
              <w:color w:val="auto"/>
              <w:sz w:val="24"/>
              <w:szCs w:val="24"/>
              <w:lang w:val="es-ES" w:eastAsia="en-US"/>
            </w:rPr>
          </w:pPr>
        </w:p>
        <w:p w14:paraId="33E6AA7D" w14:textId="77777777" w:rsidR="003636F4" w:rsidRPr="00431183" w:rsidRDefault="003636F4" w:rsidP="00431183">
          <w:pPr>
            <w:pStyle w:val="TtuloTDC"/>
            <w:spacing w:line="240" w:lineRule="auto"/>
            <w:jc w:val="center"/>
            <w:rPr>
              <w:rFonts w:ascii="Cambria" w:hAnsi="Cambria" w:cs="Arial"/>
              <w:b/>
              <w:color w:val="auto"/>
              <w:sz w:val="24"/>
              <w:szCs w:val="24"/>
              <w:lang w:val="es-ES"/>
            </w:rPr>
          </w:pPr>
          <w:r w:rsidRPr="00431183">
            <w:rPr>
              <w:rFonts w:ascii="Cambria" w:hAnsi="Cambria" w:cs="Arial"/>
              <w:b/>
              <w:color w:val="auto"/>
              <w:sz w:val="24"/>
              <w:szCs w:val="24"/>
              <w:lang w:val="es-ES"/>
            </w:rPr>
            <w:t>Tabla de contenido</w:t>
          </w:r>
        </w:p>
        <w:p w14:paraId="332743EB" w14:textId="77777777" w:rsidR="003636F4" w:rsidRPr="00431183" w:rsidRDefault="003636F4" w:rsidP="00431183">
          <w:pPr>
            <w:spacing w:line="240" w:lineRule="auto"/>
            <w:rPr>
              <w:rFonts w:ascii="Cambria" w:hAnsi="Cambria"/>
              <w:sz w:val="24"/>
              <w:szCs w:val="24"/>
              <w:lang w:val="es-ES" w:eastAsia="es-CR"/>
            </w:rPr>
          </w:pPr>
        </w:p>
        <w:p w14:paraId="09A79146" w14:textId="198A8907" w:rsidR="00C9117E" w:rsidRDefault="005C7CB3">
          <w:pPr>
            <w:pStyle w:val="TDC1"/>
            <w:tabs>
              <w:tab w:val="right" w:leader="dot" w:pos="8828"/>
            </w:tabs>
            <w:rPr>
              <w:rFonts w:eastAsiaTheme="minorEastAsia"/>
              <w:noProof/>
              <w:lang w:eastAsia="es-CR"/>
            </w:rPr>
          </w:pPr>
          <w:r w:rsidRPr="00431183">
            <w:rPr>
              <w:rFonts w:ascii="Cambria" w:hAnsi="Cambria"/>
              <w:sz w:val="24"/>
              <w:szCs w:val="24"/>
            </w:rPr>
            <w:fldChar w:fldCharType="begin"/>
          </w:r>
          <w:r w:rsidR="003636F4" w:rsidRPr="00431183">
            <w:rPr>
              <w:rFonts w:ascii="Cambria" w:hAnsi="Cambria"/>
              <w:sz w:val="24"/>
              <w:szCs w:val="24"/>
            </w:rPr>
            <w:instrText xml:space="preserve"> TOC \o "1-3" \h \z \u </w:instrText>
          </w:r>
          <w:r w:rsidRPr="00431183">
            <w:rPr>
              <w:rFonts w:ascii="Cambria" w:hAnsi="Cambria"/>
              <w:sz w:val="24"/>
              <w:szCs w:val="24"/>
            </w:rPr>
            <w:fldChar w:fldCharType="separate"/>
          </w:r>
          <w:hyperlink w:anchor="_Toc527576934" w:history="1">
            <w:r w:rsidR="00C9117E" w:rsidRPr="009619FD">
              <w:rPr>
                <w:rStyle w:val="Hipervnculo"/>
                <w:rFonts w:ascii="Cambria" w:hAnsi="Cambria" w:cs="Arial"/>
                <w:b/>
                <w:noProof/>
              </w:rPr>
              <w:t>Capítulo I</w:t>
            </w:r>
            <w:r w:rsidR="00C9117E">
              <w:rPr>
                <w:noProof/>
                <w:webHidden/>
              </w:rPr>
              <w:tab/>
            </w:r>
            <w:r w:rsidR="00C9117E">
              <w:rPr>
                <w:noProof/>
                <w:webHidden/>
              </w:rPr>
              <w:fldChar w:fldCharType="begin"/>
            </w:r>
            <w:r w:rsidR="00C9117E">
              <w:rPr>
                <w:noProof/>
                <w:webHidden/>
              </w:rPr>
              <w:instrText xml:space="preserve"> PAGEREF _Toc527576934 \h </w:instrText>
            </w:r>
            <w:r w:rsidR="00C9117E">
              <w:rPr>
                <w:noProof/>
                <w:webHidden/>
              </w:rPr>
            </w:r>
            <w:r w:rsidR="00C9117E">
              <w:rPr>
                <w:noProof/>
                <w:webHidden/>
              </w:rPr>
              <w:fldChar w:fldCharType="separate"/>
            </w:r>
            <w:r w:rsidR="00C9117E">
              <w:rPr>
                <w:noProof/>
                <w:webHidden/>
              </w:rPr>
              <w:t>4</w:t>
            </w:r>
            <w:r w:rsidR="00C9117E">
              <w:rPr>
                <w:noProof/>
                <w:webHidden/>
              </w:rPr>
              <w:fldChar w:fldCharType="end"/>
            </w:r>
          </w:hyperlink>
        </w:p>
        <w:p w14:paraId="7C7CECAA" w14:textId="6373951D" w:rsidR="00C9117E" w:rsidRDefault="00B127E3">
          <w:pPr>
            <w:pStyle w:val="TDC1"/>
            <w:tabs>
              <w:tab w:val="left" w:pos="660"/>
              <w:tab w:val="right" w:leader="dot" w:pos="8828"/>
            </w:tabs>
            <w:rPr>
              <w:rFonts w:eastAsiaTheme="minorEastAsia"/>
              <w:noProof/>
              <w:lang w:eastAsia="es-CR"/>
            </w:rPr>
          </w:pPr>
          <w:hyperlink w:anchor="_Toc527576935" w:history="1">
            <w:r w:rsidR="00C9117E" w:rsidRPr="009619FD">
              <w:rPr>
                <w:rStyle w:val="Hipervnculo"/>
                <w:rFonts w:ascii="Cambria" w:eastAsia="Times New Roman" w:hAnsi="Cambria" w:cs="Arial"/>
                <w:b/>
                <w:noProof/>
              </w:rPr>
              <w:t>1.1</w:t>
            </w:r>
            <w:r w:rsidR="00C9117E">
              <w:rPr>
                <w:rFonts w:eastAsiaTheme="minorEastAsia"/>
                <w:noProof/>
                <w:lang w:eastAsia="es-CR"/>
              </w:rPr>
              <w:tab/>
            </w:r>
            <w:r w:rsidR="00C9117E" w:rsidRPr="009619FD">
              <w:rPr>
                <w:rStyle w:val="Hipervnculo"/>
                <w:rFonts w:ascii="Cambria" w:eastAsia="Times New Roman" w:hAnsi="Cambria" w:cs="Arial"/>
                <w:b/>
                <w:noProof/>
              </w:rPr>
              <w:t>Introducción</w:t>
            </w:r>
            <w:r w:rsidR="00C9117E">
              <w:rPr>
                <w:noProof/>
                <w:webHidden/>
              </w:rPr>
              <w:tab/>
            </w:r>
            <w:r w:rsidR="00C9117E">
              <w:rPr>
                <w:noProof/>
                <w:webHidden/>
              </w:rPr>
              <w:fldChar w:fldCharType="begin"/>
            </w:r>
            <w:r w:rsidR="00C9117E">
              <w:rPr>
                <w:noProof/>
                <w:webHidden/>
              </w:rPr>
              <w:instrText xml:space="preserve"> PAGEREF _Toc527576935 \h </w:instrText>
            </w:r>
            <w:r w:rsidR="00C9117E">
              <w:rPr>
                <w:noProof/>
                <w:webHidden/>
              </w:rPr>
            </w:r>
            <w:r w:rsidR="00C9117E">
              <w:rPr>
                <w:noProof/>
                <w:webHidden/>
              </w:rPr>
              <w:fldChar w:fldCharType="separate"/>
            </w:r>
            <w:r w:rsidR="00C9117E">
              <w:rPr>
                <w:noProof/>
                <w:webHidden/>
              </w:rPr>
              <w:t>4</w:t>
            </w:r>
            <w:r w:rsidR="00C9117E">
              <w:rPr>
                <w:noProof/>
                <w:webHidden/>
              </w:rPr>
              <w:fldChar w:fldCharType="end"/>
            </w:r>
          </w:hyperlink>
        </w:p>
        <w:p w14:paraId="5F902579" w14:textId="6B24E068" w:rsidR="00C9117E" w:rsidRDefault="00B127E3">
          <w:pPr>
            <w:pStyle w:val="TDC1"/>
            <w:tabs>
              <w:tab w:val="left" w:pos="660"/>
              <w:tab w:val="right" w:leader="dot" w:pos="8828"/>
            </w:tabs>
            <w:rPr>
              <w:rFonts w:eastAsiaTheme="minorEastAsia"/>
              <w:noProof/>
              <w:lang w:eastAsia="es-CR"/>
            </w:rPr>
          </w:pPr>
          <w:hyperlink w:anchor="_Toc527576936" w:history="1">
            <w:r w:rsidR="00C9117E" w:rsidRPr="009619FD">
              <w:rPr>
                <w:rStyle w:val="Hipervnculo"/>
                <w:rFonts w:ascii="Cambria" w:eastAsia="Times New Roman" w:hAnsi="Cambria" w:cs="Arial"/>
                <w:b/>
                <w:noProof/>
              </w:rPr>
              <w:t>1.2</w:t>
            </w:r>
            <w:r w:rsidR="00C9117E">
              <w:rPr>
                <w:rFonts w:eastAsiaTheme="minorEastAsia"/>
                <w:noProof/>
                <w:lang w:eastAsia="es-CR"/>
              </w:rPr>
              <w:tab/>
            </w:r>
            <w:r w:rsidR="00C9117E" w:rsidRPr="009619FD">
              <w:rPr>
                <w:rStyle w:val="Hipervnculo"/>
                <w:rFonts w:ascii="Cambria" w:eastAsia="Times New Roman" w:hAnsi="Cambria" w:cs="Arial"/>
                <w:b/>
                <w:noProof/>
              </w:rPr>
              <w:t>Antecedentes</w:t>
            </w:r>
            <w:r w:rsidR="00C9117E">
              <w:rPr>
                <w:noProof/>
                <w:webHidden/>
              </w:rPr>
              <w:tab/>
            </w:r>
            <w:r w:rsidR="00C9117E">
              <w:rPr>
                <w:noProof/>
                <w:webHidden/>
              </w:rPr>
              <w:fldChar w:fldCharType="begin"/>
            </w:r>
            <w:r w:rsidR="00C9117E">
              <w:rPr>
                <w:noProof/>
                <w:webHidden/>
              </w:rPr>
              <w:instrText xml:space="preserve"> PAGEREF _Toc527576936 \h </w:instrText>
            </w:r>
            <w:r w:rsidR="00C9117E">
              <w:rPr>
                <w:noProof/>
                <w:webHidden/>
              </w:rPr>
            </w:r>
            <w:r w:rsidR="00C9117E">
              <w:rPr>
                <w:noProof/>
                <w:webHidden/>
              </w:rPr>
              <w:fldChar w:fldCharType="separate"/>
            </w:r>
            <w:r w:rsidR="00C9117E">
              <w:rPr>
                <w:noProof/>
                <w:webHidden/>
              </w:rPr>
              <w:t>6</w:t>
            </w:r>
            <w:r w:rsidR="00C9117E">
              <w:rPr>
                <w:noProof/>
                <w:webHidden/>
              </w:rPr>
              <w:fldChar w:fldCharType="end"/>
            </w:r>
          </w:hyperlink>
        </w:p>
        <w:p w14:paraId="37FA8C91" w14:textId="09025128" w:rsidR="00C9117E" w:rsidRDefault="00B127E3">
          <w:pPr>
            <w:pStyle w:val="TDC2"/>
            <w:tabs>
              <w:tab w:val="right" w:leader="dot" w:pos="8828"/>
            </w:tabs>
            <w:rPr>
              <w:rFonts w:eastAsiaTheme="minorEastAsia"/>
              <w:noProof/>
              <w:lang w:eastAsia="es-CR"/>
            </w:rPr>
          </w:pPr>
          <w:hyperlink w:anchor="_Toc527576937" w:history="1">
            <w:r w:rsidR="00C9117E" w:rsidRPr="009619FD">
              <w:rPr>
                <w:rStyle w:val="Hipervnculo"/>
                <w:rFonts w:ascii="Cambria" w:hAnsi="Cambria" w:cs="Arial"/>
                <w:b/>
                <w:noProof/>
              </w:rPr>
              <w:t>1.2.1 Arreglo de Lisboa</w:t>
            </w:r>
            <w:r w:rsidR="00C9117E">
              <w:rPr>
                <w:noProof/>
                <w:webHidden/>
              </w:rPr>
              <w:tab/>
            </w:r>
            <w:r w:rsidR="00C9117E">
              <w:rPr>
                <w:noProof/>
                <w:webHidden/>
              </w:rPr>
              <w:fldChar w:fldCharType="begin"/>
            </w:r>
            <w:r w:rsidR="00C9117E">
              <w:rPr>
                <w:noProof/>
                <w:webHidden/>
              </w:rPr>
              <w:instrText xml:space="preserve"> PAGEREF _Toc527576937 \h </w:instrText>
            </w:r>
            <w:r w:rsidR="00C9117E">
              <w:rPr>
                <w:noProof/>
                <w:webHidden/>
              </w:rPr>
            </w:r>
            <w:r w:rsidR="00C9117E">
              <w:rPr>
                <w:noProof/>
                <w:webHidden/>
              </w:rPr>
              <w:fldChar w:fldCharType="separate"/>
            </w:r>
            <w:r w:rsidR="00C9117E">
              <w:rPr>
                <w:noProof/>
                <w:webHidden/>
              </w:rPr>
              <w:t>7</w:t>
            </w:r>
            <w:r w:rsidR="00C9117E">
              <w:rPr>
                <w:noProof/>
                <w:webHidden/>
              </w:rPr>
              <w:fldChar w:fldCharType="end"/>
            </w:r>
          </w:hyperlink>
        </w:p>
        <w:p w14:paraId="21EF68F3" w14:textId="3007BB21" w:rsidR="00C9117E" w:rsidRDefault="00B127E3">
          <w:pPr>
            <w:pStyle w:val="TDC2"/>
            <w:tabs>
              <w:tab w:val="right" w:leader="dot" w:pos="8828"/>
            </w:tabs>
            <w:rPr>
              <w:rFonts w:eastAsiaTheme="minorEastAsia"/>
              <w:noProof/>
              <w:lang w:eastAsia="es-CR"/>
            </w:rPr>
          </w:pPr>
          <w:hyperlink w:anchor="_Toc527576938" w:history="1">
            <w:r w:rsidR="00C9117E" w:rsidRPr="009619FD">
              <w:rPr>
                <w:rStyle w:val="Hipervnculo"/>
                <w:rFonts w:ascii="Cambria" w:hAnsi="Cambria" w:cs="Arial"/>
                <w:b/>
                <w:noProof/>
              </w:rPr>
              <w:t>1.2.2 Ronda de Uruguay del Acuerdo General sobre Aranceles y Comercio (GATT)</w:t>
            </w:r>
            <w:r w:rsidR="00C9117E">
              <w:rPr>
                <w:noProof/>
                <w:webHidden/>
              </w:rPr>
              <w:tab/>
            </w:r>
            <w:r w:rsidR="00C9117E">
              <w:rPr>
                <w:noProof/>
                <w:webHidden/>
              </w:rPr>
              <w:fldChar w:fldCharType="begin"/>
            </w:r>
            <w:r w:rsidR="00C9117E">
              <w:rPr>
                <w:noProof/>
                <w:webHidden/>
              </w:rPr>
              <w:instrText xml:space="preserve"> PAGEREF _Toc527576938 \h </w:instrText>
            </w:r>
            <w:r w:rsidR="00C9117E">
              <w:rPr>
                <w:noProof/>
                <w:webHidden/>
              </w:rPr>
            </w:r>
            <w:r w:rsidR="00C9117E">
              <w:rPr>
                <w:noProof/>
                <w:webHidden/>
              </w:rPr>
              <w:fldChar w:fldCharType="separate"/>
            </w:r>
            <w:r w:rsidR="00C9117E">
              <w:rPr>
                <w:noProof/>
                <w:webHidden/>
              </w:rPr>
              <w:t>7</w:t>
            </w:r>
            <w:r w:rsidR="00C9117E">
              <w:rPr>
                <w:noProof/>
                <w:webHidden/>
              </w:rPr>
              <w:fldChar w:fldCharType="end"/>
            </w:r>
          </w:hyperlink>
        </w:p>
        <w:p w14:paraId="7899F6AF" w14:textId="21CEA17C" w:rsidR="00C9117E" w:rsidRDefault="00B127E3">
          <w:pPr>
            <w:pStyle w:val="TDC2"/>
            <w:tabs>
              <w:tab w:val="right" w:leader="dot" w:pos="8828"/>
            </w:tabs>
            <w:rPr>
              <w:rFonts w:eastAsiaTheme="minorEastAsia"/>
              <w:noProof/>
              <w:lang w:eastAsia="es-CR"/>
            </w:rPr>
          </w:pPr>
          <w:hyperlink w:anchor="_Toc527576939" w:history="1">
            <w:r w:rsidR="00C9117E" w:rsidRPr="009619FD">
              <w:rPr>
                <w:rStyle w:val="Hipervnculo"/>
                <w:rFonts w:ascii="Cambria" w:hAnsi="Cambria" w:cs="Arial"/>
                <w:b/>
                <w:noProof/>
              </w:rPr>
              <w:t>1.2.3 Acuerdo sobre los Aspectos de los Derechos de Propiedad Intelectual Relacionados en el Comercio (ADPIC)</w:t>
            </w:r>
            <w:r w:rsidR="00C9117E">
              <w:rPr>
                <w:noProof/>
                <w:webHidden/>
              </w:rPr>
              <w:tab/>
            </w:r>
            <w:r w:rsidR="00C9117E">
              <w:rPr>
                <w:noProof/>
                <w:webHidden/>
              </w:rPr>
              <w:fldChar w:fldCharType="begin"/>
            </w:r>
            <w:r w:rsidR="00C9117E">
              <w:rPr>
                <w:noProof/>
                <w:webHidden/>
              </w:rPr>
              <w:instrText xml:space="preserve"> PAGEREF _Toc527576939 \h </w:instrText>
            </w:r>
            <w:r w:rsidR="00C9117E">
              <w:rPr>
                <w:noProof/>
                <w:webHidden/>
              </w:rPr>
            </w:r>
            <w:r w:rsidR="00C9117E">
              <w:rPr>
                <w:noProof/>
                <w:webHidden/>
              </w:rPr>
              <w:fldChar w:fldCharType="separate"/>
            </w:r>
            <w:r w:rsidR="00C9117E">
              <w:rPr>
                <w:noProof/>
                <w:webHidden/>
              </w:rPr>
              <w:t>7</w:t>
            </w:r>
            <w:r w:rsidR="00C9117E">
              <w:rPr>
                <w:noProof/>
                <w:webHidden/>
              </w:rPr>
              <w:fldChar w:fldCharType="end"/>
            </w:r>
          </w:hyperlink>
        </w:p>
        <w:p w14:paraId="4599918F" w14:textId="4A785F6B" w:rsidR="00C9117E" w:rsidRDefault="00B127E3">
          <w:pPr>
            <w:pStyle w:val="TDC2"/>
            <w:tabs>
              <w:tab w:val="right" w:leader="dot" w:pos="8828"/>
            </w:tabs>
            <w:rPr>
              <w:rFonts w:eastAsiaTheme="minorEastAsia"/>
              <w:noProof/>
              <w:lang w:eastAsia="es-CR"/>
            </w:rPr>
          </w:pPr>
          <w:hyperlink w:anchor="_Toc527576940" w:history="1">
            <w:r w:rsidR="00C9117E" w:rsidRPr="009619FD">
              <w:rPr>
                <w:rStyle w:val="Hipervnculo"/>
                <w:rFonts w:ascii="Cambria" w:eastAsia="Times New Roman" w:hAnsi="Cambria" w:cs="Arial"/>
                <w:b/>
                <w:noProof/>
                <w:lang w:eastAsia="es-CR"/>
              </w:rPr>
              <w:t>1.2.4 La denominación de origen en Costa Rica</w:t>
            </w:r>
            <w:r w:rsidR="00C9117E">
              <w:rPr>
                <w:noProof/>
                <w:webHidden/>
              </w:rPr>
              <w:tab/>
            </w:r>
            <w:r w:rsidR="00C9117E">
              <w:rPr>
                <w:noProof/>
                <w:webHidden/>
              </w:rPr>
              <w:fldChar w:fldCharType="begin"/>
            </w:r>
            <w:r w:rsidR="00C9117E">
              <w:rPr>
                <w:noProof/>
                <w:webHidden/>
              </w:rPr>
              <w:instrText xml:space="preserve"> PAGEREF _Toc527576940 \h </w:instrText>
            </w:r>
            <w:r w:rsidR="00C9117E">
              <w:rPr>
                <w:noProof/>
                <w:webHidden/>
              </w:rPr>
            </w:r>
            <w:r w:rsidR="00C9117E">
              <w:rPr>
                <w:noProof/>
                <w:webHidden/>
              </w:rPr>
              <w:fldChar w:fldCharType="separate"/>
            </w:r>
            <w:r w:rsidR="00C9117E">
              <w:rPr>
                <w:noProof/>
                <w:webHidden/>
              </w:rPr>
              <w:t>8</w:t>
            </w:r>
            <w:r w:rsidR="00C9117E">
              <w:rPr>
                <w:noProof/>
                <w:webHidden/>
              </w:rPr>
              <w:fldChar w:fldCharType="end"/>
            </w:r>
          </w:hyperlink>
        </w:p>
        <w:p w14:paraId="2F71E9B3" w14:textId="6491E45C" w:rsidR="00C9117E" w:rsidRDefault="00B127E3">
          <w:pPr>
            <w:pStyle w:val="TDC2"/>
            <w:tabs>
              <w:tab w:val="right" w:leader="dot" w:pos="8828"/>
            </w:tabs>
            <w:rPr>
              <w:rFonts w:eastAsiaTheme="minorEastAsia"/>
              <w:noProof/>
              <w:lang w:eastAsia="es-CR"/>
            </w:rPr>
          </w:pPr>
          <w:hyperlink w:anchor="_Toc527576941" w:history="1">
            <w:r w:rsidR="00C9117E" w:rsidRPr="009619FD">
              <w:rPr>
                <w:rStyle w:val="Hipervnculo"/>
                <w:rFonts w:ascii="Cambria" w:hAnsi="Cambria" w:cs="Arial"/>
                <w:b/>
                <w:noProof/>
              </w:rPr>
              <w:t>1.2.5 La denominación de origen de café Tarrazú</w:t>
            </w:r>
            <w:r w:rsidR="00C9117E">
              <w:rPr>
                <w:noProof/>
                <w:webHidden/>
              </w:rPr>
              <w:tab/>
            </w:r>
            <w:r w:rsidR="00C9117E">
              <w:rPr>
                <w:noProof/>
                <w:webHidden/>
              </w:rPr>
              <w:fldChar w:fldCharType="begin"/>
            </w:r>
            <w:r w:rsidR="00C9117E">
              <w:rPr>
                <w:noProof/>
                <w:webHidden/>
              </w:rPr>
              <w:instrText xml:space="preserve"> PAGEREF _Toc527576941 \h </w:instrText>
            </w:r>
            <w:r w:rsidR="00C9117E">
              <w:rPr>
                <w:noProof/>
                <w:webHidden/>
              </w:rPr>
            </w:r>
            <w:r w:rsidR="00C9117E">
              <w:rPr>
                <w:noProof/>
                <w:webHidden/>
              </w:rPr>
              <w:fldChar w:fldCharType="separate"/>
            </w:r>
            <w:r w:rsidR="00C9117E">
              <w:rPr>
                <w:noProof/>
                <w:webHidden/>
              </w:rPr>
              <w:t>8</w:t>
            </w:r>
            <w:r w:rsidR="00C9117E">
              <w:rPr>
                <w:noProof/>
                <w:webHidden/>
              </w:rPr>
              <w:fldChar w:fldCharType="end"/>
            </w:r>
          </w:hyperlink>
        </w:p>
        <w:p w14:paraId="401F4E32" w14:textId="0DA7AE5B" w:rsidR="00C9117E" w:rsidRDefault="00B127E3">
          <w:pPr>
            <w:pStyle w:val="TDC2"/>
            <w:tabs>
              <w:tab w:val="right" w:leader="dot" w:pos="8828"/>
            </w:tabs>
            <w:rPr>
              <w:rFonts w:eastAsiaTheme="minorEastAsia"/>
              <w:noProof/>
              <w:lang w:eastAsia="es-CR"/>
            </w:rPr>
          </w:pPr>
          <w:hyperlink w:anchor="_Toc527576942" w:history="1">
            <w:r w:rsidR="00C9117E" w:rsidRPr="009619FD">
              <w:rPr>
                <w:rStyle w:val="Hipervnculo"/>
                <w:rFonts w:ascii="Cambria" w:hAnsi="Cambria" w:cs="Arial"/>
                <w:b/>
                <w:noProof/>
              </w:rPr>
              <w:t>1.2.6 Antecedentes de los Sistemas Financieros en América Latina y Costa Rica</w:t>
            </w:r>
            <w:r w:rsidR="00C9117E">
              <w:rPr>
                <w:noProof/>
                <w:webHidden/>
              </w:rPr>
              <w:tab/>
            </w:r>
            <w:r w:rsidR="00C9117E">
              <w:rPr>
                <w:noProof/>
                <w:webHidden/>
              </w:rPr>
              <w:fldChar w:fldCharType="begin"/>
            </w:r>
            <w:r w:rsidR="00C9117E">
              <w:rPr>
                <w:noProof/>
                <w:webHidden/>
              </w:rPr>
              <w:instrText xml:space="preserve"> PAGEREF _Toc527576942 \h </w:instrText>
            </w:r>
            <w:r w:rsidR="00C9117E">
              <w:rPr>
                <w:noProof/>
                <w:webHidden/>
              </w:rPr>
            </w:r>
            <w:r w:rsidR="00C9117E">
              <w:rPr>
                <w:noProof/>
                <w:webHidden/>
              </w:rPr>
              <w:fldChar w:fldCharType="separate"/>
            </w:r>
            <w:r w:rsidR="00C9117E">
              <w:rPr>
                <w:noProof/>
                <w:webHidden/>
              </w:rPr>
              <w:t>8</w:t>
            </w:r>
            <w:r w:rsidR="00C9117E">
              <w:rPr>
                <w:noProof/>
                <w:webHidden/>
              </w:rPr>
              <w:fldChar w:fldCharType="end"/>
            </w:r>
          </w:hyperlink>
        </w:p>
        <w:p w14:paraId="0C07A9A9" w14:textId="07E01940" w:rsidR="00C9117E" w:rsidRDefault="00B127E3">
          <w:pPr>
            <w:pStyle w:val="TDC2"/>
            <w:tabs>
              <w:tab w:val="right" w:leader="dot" w:pos="8828"/>
            </w:tabs>
            <w:rPr>
              <w:rFonts w:eastAsiaTheme="minorEastAsia"/>
              <w:noProof/>
              <w:lang w:eastAsia="es-CR"/>
            </w:rPr>
          </w:pPr>
          <w:hyperlink w:anchor="_Toc527576943" w:history="1">
            <w:r w:rsidR="00C9117E" w:rsidRPr="009619FD">
              <w:rPr>
                <w:rStyle w:val="Hipervnculo"/>
                <w:rFonts w:ascii="Cambria" w:hAnsi="Cambria" w:cs="Arial"/>
                <w:b/>
                <w:noProof/>
              </w:rPr>
              <w:t>1.2.7 Antecedentes de Banca para el Desarrollo en Costa Rica</w:t>
            </w:r>
            <w:r w:rsidR="00C9117E">
              <w:rPr>
                <w:noProof/>
                <w:webHidden/>
              </w:rPr>
              <w:tab/>
            </w:r>
            <w:r w:rsidR="00C9117E">
              <w:rPr>
                <w:noProof/>
                <w:webHidden/>
              </w:rPr>
              <w:fldChar w:fldCharType="begin"/>
            </w:r>
            <w:r w:rsidR="00C9117E">
              <w:rPr>
                <w:noProof/>
                <w:webHidden/>
              </w:rPr>
              <w:instrText xml:space="preserve"> PAGEREF _Toc527576943 \h </w:instrText>
            </w:r>
            <w:r w:rsidR="00C9117E">
              <w:rPr>
                <w:noProof/>
                <w:webHidden/>
              </w:rPr>
            </w:r>
            <w:r w:rsidR="00C9117E">
              <w:rPr>
                <w:noProof/>
                <w:webHidden/>
              </w:rPr>
              <w:fldChar w:fldCharType="separate"/>
            </w:r>
            <w:r w:rsidR="00C9117E">
              <w:rPr>
                <w:noProof/>
                <w:webHidden/>
              </w:rPr>
              <w:t>9</w:t>
            </w:r>
            <w:r w:rsidR="00C9117E">
              <w:rPr>
                <w:noProof/>
                <w:webHidden/>
              </w:rPr>
              <w:fldChar w:fldCharType="end"/>
            </w:r>
          </w:hyperlink>
        </w:p>
        <w:p w14:paraId="1D04758A" w14:textId="50CDE19D" w:rsidR="00C9117E" w:rsidRDefault="00B127E3">
          <w:pPr>
            <w:pStyle w:val="TDC1"/>
            <w:tabs>
              <w:tab w:val="right" w:leader="dot" w:pos="8828"/>
            </w:tabs>
            <w:rPr>
              <w:rFonts w:eastAsiaTheme="minorEastAsia"/>
              <w:noProof/>
              <w:lang w:eastAsia="es-CR"/>
            </w:rPr>
          </w:pPr>
          <w:hyperlink w:anchor="_Toc527576944" w:history="1">
            <w:r w:rsidR="00C9117E" w:rsidRPr="009619FD">
              <w:rPr>
                <w:rStyle w:val="Hipervnculo"/>
                <w:rFonts w:ascii="Cambria" w:hAnsi="Cambria" w:cs="Arial"/>
                <w:b/>
                <w:noProof/>
              </w:rPr>
              <w:t>1.3 Justificación y planteamiento del problema</w:t>
            </w:r>
            <w:r w:rsidR="00C9117E">
              <w:rPr>
                <w:noProof/>
                <w:webHidden/>
              </w:rPr>
              <w:tab/>
            </w:r>
            <w:r w:rsidR="00C9117E">
              <w:rPr>
                <w:noProof/>
                <w:webHidden/>
              </w:rPr>
              <w:fldChar w:fldCharType="begin"/>
            </w:r>
            <w:r w:rsidR="00C9117E">
              <w:rPr>
                <w:noProof/>
                <w:webHidden/>
              </w:rPr>
              <w:instrText xml:space="preserve"> PAGEREF _Toc527576944 \h </w:instrText>
            </w:r>
            <w:r w:rsidR="00C9117E">
              <w:rPr>
                <w:noProof/>
                <w:webHidden/>
              </w:rPr>
            </w:r>
            <w:r w:rsidR="00C9117E">
              <w:rPr>
                <w:noProof/>
                <w:webHidden/>
              </w:rPr>
              <w:fldChar w:fldCharType="separate"/>
            </w:r>
            <w:r w:rsidR="00C9117E">
              <w:rPr>
                <w:noProof/>
                <w:webHidden/>
              </w:rPr>
              <w:t>10</w:t>
            </w:r>
            <w:r w:rsidR="00C9117E">
              <w:rPr>
                <w:noProof/>
                <w:webHidden/>
              </w:rPr>
              <w:fldChar w:fldCharType="end"/>
            </w:r>
          </w:hyperlink>
        </w:p>
        <w:p w14:paraId="4F1DEB00" w14:textId="60D533F0" w:rsidR="00C9117E" w:rsidRDefault="00B127E3">
          <w:pPr>
            <w:pStyle w:val="TDC1"/>
            <w:tabs>
              <w:tab w:val="right" w:leader="dot" w:pos="8828"/>
            </w:tabs>
            <w:rPr>
              <w:rFonts w:eastAsiaTheme="minorEastAsia"/>
              <w:noProof/>
              <w:lang w:eastAsia="es-CR"/>
            </w:rPr>
          </w:pPr>
          <w:hyperlink w:anchor="_Toc527576945" w:history="1">
            <w:r w:rsidR="00C9117E" w:rsidRPr="009619FD">
              <w:rPr>
                <w:rStyle w:val="Hipervnculo"/>
                <w:rFonts w:ascii="Cambria" w:hAnsi="Cambria" w:cs="Arial"/>
                <w:b/>
                <w:noProof/>
              </w:rPr>
              <w:t>1.4.1 Planteamiento del problema</w:t>
            </w:r>
            <w:r w:rsidR="00C9117E">
              <w:rPr>
                <w:noProof/>
                <w:webHidden/>
              </w:rPr>
              <w:tab/>
            </w:r>
            <w:r w:rsidR="00C9117E">
              <w:rPr>
                <w:noProof/>
                <w:webHidden/>
              </w:rPr>
              <w:fldChar w:fldCharType="begin"/>
            </w:r>
            <w:r w:rsidR="00C9117E">
              <w:rPr>
                <w:noProof/>
                <w:webHidden/>
              </w:rPr>
              <w:instrText xml:space="preserve"> PAGEREF _Toc527576945 \h </w:instrText>
            </w:r>
            <w:r w:rsidR="00C9117E">
              <w:rPr>
                <w:noProof/>
                <w:webHidden/>
              </w:rPr>
            </w:r>
            <w:r w:rsidR="00C9117E">
              <w:rPr>
                <w:noProof/>
                <w:webHidden/>
              </w:rPr>
              <w:fldChar w:fldCharType="separate"/>
            </w:r>
            <w:r w:rsidR="00C9117E">
              <w:rPr>
                <w:noProof/>
                <w:webHidden/>
              </w:rPr>
              <w:t>13</w:t>
            </w:r>
            <w:r w:rsidR="00C9117E">
              <w:rPr>
                <w:noProof/>
                <w:webHidden/>
              </w:rPr>
              <w:fldChar w:fldCharType="end"/>
            </w:r>
          </w:hyperlink>
        </w:p>
        <w:p w14:paraId="49CD3DDC" w14:textId="75258DAB" w:rsidR="00C9117E" w:rsidRDefault="00B127E3">
          <w:pPr>
            <w:pStyle w:val="TDC1"/>
            <w:tabs>
              <w:tab w:val="right" w:leader="dot" w:pos="8828"/>
            </w:tabs>
            <w:rPr>
              <w:rFonts w:eastAsiaTheme="minorEastAsia"/>
              <w:noProof/>
              <w:lang w:eastAsia="es-CR"/>
            </w:rPr>
          </w:pPr>
          <w:hyperlink w:anchor="_Toc527576946" w:history="1">
            <w:r w:rsidR="00C9117E" w:rsidRPr="009619FD">
              <w:rPr>
                <w:rStyle w:val="Hipervnculo"/>
                <w:rFonts w:ascii="Cambria" w:hAnsi="Cambria" w:cs="Arial"/>
                <w:b/>
                <w:noProof/>
              </w:rPr>
              <w:t>1.4 Objetivos de investigación</w:t>
            </w:r>
            <w:r w:rsidR="00C9117E">
              <w:rPr>
                <w:noProof/>
                <w:webHidden/>
              </w:rPr>
              <w:tab/>
            </w:r>
            <w:r w:rsidR="00C9117E">
              <w:rPr>
                <w:noProof/>
                <w:webHidden/>
              </w:rPr>
              <w:fldChar w:fldCharType="begin"/>
            </w:r>
            <w:r w:rsidR="00C9117E">
              <w:rPr>
                <w:noProof/>
                <w:webHidden/>
              </w:rPr>
              <w:instrText xml:space="preserve"> PAGEREF _Toc527576946 \h </w:instrText>
            </w:r>
            <w:r w:rsidR="00C9117E">
              <w:rPr>
                <w:noProof/>
                <w:webHidden/>
              </w:rPr>
            </w:r>
            <w:r w:rsidR="00C9117E">
              <w:rPr>
                <w:noProof/>
                <w:webHidden/>
              </w:rPr>
              <w:fldChar w:fldCharType="separate"/>
            </w:r>
            <w:r w:rsidR="00C9117E">
              <w:rPr>
                <w:noProof/>
                <w:webHidden/>
              </w:rPr>
              <w:t>14</w:t>
            </w:r>
            <w:r w:rsidR="00C9117E">
              <w:rPr>
                <w:noProof/>
                <w:webHidden/>
              </w:rPr>
              <w:fldChar w:fldCharType="end"/>
            </w:r>
          </w:hyperlink>
        </w:p>
        <w:p w14:paraId="61CAF91C" w14:textId="3C3863A3" w:rsidR="00C9117E" w:rsidRDefault="00B127E3">
          <w:pPr>
            <w:pStyle w:val="TDC2"/>
            <w:tabs>
              <w:tab w:val="right" w:leader="dot" w:pos="8828"/>
            </w:tabs>
            <w:rPr>
              <w:rFonts w:eastAsiaTheme="minorEastAsia"/>
              <w:noProof/>
              <w:lang w:eastAsia="es-CR"/>
            </w:rPr>
          </w:pPr>
          <w:hyperlink w:anchor="_Toc527576947" w:history="1">
            <w:r w:rsidR="00C9117E" w:rsidRPr="009619FD">
              <w:rPr>
                <w:rStyle w:val="Hipervnculo"/>
                <w:rFonts w:ascii="Cambria" w:hAnsi="Cambria" w:cs="Arial"/>
                <w:b/>
                <w:noProof/>
              </w:rPr>
              <w:t>1.4.1 Objetivo General</w:t>
            </w:r>
            <w:r w:rsidR="00C9117E">
              <w:rPr>
                <w:noProof/>
                <w:webHidden/>
              </w:rPr>
              <w:tab/>
            </w:r>
            <w:r w:rsidR="00C9117E">
              <w:rPr>
                <w:noProof/>
                <w:webHidden/>
              </w:rPr>
              <w:fldChar w:fldCharType="begin"/>
            </w:r>
            <w:r w:rsidR="00C9117E">
              <w:rPr>
                <w:noProof/>
                <w:webHidden/>
              </w:rPr>
              <w:instrText xml:space="preserve"> PAGEREF _Toc527576947 \h </w:instrText>
            </w:r>
            <w:r w:rsidR="00C9117E">
              <w:rPr>
                <w:noProof/>
                <w:webHidden/>
              </w:rPr>
            </w:r>
            <w:r w:rsidR="00C9117E">
              <w:rPr>
                <w:noProof/>
                <w:webHidden/>
              </w:rPr>
              <w:fldChar w:fldCharType="separate"/>
            </w:r>
            <w:r w:rsidR="00C9117E">
              <w:rPr>
                <w:noProof/>
                <w:webHidden/>
              </w:rPr>
              <w:t>14</w:t>
            </w:r>
            <w:r w:rsidR="00C9117E">
              <w:rPr>
                <w:noProof/>
                <w:webHidden/>
              </w:rPr>
              <w:fldChar w:fldCharType="end"/>
            </w:r>
          </w:hyperlink>
        </w:p>
        <w:p w14:paraId="42C39F5B" w14:textId="599CA5D9" w:rsidR="00C9117E" w:rsidRDefault="00B127E3">
          <w:pPr>
            <w:pStyle w:val="TDC2"/>
            <w:tabs>
              <w:tab w:val="right" w:leader="dot" w:pos="8828"/>
            </w:tabs>
            <w:rPr>
              <w:rFonts w:eastAsiaTheme="minorEastAsia"/>
              <w:noProof/>
              <w:lang w:eastAsia="es-CR"/>
            </w:rPr>
          </w:pPr>
          <w:hyperlink w:anchor="_Toc527576948" w:history="1">
            <w:r w:rsidR="00C9117E" w:rsidRPr="009619FD">
              <w:rPr>
                <w:rStyle w:val="Hipervnculo"/>
                <w:rFonts w:ascii="Cambria" w:hAnsi="Cambria" w:cs="Arial"/>
                <w:b/>
                <w:noProof/>
              </w:rPr>
              <w:t>1.4.2  Objetivos Específicos</w:t>
            </w:r>
            <w:r w:rsidR="00C9117E">
              <w:rPr>
                <w:noProof/>
                <w:webHidden/>
              </w:rPr>
              <w:tab/>
            </w:r>
            <w:r w:rsidR="00C9117E">
              <w:rPr>
                <w:noProof/>
                <w:webHidden/>
              </w:rPr>
              <w:fldChar w:fldCharType="begin"/>
            </w:r>
            <w:r w:rsidR="00C9117E">
              <w:rPr>
                <w:noProof/>
                <w:webHidden/>
              </w:rPr>
              <w:instrText xml:space="preserve"> PAGEREF _Toc527576948 \h </w:instrText>
            </w:r>
            <w:r w:rsidR="00C9117E">
              <w:rPr>
                <w:noProof/>
                <w:webHidden/>
              </w:rPr>
            </w:r>
            <w:r w:rsidR="00C9117E">
              <w:rPr>
                <w:noProof/>
                <w:webHidden/>
              </w:rPr>
              <w:fldChar w:fldCharType="separate"/>
            </w:r>
            <w:r w:rsidR="00C9117E">
              <w:rPr>
                <w:noProof/>
                <w:webHidden/>
              </w:rPr>
              <w:t>15</w:t>
            </w:r>
            <w:r w:rsidR="00C9117E">
              <w:rPr>
                <w:noProof/>
                <w:webHidden/>
              </w:rPr>
              <w:fldChar w:fldCharType="end"/>
            </w:r>
          </w:hyperlink>
        </w:p>
        <w:p w14:paraId="65C54D62" w14:textId="39AE1877" w:rsidR="00C9117E" w:rsidRDefault="00B127E3">
          <w:pPr>
            <w:pStyle w:val="TDC1"/>
            <w:tabs>
              <w:tab w:val="right" w:leader="dot" w:pos="8828"/>
            </w:tabs>
            <w:rPr>
              <w:rFonts w:eastAsiaTheme="minorEastAsia"/>
              <w:noProof/>
              <w:lang w:eastAsia="es-CR"/>
            </w:rPr>
          </w:pPr>
          <w:hyperlink w:anchor="_Toc527576949" w:history="1">
            <w:r w:rsidR="00C9117E" w:rsidRPr="009619FD">
              <w:rPr>
                <w:rStyle w:val="Hipervnculo"/>
                <w:rFonts w:ascii="Cambria" w:hAnsi="Cambria" w:cs="Arial"/>
                <w:b/>
                <w:noProof/>
              </w:rPr>
              <w:t>Capítulo II: Marco Teórico</w:t>
            </w:r>
            <w:r w:rsidR="00C9117E">
              <w:rPr>
                <w:noProof/>
                <w:webHidden/>
              </w:rPr>
              <w:tab/>
            </w:r>
            <w:r w:rsidR="00C9117E">
              <w:rPr>
                <w:noProof/>
                <w:webHidden/>
              </w:rPr>
              <w:fldChar w:fldCharType="begin"/>
            </w:r>
            <w:r w:rsidR="00C9117E">
              <w:rPr>
                <w:noProof/>
                <w:webHidden/>
              </w:rPr>
              <w:instrText xml:space="preserve"> PAGEREF _Toc527576949 \h </w:instrText>
            </w:r>
            <w:r w:rsidR="00C9117E">
              <w:rPr>
                <w:noProof/>
                <w:webHidden/>
              </w:rPr>
            </w:r>
            <w:r w:rsidR="00C9117E">
              <w:rPr>
                <w:noProof/>
                <w:webHidden/>
              </w:rPr>
              <w:fldChar w:fldCharType="separate"/>
            </w:r>
            <w:r w:rsidR="00C9117E">
              <w:rPr>
                <w:noProof/>
                <w:webHidden/>
              </w:rPr>
              <w:t>15</w:t>
            </w:r>
            <w:r w:rsidR="00C9117E">
              <w:rPr>
                <w:noProof/>
                <w:webHidden/>
              </w:rPr>
              <w:fldChar w:fldCharType="end"/>
            </w:r>
          </w:hyperlink>
        </w:p>
        <w:p w14:paraId="5D3694F2" w14:textId="4118E601" w:rsidR="00C9117E" w:rsidRDefault="00B127E3">
          <w:pPr>
            <w:pStyle w:val="TDC2"/>
            <w:tabs>
              <w:tab w:val="right" w:leader="dot" w:pos="8828"/>
            </w:tabs>
            <w:rPr>
              <w:rFonts w:eastAsiaTheme="minorEastAsia"/>
              <w:noProof/>
              <w:lang w:eastAsia="es-CR"/>
            </w:rPr>
          </w:pPr>
          <w:hyperlink w:anchor="_Toc527576950" w:history="1">
            <w:r w:rsidR="00C9117E" w:rsidRPr="009619FD">
              <w:rPr>
                <w:rStyle w:val="Hipervnculo"/>
                <w:rFonts w:ascii="Cambria" w:hAnsi="Cambria" w:cs="Arial"/>
                <w:b/>
                <w:noProof/>
              </w:rPr>
              <w:t>2.2 Inversión y Financiamiento para proyectos locales: Caso de la Denominación de Origen Tarrazú</w:t>
            </w:r>
            <w:r w:rsidR="00C9117E">
              <w:rPr>
                <w:noProof/>
                <w:webHidden/>
              </w:rPr>
              <w:tab/>
            </w:r>
            <w:r w:rsidR="00C9117E">
              <w:rPr>
                <w:noProof/>
                <w:webHidden/>
              </w:rPr>
              <w:fldChar w:fldCharType="begin"/>
            </w:r>
            <w:r w:rsidR="00C9117E">
              <w:rPr>
                <w:noProof/>
                <w:webHidden/>
              </w:rPr>
              <w:instrText xml:space="preserve"> PAGEREF _Toc527576950 \h </w:instrText>
            </w:r>
            <w:r w:rsidR="00C9117E">
              <w:rPr>
                <w:noProof/>
                <w:webHidden/>
              </w:rPr>
            </w:r>
            <w:r w:rsidR="00C9117E">
              <w:rPr>
                <w:noProof/>
                <w:webHidden/>
              </w:rPr>
              <w:fldChar w:fldCharType="separate"/>
            </w:r>
            <w:r w:rsidR="00C9117E">
              <w:rPr>
                <w:noProof/>
                <w:webHidden/>
              </w:rPr>
              <w:t>18</w:t>
            </w:r>
            <w:r w:rsidR="00C9117E">
              <w:rPr>
                <w:noProof/>
                <w:webHidden/>
              </w:rPr>
              <w:fldChar w:fldCharType="end"/>
            </w:r>
          </w:hyperlink>
        </w:p>
        <w:p w14:paraId="11FCFAC8" w14:textId="24A206DA" w:rsidR="00C9117E" w:rsidRDefault="00B127E3">
          <w:pPr>
            <w:pStyle w:val="TDC2"/>
            <w:tabs>
              <w:tab w:val="right" w:leader="dot" w:pos="8828"/>
            </w:tabs>
            <w:rPr>
              <w:rFonts w:eastAsiaTheme="minorEastAsia"/>
              <w:noProof/>
              <w:lang w:eastAsia="es-CR"/>
            </w:rPr>
          </w:pPr>
          <w:hyperlink w:anchor="_Toc527576951" w:history="1">
            <w:r w:rsidR="00C9117E" w:rsidRPr="009619FD">
              <w:rPr>
                <w:rStyle w:val="Hipervnculo"/>
                <w:rFonts w:ascii="Cambria" w:hAnsi="Cambria" w:cs="Arial"/>
                <w:b/>
                <w:noProof/>
                <w:lang w:eastAsia="es-CR"/>
              </w:rPr>
              <w:t>2.3 Base productiva de la Región de los Santos: Una aproximación desde un enfoque sistemático.</w:t>
            </w:r>
            <w:r w:rsidR="00C9117E">
              <w:rPr>
                <w:noProof/>
                <w:webHidden/>
              </w:rPr>
              <w:tab/>
            </w:r>
            <w:r w:rsidR="00C9117E">
              <w:rPr>
                <w:noProof/>
                <w:webHidden/>
              </w:rPr>
              <w:fldChar w:fldCharType="begin"/>
            </w:r>
            <w:r w:rsidR="00C9117E">
              <w:rPr>
                <w:noProof/>
                <w:webHidden/>
              </w:rPr>
              <w:instrText xml:space="preserve"> PAGEREF _Toc527576951 \h </w:instrText>
            </w:r>
            <w:r w:rsidR="00C9117E">
              <w:rPr>
                <w:noProof/>
                <w:webHidden/>
              </w:rPr>
            </w:r>
            <w:r w:rsidR="00C9117E">
              <w:rPr>
                <w:noProof/>
                <w:webHidden/>
              </w:rPr>
              <w:fldChar w:fldCharType="separate"/>
            </w:r>
            <w:r w:rsidR="00C9117E">
              <w:rPr>
                <w:noProof/>
                <w:webHidden/>
              </w:rPr>
              <w:t>20</w:t>
            </w:r>
            <w:r w:rsidR="00C9117E">
              <w:rPr>
                <w:noProof/>
                <w:webHidden/>
              </w:rPr>
              <w:fldChar w:fldCharType="end"/>
            </w:r>
          </w:hyperlink>
        </w:p>
        <w:p w14:paraId="312D8F97" w14:textId="27FAE285" w:rsidR="00C9117E" w:rsidRDefault="00B127E3">
          <w:pPr>
            <w:pStyle w:val="TDC2"/>
            <w:tabs>
              <w:tab w:val="right" w:leader="dot" w:pos="8828"/>
            </w:tabs>
            <w:rPr>
              <w:rFonts w:eastAsiaTheme="minorEastAsia"/>
              <w:noProof/>
              <w:lang w:eastAsia="es-CR"/>
            </w:rPr>
          </w:pPr>
          <w:hyperlink w:anchor="_Toc527576952" w:history="1">
            <w:r w:rsidR="00C9117E" w:rsidRPr="009619FD">
              <w:rPr>
                <w:rStyle w:val="Hipervnculo"/>
                <w:rFonts w:ascii="Cambria" w:hAnsi="Cambria"/>
                <w:b/>
                <w:noProof/>
              </w:rPr>
              <w:t>2.5 Desarrollo Local y Regional: Debates Actuales desde una perspectiva territorial</w:t>
            </w:r>
            <w:r w:rsidR="00C9117E">
              <w:rPr>
                <w:noProof/>
                <w:webHidden/>
              </w:rPr>
              <w:tab/>
            </w:r>
            <w:r w:rsidR="00C9117E">
              <w:rPr>
                <w:noProof/>
                <w:webHidden/>
              </w:rPr>
              <w:fldChar w:fldCharType="begin"/>
            </w:r>
            <w:r w:rsidR="00C9117E">
              <w:rPr>
                <w:noProof/>
                <w:webHidden/>
              </w:rPr>
              <w:instrText xml:space="preserve"> PAGEREF _Toc527576952 \h </w:instrText>
            </w:r>
            <w:r w:rsidR="00C9117E">
              <w:rPr>
                <w:noProof/>
                <w:webHidden/>
              </w:rPr>
            </w:r>
            <w:r w:rsidR="00C9117E">
              <w:rPr>
                <w:noProof/>
                <w:webHidden/>
              </w:rPr>
              <w:fldChar w:fldCharType="separate"/>
            </w:r>
            <w:r w:rsidR="00C9117E">
              <w:rPr>
                <w:noProof/>
                <w:webHidden/>
              </w:rPr>
              <w:t>24</w:t>
            </w:r>
            <w:r w:rsidR="00C9117E">
              <w:rPr>
                <w:noProof/>
                <w:webHidden/>
              </w:rPr>
              <w:fldChar w:fldCharType="end"/>
            </w:r>
          </w:hyperlink>
        </w:p>
        <w:p w14:paraId="3BEA71E4" w14:textId="69403D75" w:rsidR="00C9117E" w:rsidRDefault="00B127E3">
          <w:pPr>
            <w:pStyle w:val="TDC2"/>
            <w:tabs>
              <w:tab w:val="right" w:leader="dot" w:pos="8828"/>
            </w:tabs>
            <w:rPr>
              <w:rFonts w:eastAsiaTheme="minorEastAsia"/>
              <w:noProof/>
              <w:lang w:eastAsia="es-CR"/>
            </w:rPr>
          </w:pPr>
          <w:hyperlink w:anchor="_Toc527576953" w:history="1">
            <w:r w:rsidR="00C9117E" w:rsidRPr="009619FD">
              <w:rPr>
                <w:rStyle w:val="Hipervnculo"/>
                <w:rFonts w:ascii="Cambria" w:hAnsi="Cambria" w:cs="Arial"/>
                <w:b/>
                <w:noProof/>
              </w:rPr>
              <w:t>3.1 Método de Investigación</w:t>
            </w:r>
            <w:r w:rsidR="00C9117E">
              <w:rPr>
                <w:noProof/>
                <w:webHidden/>
              </w:rPr>
              <w:tab/>
            </w:r>
            <w:r w:rsidR="00C9117E">
              <w:rPr>
                <w:noProof/>
                <w:webHidden/>
              </w:rPr>
              <w:fldChar w:fldCharType="begin"/>
            </w:r>
            <w:r w:rsidR="00C9117E">
              <w:rPr>
                <w:noProof/>
                <w:webHidden/>
              </w:rPr>
              <w:instrText xml:space="preserve"> PAGEREF _Toc527576953 \h </w:instrText>
            </w:r>
            <w:r w:rsidR="00C9117E">
              <w:rPr>
                <w:noProof/>
                <w:webHidden/>
              </w:rPr>
            </w:r>
            <w:r w:rsidR="00C9117E">
              <w:rPr>
                <w:noProof/>
                <w:webHidden/>
              </w:rPr>
              <w:fldChar w:fldCharType="separate"/>
            </w:r>
            <w:r w:rsidR="00C9117E">
              <w:rPr>
                <w:noProof/>
                <w:webHidden/>
              </w:rPr>
              <w:t>26</w:t>
            </w:r>
            <w:r w:rsidR="00C9117E">
              <w:rPr>
                <w:noProof/>
                <w:webHidden/>
              </w:rPr>
              <w:fldChar w:fldCharType="end"/>
            </w:r>
          </w:hyperlink>
        </w:p>
        <w:p w14:paraId="2C201018" w14:textId="78218ABA" w:rsidR="00C9117E" w:rsidRDefault="00B127E3">
          <w:pPr>
            <w:pStyle w:val="TDC2"/>
            <w:tabs>
              <w:tab w:val="right" w:leader="dot" w:pos="8828"/>
            </w:tabs>
            <w:rPr>
              <w:rFonts w:eastAsiaTheme="minorEastAsia"/>
              <w:noProof/>
              <w:lang w:eastAsia="es-CR"/>
            </w:rPr>
          </w:pPr>
          <w:hyperlink w:anchor="_Toc527576954" w:history="1">
            <w:r w:rsidR="00C9117E" w:rsidRPr="009619FD">
              <w:rPr>
                <w:rStyle w:val="Hipervnculo"/>
                <w:rFonts w:ascii="Cambria" w:hAnsi="Cambria" w:cs="Arial"/>
                <w:b/>
                <w:noProof/>
              </w:rPr>
              <w:t>3.2 Tipo de investigación</w:t>
            </w:r>
            <w:r w:rsidR="00C9117E">
              <w:rPr>
                <w:noProof/>
                <w:webHidden/>
              </w:rPr>
              <w:tab/>
            </w:r>
            <w:r w:rsidR="00C9117E">
              <w:rPr>
                <w:noProof/>
                <w:webHidden/>
              </w:rPr>
              <w:fldChar w:fldCharType="begin"/>
            </w:r>
            <w:r w:rsidR="00C9117E">
              <w:rPr>
                <w:noProof/>
                <w:webHidden/>
              </w:rPr>
              <w:instrText xml:space="preserve"> PAGEREF _Toc527576954 \h </w:instrText>
            </w:r>
            <w:r w:rsidR="00C9117E">
              <w:rPr>
                <w:noProof/>
                <w:webHidden/>
              </w:rPr>
            </w:r>
            <w:r w:rsidR="00C9117E">
              <w:rPr>
                <w:noProof/>
                <w:webHidden/>
              </w:rPr>
              <w:fldChar w:fldCharType="separate"/>
            </w:r>
            <w:r w:rsidR="00C9117E">
              <w:rPr>
                <w:noProof/>
                <w:webHidden/>
              </w:rPr>
              <w:t>27</w:t>
            </w:r>
            <w:r w:rsidR="00C9117E">
              <w:rPr>
                <w:noProof/>
                <w:webHidden/>
              </w:rPr>
              <w:fldChar w:fldCharType="end"/>
            </w:r>
          </w:hyperlink>
        </w:p>
        <w:p w14:paraId="65164182" w14:textId="64E0D478" w:rsidR="00C9117E" w:rsidRDefault="00B127E3">
          <w:pPr>
            <w:pStyle w:val="TDC2"/>
            <w:tabs>
              <w:tab w:val="right" w:leader="dot" w:pos="8828"/>
            </w:tabs>
            <w:rPr>
              <w:rFonts w:eastAsiaTheme="minorEastAsia"/>
              <w:noProof/>
              <w:lang w:eastAsia="es-CR"/>
            </w:rPr>
          </w:pPr>
          <w:hyperlink w:anchor="_Toc527576955" w:history="1">
            <w:r w:rsidR="00C9117E" w:rsidRPr="009619FD">
              <w:rPr>
                <w:rStyle w:val="Hipervnculo"/>
                <w:rFonts w:ascii="Cambria" w:hAnsi="Cambria" w:cs="Arial"/>
                <w:b/>
                <w:noProof/>
              </w:rPr>
              <w:t>3.3 Tipo de Análisis de la investigación</w:t>
            </w:r>
            <w:r w:rsidR="00C9117E">
              <w:rPr>
                <w:noProof/>
                <w:webHidden/>
              </w:rPr>
              <w:tab/>
            </w:r>
            <w:r w:rsidR="00C9117E">
              <w:rPr>
                <w:noProof/>
                <w:webHidden/>
              </w:rPr>
              <w:fldChar w:fldCharType="begin"/>
            </w:r>
            <w:r w:rsidR="00C9117E">
              <w:rPr>
                <w:noProof/>
                <w:webHidden/>
              </w:rPr>
              <w:instrText xml:space="preserve"> PAGEREF _Toc527576955 \h </w:instrText>
            </w:r>
            <w:r w:rsidR="00C9117E">
              <w:rPr>
                <w:noProof/>
                <w:webHidden/>
              </w:rPr>
            </w:r>
            <w:r w:rsidR="00C9117E">
              <w:rPr>
                <w:noProof/>
                <w:webHidden/>
              </w:rPr>
              <w:fldChar w:fldCharType="separate"/>
            </w:r>
            <w:r w:rsidR="00C9117E">
              <w:rPr>
                <w:noProof/>
                <w:webHidden/>
              </w:rPr>
              <w:t>27</w:t>
            </w:r>
            <w:r w:rsidR="00C9117E">
              <w:rPr>
                <w:noProof/>
                <w:webHidden/>
              </w:rPr>
              <w:fldChar w:fldCharType="end"/>
            </w:r>
          </w:hyperlink>
        </w:p>
        <w:p w14:paraId="21DBFB6F" w14:textId="368BE1C3" w:rsidR="00C9117E" w:rsidRDefault="00B127E3">
          <w:pPr>
            <w:pStyle w:val="TDC2"/>
            <w:tabs>
              <w:tab w:val="right" w:leader="dot" w:pos="8828"/>
            </w:tabs>
            <w:rPr>
              <w:rFonts w:eastAsiaTheme="minorEastAsia"/>
              <w:noProof/>
              <w:lang w:eastAsia="es-CR"/>
            </w:rPr>
          </w:pPr>
          <w:hyperlink w:anchor="_Toc527576956" w:history="1">
            <w:r w:rsidR="00C9117E" w:rsidRPr="009619FD">
              <w:rPr>
                <w:rStyle w:val="Hipervnculo"/>
                <w:rFonts w:ascii="Cambria" w:hAnsi="Cambria" w:cs="Arial"/>
                <w:b/>
                <w:noProof/>
              </w:rPr>
              <w:t>3.4 Definición de la población de Estudio</w:t>
            </w:r>
            <w:r w:rsidR="00C9117E">
              <w:rPr>
                <w:noProof/>
                <w:webHidden/>
              </w:rPr>
              <w:tab/>
            </w:r>
            <w:r w:rsidR="00C9117E">
              <w:rPr>
                <w:noProof/>
                <w:webHidden/>
              </w:rPr>
              <w:fldChar w:fldCharType="begin"/>
            </w:r>
            <w:r w:rsidR="00C9117E">
              <w:rPr>
                <w:noProof/>
                <w:webHidden/>
              </w:rPr>
              <w:instrText xml:space="preserve"> PAGEREF _Toc527576956 \h </w:instrText>
            </w:r>
            <w:r w:rsidR="00C9117E">
              <w:rPr>
                <w:noProof/>
                <w:webHidden/>
              </w:rPr>
            </w:r>
            <w:r w:rsidR="00C9117E">
              <w:rPr>
                <w:noProof/>
                <w:webHidden/>
              </w:rPr>
              <w:fldChar w:fldCharType="separate"/>
            </w:r>
            <w:r w:rsidR="00C9117E">
              <w:rPr>
                <w:noProof/>
                <w:webHidden/>
              </w:rPr>
              <w:t>28</w:t>
            </w:r>
            <w:r w:rsidR="00C9117E">
              <w:rPr>
                <w:noProof/>
                <w:webHidden/>
              </w:rPr>
              <w:fldChar w:fldCharType="end"/>
            </w:r>
          </w:hyperlink>
        </w:p>
        <w:p w14:paraId="0F4997AF" w14:textId="638A8783" w:rsidR="00C9117E" w:rsidRDefault="00B127E3">
          <w:pPr>
            <w:pStyle w:val="TDC3"/>
            <w:tabs>
              <w:tab w:val="right" w:leader="dot" w:pos="8828"/>
            </w:tabs>
            <w:rPr>
              <w:rFonts w:eastAsiaTheme="minorEastAsia"/>
              <w:noProof/>
              <w:lang w:eastAsia="es-CR"/>
            </w:rPr>
          </w:pPr>
          <w:hyperlink w:anchor="_Toc527576957" w:history="1">
            <w:r w:rsidR="00C9117E" w:rsidRPr="009619FD">
              <w:rPr>
                <w:rStyle w:val="Hipervnculo"/>
                <w:rFonts w:ascii="Cambria" w:hAnsi="Cambria" w:cs="Arial"/>
                <w:b/>
                <w:noProof/>
              </w:rPr>
              <w:t>3.4.1 Fuentes de información:</w:t>
            </w:r>
            <w:r w:rsidR="00C9117E">
              <w:rPr>
                <w:noProof/>
                <w:webHidden/>
              </w:rPr>
              <w:tab/>
            </w:r>
            <w:r w:rsidR="00C9117E">
              <w:rPr>
                <w:noProof/>
                <w:webHidden/>
              </w:rPr>
              <w:fldChar w:fldCharType="begin"/>
            </w:r>
            <w:r w:rsidR="00C9117E">
              <w:rPr>
                <w:noProof/>
                <w:webHidden/>
              </w:rPr>
              <w:instrText xml:space="preserve"> PAGEREF _Toc527576957 \h </w:instrText>
            </w:r>
            <w:r w:rsidR="00C9117E">
              <w:rPr>
                <w:noProof/>
                <w:webHidden/>
              </w:rPr>
            </w:r>
            <w:r w:rsidR="00C9117E">
              <w:rPr>
                <w:noProof/>
                <w:webHidden/>
              </w:rPr>
              <w:fldChar w:fldCharType="separate"/>
            </w:r>
            <w:r w:rsidR="00C9117E">
              <w:rPr>
                <w:noProof/>
                <w:webHidden/>
              </w:rPr>
              <w:t>28</w:t>
            </w:r>
            <w:r w:rsidR="00C9117E">
              <w:rPr>
                <w:noProof/>
                <w:webHidden/>
              </w:rPr>
              <w:fldChar w:fldCharType="end"/>
            </w:r>
          </w:hyperlink>
        </w:p>
        <w:p w14:paraId="154CDD8F" w14:textId="5D5A6AB0" w:rsidR="00C9117E" w:rsidRDefault="00B127E3">
          <w:pPr>
            <w:pStyle w:val="TDC2"/>
            <w:tabs>
              <w:tab w:val="right" w:leader="dot" w:pos="8828"/>
            </w:tabs>
            <w:rPr>
              <w:rFonts w:eastAsiaTheme="minorEastAsia"/>
              <w:noProof/>
              <w:lang w:eastAsia="es-CR"/>
            </w:rPr>
          </w:pPr>
          <w:hyperlink w:anchor="_Toc527576958" w:history="1">
            <w:r w:rsidR="00C9117E" w:rsidRPr="009619FD">
              <w:rPr>
                <w:rStyle w:val="Hipervnculo"/>
                <w:rFonts w:ascii="Cambria" w:hAnsi="Cambria" w:cs="Arial"/>
                <w:b/>
                <w:noProof/>
              </w:rPr>
              <w:t>3.5 Selección de la muestra de Productores</w:t>
            </w:r>
            <w:r w:rsidR="00C9117E">
              <w:rPr>
                <w:noProof/>
                <w:webHidden/>
              </w:rPr>
              <w:tab/>
            </w:r>
            <w:r w:rsidR="00C9117E">
              <w:rPr>
                <w:noProof/>
                <w:webHidden/>
              </w:rPr>
              <w:fldChar w:fldCharType="begin"/>
            </w:r>
            <w:r w:rsidR="00C9117E">
              <w:rPr>
                <w:noProof/>
                <w:webHidden/>
              </w:rPr>
              <w:instrText xml:space="preserve"> PAGEREF _Toc527576958 \h </w:instrText>
            </w:r>
            <w:r w:rsidR="00C9117E">
              <w:rPr>
                <w:noProof/>
                <w:webHidden/>
              </w:rPr>
            </w:r>
            <w:r w:rsidR="00C9117E">
              <w:rPr>
                <w:noProof/>
                <w:webHidden/>
              </w:rPr>
              <w:fldChar w:fldCharType="separate"/>
            </w:r>
            <w:r w:rsidR="00C9117E">
              <w:rPr>
                <w:noProof/>
                <w:webHidden/>
              </w:rPr>
              <w:t>28</w:t>
            </w:r>
            <w:r w:rsidR="00C9117E">
              <w:rPr>
                <w:noProof/>
                <w:webHidden/>
              </w:rPr>
              <w:fldChar w:fldCharType="end"/>
            </w:r>
          </w:hyperlink>
        </w:p>
        <w:p w14:paraId="40DC6747" w14:textId="629F793E" w:rsidR="00C9117E" w:rsidRDefault="00B127E3">
          <w:pPr>
            <w:pStyle w:val="TDC2"/>
            <w:tabs>
              <w:tab w:val="right" w:leader="dot" w:pos="8828"/>
            </w:tabs>
            <w:rPr>
              <w:rFonts w:eastAsiaTheme="minorEastAsia"/>
              <w:noProof/>
              <w:lang w:eastAsia="es-CR"/>
            </w:rPr>
          </w:pPr>
          <w:hyperlink w:anchor="_Toc527576959" w:history="1">
            <w:r w:rsidR="00C9117E" w:rsidRPr="009619FD">
              <w:rPr>
                <w:rStyle w:val="Hipervnculo"/>
                <w:rFonts w:ascii="Cambria" w:hAnsi="Cambria" w:cs="Arial"/>
                <w:b/>
                <w:noProof/>
              </w:rPr>
              <w:t>3.6 Métodos Financieros utilizados para Valorar la Denominación de Origen Tarrazú</w:t>
            </w:r>
            <w:r w:rsidR="00C9117E">
              <w:rPr>
                <w:noProof/>
                <w:webHidden/>
              </w:rPr>
              <w:tab/>
            </w:r>
            <w:r w:rsidR="00C9117E">
              <w:rPr>
                <w:noProof/>
                <w:webHidden/>
              </w:rPr>
              <w:fldChar w:fldCharType="begin"/>
            </w:r>
            <w:r w:rsidR="00C9117E">
              <w:rPr>
                <w:noProof/>
                <w:webHidden/>
              </w:rPr>
              <w:instrText xml:space="preserve"> PAGEREF _Toc527576959 \h </w:instrText>
            </w:r>
            <w:r w:rsidR="00C9117E">
              <w:rPr>
                <w:noProof/>
                <w:webHidden/>
              </w:rPr>
            </w:r>
            <w:r w:rsidR="00C9117E">
              <w:rPr>
                <w:noProof/>
                <w:webHidden/>
              </w:rPr>
              <w:fldChar w:fldCharType="separate"/>
            </w:r>
            <w:r w:rsidR="00C9117E">
              <w:rPr>
                <w:noProof/>
                <w:webHidden/>
              </w:rPr>
              <w:t>29</w:t>
            </w:r>
            <w:r w:rsidR="00C9117E">
              <w:rPr>
                <w:noProof/>
                <w:webHidden/>
              </w:rPr>
              <w:fldChar w:fldCharType="end"/>
            </w:r>
          </w:hyperlink>
        </w:p>
        <w:p w14:paraId="6272EEB3" w14:textId="33D78B4A" w:rsidR="00C9117E" w:rsidRDefault="00B127E3">
          <w:pPr>
            <w:pStyle w:val="TDC3"/>
            <w:tabs>
              <w:tab w:val="right" w:leader="dot" w:pos="8828"/>
            </w:tabs>
            <w:rPr>
              <w:rFonts w:eastAsiaTheme="minorEastAsia"/>
              <w:noProof/>
              <w:lang w:eastAsia="es-CR"/>
            </w:rPr>
          </w:pPr>
          <w:hyperlink w:anchor="_Toc527576960" w:history="1">
            <w:r w:rsidR="00C9117E" w:rsidRPr="009619FD">
              <w:rPr>
                <w:rStyle w:val="Hipervnculo"/>
                <w:rFonts w:ascii="Cambria" w:hAnsi="Cambria" w:cs="Arial"/>
                <w:b/>
                <w:noProof/>
              </w:rPr>
              <w:t>3.6.1 Valor Razonable:</w:t>
            </w:r>
            <w:r w:rsidR="00C9117E">
              <w:rPr>
                <w:noProof/>
                <w:webHidden/>
              </w:rPr>
              <w:tab/>
            </w:r>
            <w:r w:rsidR="00C9117E">
              <w:rPr>
                <w:noProof/>
                <w:webHidden/>
              </w:rPr>
              <w:fldChar w:fldCharType="begin"/>
            </w:r>
            <w:r w:rsidR="00C9117E">
              <w:rPr>
                <w:noProof/>
                <w:webHidden/>
              </w:rPr>
              <w:instrText xml:space="preserve"> PAGEREF _Toc527576960 \h </w:instrText>
            </w:r>
            <w:r w:rsidR="00C9117E">
              <w:rPr>
                <w:noProof/>
                <w:webHidden/>
              </w:rPr>
            </w:r>
            <w:r w:rsidR="00C9117E">
              <w:rPr>
                <w:noProof/>
                <w:webHidden/>
              </w:rPr>
              <w:fldChar w:fldCharType="separate"/>
            </w:r>
            <w:r w:rsidR="00C9117E">
              <w:rPr>
                <w:noProof/>
                <w:webHidden/>
              </w:rPr>
              <w:t>30</w:t>
            </w:r>
            <w:r w:rsidR="00C9117E">
              <w:rPr>
                <w:noProof/>
                <w:webHidden/>
              </w:rPr>
              <w:fldChar w:fldCharType="end"/>
            </w:r>
          </w:hyperlink>
        </w:p>
        <w:p w14:paraId="6E3C360C" w14:textId="09E3139A" w:rsidR="00C9117E" w:rsidRDefault="00B127E3">
          <w:pPr>
            <w:pStyle w:val="TDC3"/>
            <w:tabs>
              <w:tab w:val="right" w:leader="dot" w:pos="8828"/>
            </w:tabs>
            <w:rPr>
              <w:rFonts w:eastAsiaTheme="minorEastAsia"/>
              <w:noProof/>
              <w:lang w:eastAsia="es-CR"/>
            </w:rPr>
          </w:pPr>
          <w:hyperlink w:anchor="_Toc527576961" w:history="1">
            <w:r w:rsidR="00C9117E" w:rsidRPr="009619FD">
              <w:rPr>
                <w:rStyle w:val="Hipervnculo"/>
                <w:rFonts w:ascii="Cambria" w:hAnsi="Cambria" w:cs="Arial"/>
                <w:b/>
                <w:noProof/>
              </w:rPr>
              <w:t>3.6.2 Metodología de Ingresos Futuros</w:t>
            </w:r>
            <w:r w:rsidR="00C9117E">
              <w:rPr>
                <w:noProof/>
                <w:webHidden/>
              </w:rPr>
              <w:tab/>
            </w:r>
            <w:r w:rsidR="00C9117E">
              <w:rPr>
                <w:noProof/>
                <w:webHidden/>
              </w:rPr>
              <w:fldChar w:fldCharType="begin"/>
            </w:r>
            <w:r w:rsidR="00C9117E">
              <w:rPr>
                <w:noProof/>
                <w:webHidden/>
              </w:rPr>
              <w:instrText xml:space="preserve"> PAGEREF _Toc527576961 \h </w:instrText>
            </w:r>
            <w:r w:rsidR="00C9117E">
              <w:rPr>
                <w:noProof/>
                <w:webHidden/>
              </w:rPr>
            </w:r>
            <w:r w:rsidR="00C9117E">
              <w:rPr>
                <w:noProof/>
                <w:webHidden/>
              </w:rPr>
              <w:fldChar w:fldCharType="separate"/>
            </w:r>
            <w:r w:rsidR="00C9117E">
              <w:rPr>
                <w:noProof/>
                <w:webHidden/>
              </w:rPr>
              <w:t>30</w:t>
            </w:r>
            <w:r w:rsidR="00C9117E">
              <w:rPr>
                <w:noProof/>
                <w:webHidden/>
              </w:rPr>
              <w:fldChar w:fldCharType="end"/>
            </w:r>
          </w:hyperlink>
        </w:p>
        <w:p w14:paraId="16F24F37" w14:textId="5EA9AFF6" w:rsidR="00C9117E" w:rsidRDefault="00B127E3">
          <w:pPr>
            <w:pStyle w:val="TDC3"/>
            <w:tabs>
              <w:tab w:val="right" w:leader="dot" w:pos="8828"/>
            </w:tabs>
            <w:rPr>
              <w:rFonts w:eastAsiaTheme="minorEastAsia"/>
              <w:noProof/>
              <w:lang w:eastAsia="es-CR"/>
            </w:rPr>
          </w:pPr>
          <w:hyperlink w:anchor="_Toc527576962" w:history="1">
            <w:r w:rsidR="00C9117E" w:rsidRPr="009619FD">
              <w:rPr>
                <w:rStyle w:val="Hipervnculo"/>
                <w:rFonts w:ascii="Cambria" w:hAnsi="Cambria" w:cs="Arial"/>
                <w:b/>
                <w:noProof/>
              </w:rPr>
              <w:t>3.6.3 Metodología de Valor de Mercado</w:t>
            </w:r>
            <w:r w:rsidR="00C9117E">
              <w:rPr>
                <w:noProof/>
                <w:webHidden/>
              </w:rPr>
              <w:tab/>
            </w:r>
            <w:r w:rsidR="00C9117E">
              <w:rPr>
                <w:noProof/>
                <w:webHidden/>
              </w:rPr>
              <w:fldChar w:fldCharType="begin"/>
            </w:r>
            <w:r w:rsidR="00C9117E">
              <w:rPr>
                <w:noProof/>
                <w:webHidden/>
              </w:rPr>
              <w:instrText xml:space="preserve"> PAGEREF _Toc527576962 \h </w:instrText>
            </w:r>
            <w:r w:rsidR="00C9117E">
              <w:rPr>
                <w:noProof/>
                <w:webHidden/>
              </w:rPr>
            </w:r>
            <w:r w:rsidR="00C9117E">
              <w:rPr>
                <w:noProof/>
                <w:webHidden/>
              </w:rPr>
              <w:fldChar w:fldCharType="separate"/>
            </w:r>
            <w:r w:rsidR="00C9117E">
              <w:rPr>
                <w:noProof/>
                <w:webHidden/>
              </w:rPr>
              <w:t>30</w:t>
            </w:r>
            <w:r w:rsidR="00C9117E">
              <w:rPr>
                <w:noProof/>
                <w:webHidden/>
              </w:rPr>
              <w:fldChar w:fldCharType="end"/>
            </w:r>
          </w:hyperlink>
        </w:p>
        <w:p w14:paraId="68D5B756" w14:textId="74BF4CA3" w:rsidR="00C9117E" w:rsidRDefault="00B127E3">
          <w:pPr>
            <w:pStyle w:val="TDC3"/>
            <w:tabs>
              <w:tab w:val="right" w:leader="dot" w:pos="8828"/>
            </w:tabs>
            <w:rPr>
              <w:rFonts w:eastAsiaTheme="minorEastAsia"/>
              <w:noProof/>
              <w:lang w:eastAsia="es-CR"/>
            </w:rPr>
          </w:pPr>
          <w:hyperlink w:anchor="_Toc527576963" w:history="1">
            <w:r w:rsidR="00C9117E" w:rsidRPr="009619FD">
              <w:rPr>
                <w:rStyle w:val="Hipervnculo"/>
                <w:rFonts w:ascii="Cambria" w:hAnsi="Cambria" w:cs="Arial"/>
                <w:b/>
                <w:noProof/>
              </w:rPr>
              <w:t>3.6.5 Descripción Metodología Ingresos Futuros – Activos Intangibles</w:t>
            </w:r>
            <w:r w:rsidR="00C9117E">
              <w:rPr>
                <w:noProof/>
                <w:webHidden/>
              </w:rPr>
              <w:tab/>
            </w:r>
            <w:r w:rsidR="00C9117E">
              <w:rPr>
                <w:noProof/>
                <w:webHidden/>
              </w:rPr>
              <w:fldChar w:fldCharType="begin"/>
            </w:r>
            <w:r w:rsidR="00C9117E">
              <w:rPr>
                <w:noProof/>
                <w:webHidden/>
              </w:rPr>
              <w:instrText xml:space="preserve"> PAGEREF _Toc527576963 \h </w:instrText>
            </w:r>
            <w:r w:rsidR="00C9117E">
              <w:rPr>
                <w:noProof/>
                <w:webHidden/>
              </w:rPr>
            </w:r>
            <w:r w:rsidR="00C9117E">
              <w:rPr>
                <w:noProof/>
                <w:webHidden/>
              </w:rPr>
              <w:fldChar w:fldCharType="separate"/>
            </w:r>
            <w:r w:rsidR="00C9117E">
              <w:rPr>
                <w:noProof/>
                <w:webHidden/>
              </w:rPr>
              <w:t>31</w:t>
            </w:r>
            <w:r w:rsidR="00C9117E">
              <w:rPr>
                <w:noProof/>
                <w:webHidden/>
              </w:rPr>
              <w:fldChar w:fldCharType="end"/>
            </w:r>
          </w:hyperlink>
        </w:p>
        <w:p w14:paraId="69E74D95" w14:textId="51FB650C" w:rsidR="00C9117E" w:rsidRDefault="00B127E3">
          <w:pPr>
            <w:pStyle w:val="TDC3"/>
            <w:tabs>
              <w:tab w:val="right" w:leader="dot" w:pos="8828"/>
            </w:tabs>
            <w:rPr>
              <w:rFonts w:eastAsiaTheme="minorEastAsia"/>
              <w:noProof/>
              <w:lang w:eastAsia="es-CR"/>
            </w:rPr>
          </w:pPr>
          <w:hyperlink w:anchor="_Toc527576964" w:history="1">
            <w:r w:rsidR="00C9117E" w:rsidRPr="009619FD">
              <w:rPr>
                <w:rStyle w:val="Hipervnculo"/>
                <w:rFonts w:ascii="Cambria" w:hAnsi="Cambria" w:cs="Arial"/>
                <w:b/>
                <w:noProof/>
              </w:rPr>
              <w:t>3.6.6 Ahorro en Regalías (en inglés, Relief from Royalties)</w:t>
            </w:r>
            <w:r w:rsidR="00C9117E">
              <w:rPr>
                <w:noProof/>
                <w:webHidden/>
              </w:rPr>
              <w:tab/>
            </w:r>
            <w:r w:rsidR="00C9117E">
              <w:rPr>
                <w:noProof/>
                <w:webHidden/>
              </w:rPr>
              <w:fldChar w:fldCharType="begin"/>
            </w:r>
            <w:r w:rsidR="00C9117E">
              <w:rPr>
                <w:noProof/>
                <w:webHidden/>
              </w:rPr>
              <w:instrText xml:space="preserve"> PAGEREF _Toc527576964 \h </w:instrText>
            </w:r>
            <w:r w:rsidR="00C9117E">
              <w:rPr>
                <w:noProof/>
                <w:webHidden/>
              </w:rPr>
            </w:r>
            <w:r w:rsidR="00C9117E">
              <w:rPr>
                <w:noProof/>
                <w:webHidden/>
              </w:rPr>
              <w:fldChar w:fldCharType="separate"/>
            </w:r>
            <w:r w:rsidR="00C9117E">
              <w:rPr>
                <w:noProof/>
                <w:webHidden/>
              </w:rPr>
              <w:t>31</w:t>
            </w:r>
            <w:r w:rsidR="00C9117E">
              <w:rPr>
                <w:noProof/>
                <w:webHidden/>
              </w:rPr>
              <w:fldChar w:fldCharType="end"/>
            </w:r>
          </w:hyperlink>
        </w:p>
        <w:p w14:paraId="69984A2F" w14:textId="5C42773C" w:rsidR="00C9117E" w:rsidRDefault="00B127E3">
          <w:pPr>
            <w:pStyle w:val="TDC3"/>
            <w:tabs>
              <w:tab w:val="right" w:leader="dot" w:pos="8828"/>
            </w:tabs>
            <w:rPr>
              <w:rFonts w:eastAsiaTheme="minorEastAsia"/>
              <w:noProof/>
              <w:lang w:eastAsia="es-CR"/>
            </w:rPr>
          </w:pPr>
          <w:hyperlink w:anchor="_Toc527576965" w:history="1">
            <w:r w:rsidR="00C9117E" w:rsidRPr="009619FD">
              <w:rPr>
                <w:rStyle w:val="Hipervnculo"/>
                <w:rFonts w:ascii="Cambria" w:hAnsi="Cambria" w:cs="Arial"/>
                <w:b/>
                <w:noProof/>
              </w:rPr>
              <w:t>3.6.7 Flujo de Caja Diferencial (en inglés, Differential method | With and Without)</w:t>
            </w:r>
            <w:r w:rsidR="00C9117E">
              <w:rPr>
                <w:noProof/>
                <w:webHidden/>
              </w:rPr>
              <w:tab/>
            </w:r>
            <w:r w:rsidR="00C9117E">
              <w:rPr>
                <w:noProof/>
                <w:webHidden/>
              </w:rPr>
              <w:fldChar w:fldCharType="begin"/>
            </w:r>
            <w:r w:rsidR="00C9117E">
              <w:rPr>
                <w:noProof/>
                <w:webHidden/>
              </w:rPr>
              <w:instrText xml:space="preserve"> PAGEREF _Toc527576965 \h </w:instrText>
            </w:r>
            <w:r w:rsidR="00C9117E">
              <w:rPr>
                <w:noProof/>
                <w:webHidden/>
              </w:rPr>
            </w:r>
            <w:r w:rsidR="00C9117E">
              <w:rPr>
                <w:noProof/>
                <w:webHidden/>
              </w:rPr>
              <w:fldChar w:fldCharType="separate"/>
            </w:r>
            <w:r w:rsidR="00C9117E">
              <w:rPr>
                <w:noProof/>
                <w:webHidden/>
              </w:rPr>
              <w:t>32</w:t>
            </w:r>
            <w:r w:rsidR="00C9117E">
              <w:rPr>
                <w:noProof/>
                <w:webHidden/>
              </w:rPr>
              <w:fldChar w:fldCharType="end"/>
            </w:r>
          </w:hyperlink>
        </w:p>
        <w:p w14:paraId="1262CCFC" w14:textId="28CD4CE5" w:rsidR="00C9117E" w:rsidRDefault="00B127E3">
          <w:pPr>
            <w:pStyle w:val="TDC2"/>
            <w:tabs>
              <w:tab w:val="right" w:leader="dot" w:pos="8828"/>
            </w:tabs>
            <w:rPr>
              <w:rFonts w:eastAsiaTheme="minorEastAsia"/>
              <w:noProof/>
              <w:lang w:eastAsia="es-CR"/>
            </w:rPr>
          </w:pPr>
          <w:hyperlink w:anchor="_Toc527576966" w:history="1">
            <w:r w:rsidR="00C9117E" w:rsidRPr="009619FD">
              <w:rPr>
                <w:rStyle w:val="Hipervnculo"/>
                <w:rFonts w:ascii="Cambria" w:hAnsi="Cambria" w:cs="Arial"/>
                <w:b/>
                <w:noProof/>
              </w:rPr>
              <w:t>3.7 Estimación Econométrica para determinar los efectos de la Denominación de Origen Tarrazú en los productores de los Santos</w:t>
            </w:r>
            <w:r w:rsidR="00C9117E">
              <w:rPr>
                <w:noProof/>
                <w:webHidden/>
              </w:rPr>
              <w:tab/>
            </w:r>
            <w:r w:rsidR="00C9117E">
              <w:rPr>
                <w:noProof/>
                <w:webHidden/>
              </w:rPr>
              <w:fldChar w:fldCharType="begin"/>
            </w:r>
            <w:r w:rsidR="00C9117E">
              <w:rPr>
                <w:noProof/>
                <w:webHidden/>
              </w:rPr>
              <w:instrText xml:space="preserve"> PAGEREF _Toc527576966 \h </w:instrText>
            </w:r>
            <w:r w:rsidR="00C9117E">
              <w:rPr>
                <w:noProof/>
                <w:webHidden/>
              </w:rPr>
            </w:r>
            <w:r w:rsidR="00C9117E">
              <w:rPr>
                <w:noProof/>
                <w:webHidden/>
              </w:rPr>
              <w:fldChar w:fldCharType="separate"/>
            </w:r>
            <w:r w:rsidR="00C9117E">
              <w:rPr>
                <w:noProof/>
                <w:webHidden/>
              </w:rPr>
              <w:t>32</w:t>
            </w:r>
            <w:r w:rsidR="00C9117E">
              <w:rPr>
                <w:noProof/>
                <w:webHidden/>
              </w:rPr>
              <w:fldChar w:fldCharType="end"/>
            </w:r>
          </w:hyperlink>
        </w:p>
        <w:p w14:paraId="735EA634" w14:textId="4C465403" w:rsidR="00C9117E" w:rsidRDefault="00B127E3">
          <w:pPr>
            <w:pStyle w:val="TDC1"/>
            <w:tabs>
              <w:tab w:val="right" w:leader="dot" w:pos="8828"/>
            </w:tabs>
            <w:rPr>
              <w:rFonts w:eastAsiaTheme="minorEastAsia"/>
              <w:noProof/>
              <w:lang w:eastAsia="es-CR"/>
            </w:rPr>
          </w:pPr>
          <w:hyperlink w:anchor="_Toc527576967" w:history="1">
            <w:r w:rsidR="00C9117E" w:rsidRPr="009619FD">
              <w:rPr>
                <w:rStyle w:val="Hipervnculo"/>
                <w:rFonts w:ascii="Cambria" w:hAnsi="Cambria"/>
                <w:b/>
                <w:noProof/>
              </w:rPr>
              <w:t>Capítulo IV: Resultados</w:t>
            </w:r>
            <w:r w:rsidR="00C9117E">
              <w:rPr>
                <w:noProof/>
                <w:webHidden/>
              </w:rPr>
              <w:tab/>
            </w:r>
            <w:r w:rsidR="00C9117E">
              <w:rPr>
                <w:noProof/>
                <w:webHidden/>
              </w:rPr>
              <w:fldChar w:fldCharType="begin"/>
            </w:r>
            <w:r w:rsidR="00C9117E">
              <w:rPr>
                <w:noProof/>
                <w:webHidden/>
              </w:rPr>
              <w:instrText xml:space="preserve"> PAGEREF _Toc527576967 \h </w:instrText>
            </w:r>
            <w:r w:rsidR="00C9117E">
              <w:rPr>
                <w:noProof/>
                <w:webHidden/>
              </w:rPr>
            </w:r>
            <w:r w:rsidR="00C9117E">
              <w:rPr>
                <w:noProof/>
                <w:webHidden/>
              </w:rPr>
              <w:fldChar w:fldCharType="separate"/>
            </w:r>
            <w:r w:rsidR="00C9117E">
              <w:rPr>
                <w:noProof/>
                <w:webHidden/>
              </w:rPr>
              <w:t>36</w:t>
            </w:r>
            <w:r w:rsidR="00C9117E">
              <w:rPr>
                <w:noProof/>
                <w:webHidden/>
              </w:rPr>
              <w:fldChar w:fldCharType="end"/>
            </w:r>
          </w:hyperlink>
        </w:p>
        <w:p w14:paraId="111AFDBF" w14:textId="5E1FBEED" w:rsidR="00C9117E" w:rsidRDefault="00B127E3">
          <w:pPr>
            <w:pStyle w:val="TDC1"/>
            <w:tabs>
              <w:tab w:val="right" w:leader="dot" w:pos="8828"/>
            </w:tabs>
            <w:rPr>
              <w:rFonts w:eastAsiaTheme="minorEastAsia"/>
              <w:noProof/>
              <w:lang w:eastAsia="es-CR"/>
            </w:rPr>
          </w:pPr>
          <w:hyperlink w:anchor="_Toc527576968" w:history="1">
            <w:r w:rsidR="00C9117E" w:rsidRPr="009619FD">
              <w:rPr>
                <w:rStyle w:val="Hipervnculo"/>
                <w:rFonts w:ascii="Cambria" w:hAnsi="Cambria"/>
                <w:b/>
                <w:noProof/>
              </w:rPr>
              <w:t>Capítulo V: Conclusiones y Recomendaciones</w:t>
            </w:r>
            <w:r w:rsidR="00C9117E">
              <w:rPr>
                <w:noProof/>
                <w:webHidden/>
              </w:rPr>
              <w:tab/>
            </w:r>
            <w:r w:rsidR="00C9117E">
              <w:rPr>
                <w:noProof/>
                <w:webHidden/>
              </w:rPr>
              <w:fldChar w:fldCharType="begin"/>
            </w:r>
            <w:r w:rsidR="00C9117E">
              <w:rPr>
                <w:noProof/>
                <w:webHidden/>
              </w:rPr>
              <w:instrText xml:space="preserve"> PAGEREF _Toc527576968 \h </w:instrText>
            </w:r>
            <w:r w:rsidR="00C9117E">
              <w:rPr>
                <w:noProof/>
                <w:webHidden/>
              </w:rPr>
            </w:r>
            <w:r w:rsidR="00C9117E">
              <w:rPr>
                <w:noProof/>
                <w:webHidden/>
              </w:rPr>
              <w:fldChar w:fldCharType="separate"/>
            </w:r>
            <w:r w:rsidR="00C9117E">
              <w:rPr>
                <w:noProof/>
                <w:webHidden/>
              </w:rPr>
              <w:t>72</w:t>
            </w:r>
            <w:r w:rsidR="00C9117E">
              <w:rPr>
                <w:noProof/>
                <w:webHidden/>
              </w:rPr>
              <w:fldChar w:fldCharType="end"/>
            </w:r>
          </w:hyperlink>
        </w:p>
        <w:p w14:paraId="53854EBE" w14:textId="14D9E5F5" w:rsidR="00C9117E" w:rsidRDefault="00B127E3">
          <w:pPr>
            <w:pStyle w:val="TDC1"/>
            <w:tabs>
              <w:tab w:val="right" w:leader="dot" w:pos="8828"/>
            </w:tabs>
            <w:rPr>
              <w:rFonts w:eastAsiaTheme="minorEastAsia"/>
              <w:noProof/>
              <w:lang w:eastAsia="es-CR"/>
            </w:rPr>
          </w:pPr>
          <w:hyperlink w:anchor="_Toc527576969" w:history="1">
            <w:r w:rsidR="00C9117E" w:rsidRPr="009619FD">
              <w:rPr>
                <w:rStyle w:val="Hipervnculo"/>
                <w:rFonts w:ascii="Cambria" w:hAnsi="Cambria" w:cs="Arial"/>
                <w:b/>
                <w:noProof/>
                <w:lang w:val="es-ES"/>
              </w:rPr>
              <w:t>Bibliografía</w:t>
            </w:r>
            <w:r w:rsidR="00C9117E">
              <w:rPr>
                <w:noProof/>
                <w:webHidden/>
              </w:rPr>
              <w:tab/>
            </w:r>
            <w:r w:rsidR="00C9117E">
              <w:rPr>
                <w:noProof/>
                <w:webHidden/>
              </w:rPr>
              <w:fldChar w:fldCharType="begin"/>
            </w:r>
            <w:r w:rsidR="00C9117E">
              <w:rPr>
                <w:noProof/>
                <w:webHidden/>
              </w:rPr>
              <w:instrText xml:space="preserve"> PAGEREF _Toc527576969 \h </w:instrText>
            </w:r>
            <w:r w:rsidR="00C9117E">
              <w:rPr>
                <w:noProof/>
                <w:webHidden/>
              </w:rPr>
            </w:r>
            <w:r w:rsidR="00C9117E">
              <w:rPr>
                <w:noProof/>
                <w:webHidden/>
              </w:rPr>
              <w:fldChar w:fldCharType="separate"/>
            </w:r>
            <w:r w:rsidR="00C9117E">
              <w:rPr>
                <w:noProof/>
                <w:webHidden/>
              </w:rPr>
              <w:t>78</w:t>
            </w:r>
            <w:r w:rsidR="00C9117E">
              <w:rPr>
                <w:noProof/>
                <w:webHidden/>
              </w:rPr>
              <w:fldChar w:fldCharType="end"/>
            </w:r>
          </w:hyperlink>
        </w:p>
        <w:p w14:paraId="1DAFB439" w14:textId="543B7FED" w:rsidR="00A571ED" w:rsidRPr="00431183" w:rsidRDefault="005C7CB3" w:rsidP="00AF1E1D">
          <w:pPr>
            <w:spacing w:line="240" w:lineRule="auto"/>
            <w:jc w:val="center"/>
            <w:rPr>
              <w:rFonts w:ascii="Cambria" w:hAnsi="Cambria"/>
              <w:sz w:val="24"/>
              <w:szCs w:val="24"/>
              <w:lang w:eastAsia="es-CR"/>
            </w:rPr>
          </w:pPr>
          <w:r w:rsidRPr="00431183">
            <w:rPr>
              <w:rFonts w:ascii="Cambria" w:hAnsi="Cambria"/>
              <w:b/>
              <w:bCs/>
              <w:sz w:val="24"/>
              <w:szCs w:val="24"/>
              <w:lang w:val="es-ES"/>
            </w:rPr>
            <w:fldChar w:fldCharType="end"/>
          </w:r>
        </w:p>
      </w:sdtContent>
    </w:sdt>
    <w:bookmarkStart w:id="2" w:name="_Toc454571245" w:displacedByCustomXml="prev"/>
    <w:p w14:paraId="54B1AAF6" w14:textId="7E693BEC" w:rsidR="00912974" w:rsidRPr="00AF1E1D" w:rsidRDefault="006A0328" w:rsidP="00AF1E1D">
      <w:pPr>
        <w:spacing w:line="240" w:lineRule="auto"/>
        <w:jc w:val="center"/>
        <w:rPr>
          <w:b/>
          <w:sz w:val="24"/>
          <w:szCs w:val="24"/>
        </w:rPr>
      </w:pPr>
      <w:r w:rsidRPr="00AF1E1D">
        <w:rPr>
          <w:rFonts w:ascii="Cambria" w:hAnsi="Cambria"/>
          <w:b/>
          <w:sz w:val="24"/>
          <w:szCs w:val="24"/>
          <w:lang w:eastAsia="es-CR"/>
        </w:rPr>
        <w:t>Índice</w:t>
      </w:r>
      <w:r w:rsidR="0009604A" w:rsidRPr="00AF1E1D">
        <w:rPr>
          <w:b/>
          <w:sz w:val="24"/>
          <w:szCs w:val="24"/>
        </w:rPr>
        <w:t xml:space="preserve"> de Gráficos</w:t>
      </w:r>
    </w:p>
    <w:p w14:paraId="37FFA625" w14:textId="3B875679" w:rsidR="0009604A" w:rsidRDefault="000257F9">
      <w:pPr>
        <w:pStyle w:val="Tabladeilustraciones"/>
        <w:tabs>
          <w:tab w:val="right" w:leader="dot" w:pos="8828"/>
        </w:tabs>
        <w:rPr>
          <w:rFonts w:eastAsiaTheme="minorEastAsia"/>
          <w:noProof/>
          <w:lang w:eastAsia="es-CR"/>
        </w:rPr>
      </w:pPr>
      <w:r>
        <w:rPr>
          <w:rFonts w:ascii="Cambria" w:hAnsi="Cambria"/>
          <w:sz w:val="24"/>
          <w:szCs w:val="24"/>
          <w:lang w:eastAsia="es-CR"/>
        </w:rPr>
        <w:fldChar w:fldCharType="begin"/>
      </w:r>
      <w:r>
        <w:rPr>
          <w:rFonts w:ascii="Cambria" w:hAnsi="Cambria"/>
          <w:sz w:val="24"/>
          <w:szCs w:val="24"/>
          <w:lang w:eastAsia="es-CR"/>
        </w:rPr>
        <w:instrText xml:space="preserve"> TOC \h \z \c "Gráfico" </w:instrText>
      </w:r>
      <w:r>
        <w:rPr>
          <w:rFonts w:ascii="Cambria" w:hAnsi="Cambria"/>
          <w:sz w:val="24"/>
          <w:szCs w:val="24"/>
          <w:lang w:eastAsia="es-CR"/>
        </w:rPr>
        <w:fldChar w:fldCharType="separate"/>
      </w:r>
      <w:hyperlink w:anchor="_Toc527574647" w:history="1">
        <w:r w:rsidR="0009604A" w:rsidRPr="00232D98">
          <w:rPr>
            <w:rStyle w:val="Hipervnculo"/>
            <w:rFonts w:ascii="Cambria" w:hAnsi="Cambria" w:cs="Arial"/>
            <w:b/>
            <w:noProof/>
          </w:rPr>
          <w:t>Gráfico 1</w:t>
        </w:r>
        <w:r w:rsidR="0009604A">
          <w:rPr>
            <w:noProof/>
            <w:webHidden/>
          </w:rPr>
          <w:tab/>
        </w:r>
        <w:r w:rsidR="0009604A">
          <w:rPr>
            <w:noProof/>
            <w:webHidden/>
          </w:rPr>
          <w:fldChar w:fldCharType="begin"/>
        </w:r>
        <w:r w:rsidR="0009604A">
          <w:rPr>
            <w:noProof/>
            <w:webHidden/>
          </w:rPr>
          <w:instrText xml:space="preserve"> PAGEREF _Toc527574647 \h </w:instrText>
        </w:r>
        <w:r w:rsidR="0009604A">
          <w:rPr>
            <w:noProof/>
            <w:webHidden/>
          </w:rPr>
        </w:r>
        <w:r w:rsidR="0009604A">
          <w:rPr>
            <w:noProof/>
            <w:webHidden/>
          </w:rPr>
          <w:fldChar w:fldCharType="separate"/>
        </w:r>
        <w:r w:rsidR="0009604A">
          <w:rPr>
            <w:noProof/>
            <w:webHidden/>
          </w:rPr>
          <w:t>36</w:t>
        </w:r>
        <w:r w:rsidR="0009604A">
          <w:rPr>
            <w:noProof/>
            <w:webHidden/>
          </w:rPr>
          <w:fldChar w:fldCharType="end"/>
        </w:r>
      </w:hyperlink>
    </w:p>
    <w:p w14:paraId="6595B886" w14:textId="313E6C9E" w:rsidR="0009604A" w:rsidRDefault="00B127E3">
      <w:pPr>
        <w:pStyle w:val="Tabladeilustraciones"/>
        <w:tabs>
          <w:tab w:val="right" w:leader="dot" w:pos="8828"/>
        </w:tabs>
        <w:rPr>
          <w:rFonts w:eastAsiaTheme="minorEastAsia"/>
          <w:noProof/>
          <w:lang w:eastAsia="es-CR"/>
        </w:rPr>
      </w:pPr>
      <w:hyperlink w:anchor="_Toc527574648" w:history="1">
        <w:r w:rsidR="0009604A" w:rsidRPr="00232D98">
          <w:rPr>
            <w:rStyle w:val="Hipervnculo"/>
            <w:rFonts w:ascii="Cambria" w:hAnsi="Cambria" w:cs="Arial"/>
            <w:b/>
            <w:noProof/>
          </w:rPr>
          <w:t>Gráfico 2</w:t>
        </w:r>
        <w:r w:rsidR="0009604A">
          <w:rPr>
            <w:noProof/>
            <w:webHidden/>
          </w:rPr>
          <w:tab/>
        </w:r>
        <w:r w:rsidR="0009604A">
          <w:rPr>
            <w:noProof/>
            <w:webHidden/>
          </w:rPr>
          <w:fldChar w:fldCharType="begin"/>
        </w:r>
        <w:r w:rsidR="0009604A">
          <w:rPr>
            <w:noProof/>
            <w:webHidden/>
          </w:rPr>
          <w:instrText xml:space="preserve"> PAGEREF _Toc527574648 \h </w:instrText>
        </w:r>
        <w:r w:rsidR="0009604A">
          <w:rPr>
            <w:noProof/>
            <w:webHidden/>
          </w:rPr>
        </w:r>
        <w:r w:rsidR="0009604A">
          <w:rPr>
            <w:noProof/>
            <w:webHidden/>
          </w:rPr>
          <w:fldChar w:fldCharType="separate"/>
        </w:r>
        <w:r w:rsidR="0009604A">
          <w:rPr>
            <w:noProof/>
            <w:webHidden/>
          </w:rPr>
          <w:t>38</w:t>
        </w:r>
        <w:r w:rsidR="0009604A">
          <w:rPr>
            <w:noProof/>
            <w:webHidden/>
          </w:rPr>
          <w:fldChar w:fldCharType="end"/>
        </w:r>
      </w:hyperlink>
    </w:p>
    <w:p w14:paraId="3BD4D9C7" w14:textId="0E77DC72" w:rsidR="0009604A" w:rsidRDefault="00B127E3">
      <w:pPr>
        <w:pStyle w:val="Tabladeilustraciones"/>
        <w:tabs>
          <w:tab w:val="right" w:leader="dot" w:pos="8828"/>
        </w:tabs>
        <w:rPr>
          <w:rFonts w:eastAsiaTheme="minorEastAsia"/>
          <w:noProof/>
          <w:lang w:eastAsia="es-CR"/>
        </w:rPr>
      </w:pPr>
      <w:hyperlink w:anchor="_Toc527574649" w:history="1">
        <w:r w:rsidR="0009604A" w:rsidRPr="00232D98">
          <w:rPr>
            <w:rStyle w:val="Hipervnculo"/>
            <w:rFonts w:ascii="Cambria" w:hAnsi="Cambria" w:cs="Arial"/>
            <w:b/>
            <w:noProof/>
          </w:rPr>
          <w:t>Gráfico 3</w:t>
        </w:r>
        <w:r w:rsidR="0009604A">
          <w:rPr>
            <w:noProof/>
            <w:webHidden/>
          </w:rPr>
          <w:tab/>
        </w:r>
        <w:r w:rsidR="0009604A">
          <w:rPr>
            <w:noProof/>
            <w:webHidden/>
          </w:rPr>
          <w:fldChar w:fldCharType="begin"/>
        </w:r>
        <w:r w:rsidR="0009604A">
          <w:rPr>
            <w:noProof/>
            <w:webHidden/>
          </w:rPr>
          <w:instrText xml:space="preserve"> PAGEREF _Toc527574649 \h </w:instrText>
        </w:r>
        <w:r w:rsidR="0009604A">
          <w:rPr>
            <w:noProof/>
            <w:webHidden/>
          </w:rPr>
        </w:r>
        <w:r w:rsidR="0009604A">
          <w:rPr>
            <w:noProof/>
            <w:webHidden/>
          </w:rPr>
          <w:fldChar w:fldCharType="separate"/>
        </w:r>
        <w:r w:rsidR="0009604A">
          <w:rPr>
            <w:noProof/>
            <w:webHidden/>
          </w:rPr>
          <w:t>38</w:t>
        </w:r>
        <w:r w:rsidR="0009604A">
          <w:rPr>
            <w:noProof/>
            <w:webHidden/>
          </w:rPr>
          <w:fldChar w:fldCharType="end"/>
        </w:r>
      </w:hyperlink>
    </w:p>
    <w:p w14:paraId="6FB36CC0" w14:textId="36256CA1" w:rsidR="0009604A" w:rsidRDefault="00B127E3">
      <w:pPr>
        <w:pStyle w:val="Tabladeilustraciones"/>
        <w:tabs>
          <w:tab w:val="right" w:leader="dot" w:pos="8828"/>
        </w:tabs>
        <w:rPr>
          <w:rFonts w:eastAsiaTheme="minorEastAsia"/>
          <w:noProof/>
          <w:lang w:eastAsia="es-CR"/>
        </w:rPr>
      </w:pPr>
      <w:hyperlink w:anchor="_Toc527574650" w:history="1">
        <w:r w:rsidR="0009604A" w:rsidRPr="00232D98">
          <w:rPr>
            <w:rStyle w:val="Hipervnculo"/>
            <w:rFonts w:ascii="Cambria" w:hAnsi="Cambria" w:cs="Arial"/>
            <w:b/>
            <w:noProof/>
          </w:rPr>
          <w:t>Gráfico 4</w:t>
        </w:r>
        <w:r w:rsidR="0009604A">
          <w:rPr>
            <w:noProof/>
            <w:webHidden/>
          </w:rPr>
          <w:tab/>
        </w:r>
        <w:r w:rsidR="0009604A">
          <w:rPr>
            <w:noProof/>
            <w:webHidden/>
          </w:rPr>
          <w:fldChar w:fldCharType="begin"/>
        </w:r>
        <w:r w:rsidR="0009604A">
          <w:rPr>
            <w:noProof/>
            <w:webHidden/>
          </w:rPr>
          <w:instrText xml:space="preserve"> PAGEREF _Toc527574650 \h </w:instrText>
        </w:r>
        <w:r w:rsidR="0009604A">
          <w:rPr>
            <w:noProof/>
            <w:webHidden/>
          </w:rPr>
        </w:r>
        <w:r w:rsidR="0009604A">
          <w:rPr>
            <w:noProof/>
            <w:webHidden/>
          </w:rPr>
          <w:fldChar w:fldCharType="separate"/>
        </w:r>
        <w:r w:rsidR="0009604A">
          <w:rPr>
            <w:noProof/>
            <w:webHidden/>
          </w:rPr>
          <w:t>39</w:t>
        </w:r>
        <w:r w:rsidR="0009604A">
          <w:rPr>
            <w:noProof/>
            <w:webHidden/>
          </w:rPr>
          <w:fldChar w:fldCharType="end"/>
        </w:r>
      </w:hyperlink>
    </w:p>
    <w:p w14:paraId="515FEA33" w14:textId="3A85D600" w:rsidR="0009604A" w:rsidRDefault="00B127E3">
      <w:pPr>
        <w:pStyle w:val="Tabladeilustraciones"/>
        <w:tabs>
          <w:tab w:val="right" w:leader="dot" w:pos="8828"/>
        </w:tabs>
        <w:rPr>
          <w:rFonts w:eastAsiaTheme="minorEastAsia"/>
          <w:noProof/>
          <w:lang w:eastAsia="es-CR"/>
        </w:rPr>
      </w:pPr>
      <w:hyperlink w:anchor="_Toc527574651" w:history="1">
        <w:r w:rsidR="0009604A" w:rsidRPr="00232D98">
          <w:rPr>
            <w:rStyle w:val="Hipervnculo"/>
            <w:rFonts w:ascii="Cambria" w:hAnsi="Cambria" w:cs="Arial"/>
            <w:b/>
            <w:noProof/>
          </w:rPr>
          <w:t>Gráfico 5</w:t>
        </w:r>
        <w:r w:rsidR="0009604A">
          <w:rPr>
            <w:noProof/>
            <w:webHidden/>
          </w:rPr>
          <w:tab/>
        </w:r>
        <w:r w:rsidR="0009604A">
          <w:rPr>
            <w:noProof/>
            <w:webHidden/>
          </w:rPr>
          <w:fldChar w:fldCharType="begin"/>
        </w:r>
        <w:r w:rsidR="0009604A">
          <w:rPr>
            <w:noProof/>
            <w:webHidden/>
          </w:rPr>
          <w:instrText xml:space="preserve"> PAGEREF _Toc527574651 \h </w:instrText>
        </w:r>
        <w:r w:rsidR="0009604A">
          <w:rPr>
            <w:noProof/>
            <w:webHidden/>
          </w:rPr>
        </w:r>
        <w:r w:rsidR="0009604A">
          <w:rPr>
            <w:noProof/>
            <w:webHidden/>
          </w:rPr>
          <w:fldChar w:fldCharType="separate"/>
        </w:r>
        <w:r w:rsidR="0009604A">
          <w:rPr>
            <w:noProof/>
            <w:webHidden/>
          </w:rPr>
          <w:t>40</w:t>
        </w:r>
        <w:r w:rsidR="0009604A">
          <w:rPr>
            <w:noProof/>
            <w:webHidden/>
          </w:rPr>
          <w:fldChar w:fldCharType="end"/>
        </w:r>
      </w:hyperlink>
    </w:p>
    <w:p w14:paraId="67A88875" w14:textId="6020CAC8" w:rsidR="0009604A" w:rsidRDefault="00B127E3">
      <w:pPr>
        <w:pStyle w:val="Tabladeilustraciones"/>
        <w:tabs>
          <w:tab w:val="right" w:leader="dot" w:pos="8828"/>
        </w:tabs>
        <w:rPr>
          <w:rFonts w:eastAsiaTheme="minorEastAsia"/>
          <w:noProof/>
          <w:lang w:eastAsia="es-CR"/>
        </w:rPr>
      </w:pPr>
      <w:hyperlink w:anchor="_Toc527574652" w:history="1">
        <w:r w:rsidR="0009604A" w:rsidRPr="00232D98">
          <w:rPr>
            <w:rStyle w:val="Hipervnculo"/>
            <w:rFonts w:ascii="Cambria" w:hAnsi="Cambria"/>
            <w:b/>
            <w:noProof/>
          </w:rPr>
          <w:t>Gráfico 6</w:t>
        </w:r>
        <w:r w:rsidR="0009604A">
          <w:rPr>
            <w:noProof/>
            <w:webHidden/>
          </w:rPr>
          <w:tab/>
        </w:r>
        <w:r w:rsidR="0009604A">
          <w:rPr>
            <w:noProof/>
            <w:webHidden/>
          </w:rPr>
          <w:fldChar w:fldCharType="begin"/>
        </w:r>
        <w:r w:rsidR="0009604A">
          <w:rPr>
            <w:noProof/>
            <w:webHidden/>
          </w:rPr>
          <w:instrText xml:space="preserve"> PAGEREF _Toc527574652 \h </w:instrText>
        </w:r>
        <w:r w:rsidR="0009604A">
          <w:rPr>
            <w:noProof/>
            <w:webHidden/>
          </w:rPr>
        </w:r>
        <w:r w:rsidR="0009604A">
          <w:rPr>
            <w:noProof/>
            <w:webHidden/>
          </w:rPr>
          <w:fldChar w:fldCharType="separate"/>
        </w:r>
        <w:r w:rsidR="0009604A">
          <w:rPr>
            <w:noProof/>
            <w:webHidden/>
          </w:rPr>
          <w:t>41</w:t>
        </w:r>
        <w:r w:rsidR="0009604A">
          <w:rPr>
            <w:noProof/>
            <w:webHidden/>
          </w:rPr>
          <w:fldChar w:fldCharType="end"/>
        </w:r>
      </w:hyperlink>
    </w:p>
    <w:p w14:paraId="4787D9DA" w14:textId="0184DA70" w:rsidR="0009604A" w:rsidRDefault="00B127E3">
      <w:pPr>
        <w:pStyle w:val="Tabladeilustraciones"/>
        <w:tabs>
          <w:tab w:val="right" w:leader="dot" w:pos="8828"/>
        </w:tabs>
        <w:rPr>
          <w:rFonts w:eastAsiaTheme="minorEastAsia"/>
          <w:noProof/>
          <w:lang w:eastAsia="es-CR"/>
        </w:rPr>
      </w:pPr>
      <w:hyperlink w:anchor="_Toc527574653" w:history="1">
        <w:r w:rsidR="0009604A" w:rsidRPr="00232D98">
          <w:rPr>
            <w:rStyle w:val="Hipervnculo"/>
            <w:rFonts w:ascii="Cambria" w:hAnsi="Cambria" w:cs="Arial"/>
            <w:b/>
            <w:noProof/>
          </w:rPr>
          <w:t>Gráfico 7</w:t>
        </w:r>
        <w:r w:rsidR="0009604A">
          <w:rPr>
            <w:noProof/>
            <w:webHidden/>
          </w:rPr>
          <w:tab/>
        </w:r>
        <w:r w:rsidR="0009604A">
          <w:rPr>
            <w:noProof/>
            <w:webHidden/>
          </w:rPr>
          <w:fldChar w:fldCharType="begin"/>
        </w:r>
        <w:r w:rsidR="0009604A">
          <w:rPr>
            <w:noProof/>
            <w:webHidden/>
          </w:rPr>
          <w:instrText xml:space="preserve"> PAGEREF _Toc527574653 \h </w:instrText>
        </w:r>
        <w:r w:rsidR="0009604A">
          <w:rPr>
            <w:noProof/>
            <w:webHidden/>
          </w:rPr>
        </w:r>
        <w:r w:rsidR="0009604A">
          <w:rPr>
            <w:noProof/>
            <w:webHidden/>
          </w:rPr>
          <w:fldChar w:fldCharType="separate"/>
        </w:r>
        <w:r w:rsidR="0009604A">
          <w:rPr>
            <w:noProof/>
            <w:webHidden/>
          </w:rPr>
          <w:t>42</w:t>
        </w:r>
        <w:r w:rsidR="0009604A">
          <w:rPr>
            <w:noProof/>
            <w:webHidden/>
          </w:rPr>
          <w:fldChar w:fldCharType="end"/>
        </w:r>
      </w:hyperlink>
    </w:p>
    <w:p w14:paraId="41BD68DF" w14:textId="15EF4FCC" w:rsidR="0009604A" w:rsidRDefault="00B127E3">
      <w:pPr>
        <w:pStyle w:val="Tabladeilustraciones"/>
        <w:tabs>
          <w:tab w:val="right" w:leader="dot" w:pos="8828"/>
        </w:tabs>
        <w:rPr>
          <w:rFonts w:eastAsiaTheme="minorEastAsia"/>
          <w:noProof/>
          <w:lang w:eastAsia="es-CR"/>
        </w:rPr>
      </w:pPr>
      <w:hyperlink w:anchor="_Toc527574654" w:history="1">
        <w:r w:rsidR="0009604A" w:rsidRPr="00232D98">
          <w:rPr>
            <w:rStyle w:val="Hipervnculo"/>
            <w:rFonts w:ascii="Cambria" w:hAnsi="Cambria" w:cs="Arial"/>
            <w:b/>
            <w:noProof/>
          </w:rPr>
          <w:t>Gráfico 8</w:t>
        </w:r>
        <w:r w:rsidR="0009604A">
          <w:rPr>
            <w:noProof/>
            <w:webHidden/>
          </w:rPr>
          <w:tab/>
        </w:r>
        <w:r w:rsidR="0009604A">
          <w:rPr>
            <w:noProof/>
            <w:webHidden/>
          </w:rPr>
          <w:fldChar w:fldCharType="begin"/>
        </w:r>
        <w:r w:rsidR="0009604A">
          <w:rPr>
            <w:noProof/>
            <w:webHidden/>
          </w:rPr>
          <w:instrText xml:space="preserve"> PAGEREF _Toc527574654 \h </w:instrText>
        </w:r>
        <w:r w:rsidR="0009604A">
          <w:rPr>
            <w:noProof/>
            <w:webHidden/>
          </w:rPr>
        </w:r>
        <w:r w:rsidR="0009604A">
          <w:rPr>
            <w:noProof/>
            <w:webHidden/>
          </w:rPr>
          <w:fldChar w:fldCharType="separate"/>
        </w:r>
        <w:r w:rsidR="0009604A">
          <w:rPr>
            <w:noProof/>
            <w:webHidden/>
          </w:rPr>
          <w:t>43</w:t>
        </w:r>
        <w:r w:rsidR="0009604A">
          <w:rPr>
            <w:noProof/>
            <w:webHidden/>
          </w:rPr>
          <w:fldChar w:fldCharType="end"/>
        </w:r>
      </w:hyperlink>
    </w:p>
    <w:p w14:paraId="1A6D0356" w14:textId="67882EB6" w:rsidR="0009604A" w:rsidRDefault="00B127E3">
      <w:pPr>
        <w:pStyle w:val="Tabladeilustraciones"/>
        <w:tabs>
          <w:tab w:val="right" w:leader="dot" w:pos="8828"/>
        </w:tabs>
        <w:rPr>
          <w:rFonts w:eastAsiaTheme="minorEastAsia"/>
          <w:noProof/>
          <w:lang w:eastAsia="es-CR"/>
        </w:rPr>
      </w:pPr>
      <w:hyperlink w:anchor="_Toc527574655" w:history="1">
        <w:r w:rsidR="0009604A" w:rsidRPr="00232D98">
          <w:rPr>
            <w:rStyle w:val="Hipervnculo"/>
            <w:rFonts w:ascii="Cambria" w:hAnsi="Cambria" w:cs="Arial"/>
            <w:b/>
            <w:noProof/>
          </w:rPr>
          <w:t>Gráfico 9</w:t>
        </w:r>
        <w:r w:rsidR="0009604A">
          <w:rPr>
            <w:noProof/>
            <w:webHidden/>
          </w:rPr>
          <w:tab/>
        </w:r>
        <w:r w:rsidR="0009604A">
          <w:rPr>
            <w:noProof/>
            <w:webHidden/>
          </w:rPr>
          <w:fldChar w:fldCharType="begin"/>
        </w:r>
        <w:r w:rsidR="0009604A">
          <w:rPr>
            <w:noProof/>
            <w:webHidden/>
          </w:rPr>
          <w:instrText xml:space="preserve"> PAGEREF _Toc527574655 \h </w:instrText>
        </w:r>
        <w:r w:rsidR="0009604A">
          <w:rPr>
            <w:noProof/>
            <w:webHidden/>
          </w:rPr>
        </w:r>
        <w:r w:rsidR="0009604A">
          <w:rPr>
            <w:noProof/>
            <w:webHidden/>
          </w:rPr>
          <w:fldChar w:fldCharType="separate"/>
        </w:r>
        <w:r w:rsidR="0009604A">
          <w:rPr>
            <w:noProof/>
            <w:webHidden/>
          </w:rPr>
          <w:t>44</w:t>
        </w:r>
        <w:r w:rsidR="0009604A">
          <w:rPr>
            <w:noProof/>
            <w:webHidden/>
          </w:rPr>
          <w:fldChar w:fldCharType="end"/>
        </w:r>
      </w:hyperlink>
    </w:p>
    <w:p w14:paraId="6325C94A" w14:textId="171BF9D8" w:rsidR="0009604A" w:rsidRDefault="00B127E3">
      <w:pPr>
        <w:pStyle w:val="Tabladeilustraciones"/>
        <w:tabs>
          <w:tab w:val="right" w:leader="dot" w:pos="8828"/>
        </w:tabs>
        <w:rPr>
          <w:rFonts w:eastAsiaTheme="minorEastAsia"/>
          <w:noProof/>
          <w:lang w:eastAsia="es-CR"/>
        </w:rPr>
      </w:pPr>
      <w:hyperlink w:anchor="_Toc527574656" w:history="1">
        <w:r w:rsidR="0009604A" w:rsidRPr="00232D98">
          <w:rPr>
            <w:rStyle w:val="Hipervnculo"/>
            <w:rFonts w:ascii="Cambria" w:hAnsi="Cambria" w:cs="Arial"/>
            <w:b/>
            <w:noProof/>
          </w:rPr>
          <w:t>Gráfico 10</w:t>
        </w:r>
        <w:r w:rsidR="0009604A">
          <w:rPr>
            <w:noProof/>
            <w:webHidden/>
          </w:rPr>
          <w:tab/>
        </w:r>
        <w:r w:rsidR="0009604A">
          <w:rPr>
            <w:noProof/>
            <w:webHidden/>
          </w:rPr>
          <w:fldChar w:fldCharType="begin"/>
        </w:r>
        <w:r w:rsidR="0009604A">
          <w:rPr>
            <w:noProof/>
            <w:webHidden/>
          </w:rPr>
          <w:instrText xml:space="preserve"> PAGEREF _Toc527574656 \h </w:instrText>
        </w:r>
        <w:r w:rsidR="0009604A">
          <w:rPr>
            <w:noProof/>
            <w:webHidden/>
          </w:rPr>
        </w:r>
        <w:r w:rsidR="0009604A">
          <w:rPr>
            <w:noProof/>
            <w:webHidden/>
          </w:rPr>
          <w:fldChar w:fldCharType="separate"/>
        </w:r>
        <w:r w:rsidR="0009604A">
          <w:rPr>
            <w:noProof/>
            <w:webHidden/>
          </w:rPr>
          <w:t>44</w:t>
        </w:r>
        <w:r w:rsidR="0009604A">
          <w:rPr>
            <w:noProof/>
            <w:webHidden/>
          </w:rPr>
          <w:fldChar w:fldCharType="end"/>
        </w:r>
      </w:hyperlink>
    </w:p>
    <w:p w14:paraId="3BA80DED" w14:textId="1CFF8BFC" w:rsidR="0009604A" w:rsidRDefault="00B127E3">
      <w:pPr>
        <w:pStyle w:val="Tabladeilustraciones"/>
        <w:tabs>
          <w:tab w:val="right" w:leader="dot" w:pos="8828"/>
        </w:tabs>
        <w:rPr>
          <w:rFonts w:eastAsiaTheme="minorEastAsia"/>
          <w:noProof/>
          <w:lang w:eastAsia="es-CR"/>
        </w:rPr>
      </w:pPr>
      <w:hyperlink w:anchor="_Toc527574657" w:history="1">
        <w:r w:rsidR="0009604A" w:rsidRPr="00232D98">
          <w:rPr>
            <w:rStyle w:val="Hipervnculo"/>
            <w:rFonts w:ascii="Cambria" w:hAnsi="Cambria" w:cs="Arial"/>
            <w:b/>
            <w:noProof/>
          </w:rPr>
          <w:t>Gráfico 11</w:t>
        </w:r>
        <w:r w:rsidR="0009604A">
          <w:rPr>
            <w:noProof/>
            <w:webHidden/>
          </w:rPr>
          <w:tab/>
        </w:r>
        <w:r w:rsidR="0009604A">
          <w:rPr>
            <w:noProof/>
            <w:webHidden/>
          </w:rPr>
          <w:fldChar w:fldCharType="begin"/>
        </w:r>
        <w:r w:rsidR="0009604A">
          <w:rPr>
            <w:noProof/>
            <w:webHidden/>
          </w:rPr>
          <w:instrText xml:space="preserve"> PAGEREF _Toc527574657 \h </w:instrText>
        </w:r>
        <w:r w:rsidR="0009604A">
          <w:rPr>
            <w:noProof/>
            <w:webHidden/>
          </w:rPr>
        </w:r>
        <w:r w:rsidR="0009604A">
          <w:rPr>
            <w:noProof/>
            <w:webHidden/>
          </w:rPr>
          <w:fldChar w:fldCharType="separate"/>
        </w:r>
        <w:r w:rsidR="0009604A">
          <w:rPr>
            <w:noProof/>
            <w:webHidden/>
          </w:rPr>
          <w:t>45</w:t>
        </w:r>
        <w:r w:rsidR="0009604A">
          <w:rPr>
            <w:noProof/>
            <w:webHidden/>
          </w:rPr>
          <w:fldChar w:fldCharType="end"/>
        </w:r>
      </w:hyperlink>
    </w:p>
    <w:p w14:paraId="392B021B" w14:textId="2A884B4D" w:rsidR="0009604A" w:rsidRDefault="00B127E3">
      <w:pPr>
        <w:pStyle w:val="Tabladeilustraciones"/>
        <w:tabs>
          <w:tab w:val="right" w:leader="dot" w:pos="8828"/>
        </w:tabs>
        <w:rPr>
          <w:rFonts w:eastAsiaTheme="minorEastAsia"/>
          <w:noProof/>
          <w:lang w:eastAsia="es-CR"/>
        </w:rPr>
      </w:pPr>
      <w:hyperlink w:anchor="_Toc527574658" w:history="1">
        <w:r w:rsidR="0009604A" w:rsidRPr="00232D98">
          <w:rPr>
            <w:rStyle w:val="Hipervnculo"/>
            <w:rFonts w:ascii="Cambria" w:hAnsi="Cambria" w:cs="Arial"/>
            <w:b/>
            <w:noProof/>
          </w:rPr>
          <w:t>Gráfico 12</w:t>
        </w:r>
        <w:r w:rsidR="0009604A">
          <w:rPr>
            <w:noProof/>
            <w:webHidden/>
          </w:rPr>
          <w:tab/>
        </w:r>
        <w:r w:rsidR="0009604A">
          <w:rPr>
            <w:noProof/>
            <w:webHidden/>
          </w:rPr>
          <w:fldChar w:fldCharType="begin"/>
        </w:r>
        <w:r w:rsidR="0009604A">
          <w:rPr>
            <w:noProof/>
            <w:webHidden/>
          </w:rPr>
          <w:instrText xml:space="preserve"> PAGEREF _Toc527574658 \h </w:instrText>
        </w:r>
        <w:r w:rsidR="0009604A">
          <w:rPr>
            <w:noProof/>
            <w:webHidden/>
          </w:rPr>
        </w:r>
        <w:r w:rsidR="0009604A">
          <w:rPr>
            <w:noProof/>
            <w:webHidden/>
          </w:rPr>
          <w:fldChar w:fldCharType="separate"/>
        </w:r>
        <w:r w:rsidR="0009604A">
          <w:rPr>
            <w:noProof/>
            <w:webHidden/>
          </w:rPr>
          <w:t>47</w:t>
        </w:r>
        <w:r w:rsidR="0009604A">
          <w:rPr>
            <w:noProof/>
            <w:webHidden/>
          </w:rPr>
          <w:fldChar w:fldCharType="end"/>
        </w:r>
      </w:hyperlink>
    </w:p>
    <w:p w14:paraId="41FCAAD0" w14:textId="63658C4B" w:rsidR="0009604A" w:rsidRDefault="00B127E3">
      <w:pPr>
        <w:pStyle w:val="Tabladeilustraciones"/>
        <w:tabs>
          <w:tab w:val="right" w:leader="dot" w:pos="8828"/>
        </w:tabs>
        <w:rPr>
          <w:rFonts w:eastAsiaTheme="minorEastAsia"/>
          <w:noProof/>
          <w:lang w:eastAsia="es-CR"/>
        </w:rPr>
      </w:pPr>
      <w:hyperlink w:anchor="_Toc527574659" w:history="1">
        <w:r w:rsidR="0009604A" w:rsidRPr="00232D98">
          <w:rPr>
            <w:rStyle w:val="Hipervnculo"/>
            <w:rFonts w:ascii="Cambria" w:hAnsi="Cambria" w:cs="Arial"/>
            <w:b/>
            <w:noProof/>
          </w:rPr>
          <w:t>Gráfico 13</w:t>
        </w:r>
        <w:r w:rsidR="0009604A">
          <w:rPr>
            <w:noProof/>
            <w:webHidden/>
          </w:rPr>
          <w:tab/>
        </w:r>
        <w:r w:rsidR="0009604A">
          <w:rPr>
            <w:noProof/>
            <w:webHidden/>
          </w:rPr>
          <w:fldChar w:fldCharType="begin"/>
        </w:r>
        <w:r w:rsidR="0009604A">
          <w:rPr>
            <w:noProof/>
            <w:webHidden/>
          </w:rPr>
          <w:instrText xml:space="preserve"> PAGEREF _Toc527574659 \h </w:instrText>
        </w:r>
        <w:r w:rsidR="0009604A">
          <w:rPr>
            <w:noProof/>
            <w:webHidden/>
          </w:rPr>
        </w:r>
        <w:r w:rsidR="0009604A">
          <w:rPr>
            <w:noProof/>
            <w:webHidden/>
          </w:rPr>
          <w:fldChar w:fldCharType="separate"/>
        </w:r>
        <w:r w:rsidR="0009604A">
          <w:rPr>
            <w:noProof/>
            <w:webHidden/>
          </w:rPr>
          <w:t>49</w:t>
        </w:r>
        <w:r w:rsidR="0009604A">
          <w:rPr>
            <w:noProof/>
            <w:webHidden/>
          </w:rPr>
          <w:fldChar w:fldCharType="end"/>
        </w:r>
      </w:hyperlink>
    </w:p>
    <w:p w14:paraId="1531C1B6" w14:textId="2AA00C5B" w:rsidR="0009604A" w:rsidRDefault="00B127E3">
      <w:pPr>
        <w:pStyle w:val="Tabladeilustraciones"/>
        <w:tabs>
          <w:tab w:val="right" w:leader="dot" w:pos="8828"/>
        </w:tabs>
        <w:rPr>
          <w:rFonts w:eastAsiaTheme="minorEastAsia"/>
          <w:noProof/>
          <w:lang w:eastAsia="es-CR"/>
        </w:rPr>
      </w:pPr>
      <w:hyperlink w:anchor="_Toc527574660" w:history="1">
        <w:r w:rsidR="0009604A" w:rsidRPr="00232D98">
          <w:rPr>
            <w:rStyle w:val="Hipervnculo"/>
            <w:rFonts w:ascii="Cambria" w:hAnsi="Cambria" w:cs="Arial"/>
            <w:b/>
            <w:noProof/>
          </w:rPr>
          <w:t>Gráfico 14</w:t>
        </w:r>
        <w:r w:rsidR="0009604A">
          <w:rPr>
            <w:noProof/>
            <w:webHidden/>
          </w:rPr>
          <w:tab/>
        </w:r>
        <w:r w:rsidR="0009604A">
          <w:rPr>
            <w:noProof/>
            <w:webHidden/>
          </w:rPr>
          <w:fldChar w:fldCharType="begin"/>
        </w:r>
        <w:r w:rsidR="0009604A">
          <w:rPr>
            <w:noProof/>
            <w:webHidden/>
          </w:rPr>
          <w:instrText xml:space="preserve"> PAGEREF _Toc527574660 \h </w:instrText>
        </w:r>
        <w:r w:rsidR="0009604A">
          <w:rPr>
            <w:noProof/>
            <w:webHidden/>
          </w:rPr>
        </w:r>
        <w:r w:rsidR="0009604A">
          <w:rPr>
            <w:noProof/>
            <w:webHidden/>
          </w:rPr>
          <w:fldChar w:fldCharType="separate"/>
        </w:r>
        <w:r w:rsidR="0009604A">
          <w:rPr>
            <w:noProof/>
            <w:webHidden/>
          </w:rPr>
          <w:t>66</w:t>
        </w:r>
        <w:r w:rsidR="0009604A">
          <w:rPr>
            <w:noProof/>
            <w:webHidden/>
          </w:rPr>
          <w:fldChar w:fldCharType="end"/>
        </w:r>
      </w:hyperlink>
    </w:p>
    <w:p w14:paraId="3BECD13C" w14:textId="28B93744" w:rsidR="00F60B2C" w:rsidRPr="00431183" w:rsidRDefault="000257F9" w:rsidP="00431183">
      <w:pPr>
        <w:spacing w:line="240" w:lineRule="auto"/>
        <w:rPr>
          <w:rFonts w:ascii="Cambria" w:hAnsi="Cambria"/>
          <w:sz w:val="24"/>
          <w:szCs w:val="24"/>
          <w:lang w:eastAsia="es-CR"/>
        </w:rPr>
      </w:pPr>
      <w:r>
        <w:rPr>
          <w:rFonts w:ascii="Cambria" w:hAnsi="Cambria"/>
          <w:sz w:val="24"/>
          <w:szCs w:val="24"/>
          <w:lang w:eastAsia="es-CR"/>
        </w:rPr>
        <w:fldChar w:fldCharType="end"/>
      </w:r>
    </w:p>
    <w:p w14:paraId="0723ADC9" w14:textId="541E3F63" w:rsidR="00F60B2C" w:rsidRPr="00AF1E1D" w:rsidRDefault="006A0328" w:rsidP="00AF1E1D">
      <w:pPr>
        <w:spacing w:line="240" w:lineRule="auto"/>
        <w:jc w:val="center"/>
        <w:rPr>
          <w:rFonts w:ascii="Cambria" w:hAnsi="Cambria"/>
          <w:b/>
          <w:sz w:val="24"/>
          <w:szCs w:val="24"/>
          <w:lang w:eastAsia="es-CR"/>
        </w:rPr>
      </w:pPr>
      <w:r w:rsidRPr="00AF1E1D">
        <w:rPr>
          <w:rFonts w:ascii="Cambria" w:hAnsi="Cambria"/>
          <w:b/>
          <w:sz w:val="24"/>
          <w:szCs w:val="24"/>
          <w:lang w:eastAsia="es-CR"/>
        </w:rPr>
        <w:t>Índice de Tablas</w:t>
      </w:r>
    </w:p>
    <w:p w14:paraId="3206EC90" w14:textId="1898820F" w:rsidR="00CE6395" w:rsidRDefault="006A0328">
      <w:pPr>
        <w:pStyle w:val="Tabladeilustraciones"/>
        <w:tabs>
          <w:tab w:val="right" w:leader="dot" w:pos="8828"/>
        </w:tabs>
        <w:rPr>
          <w:rFonts w:eastAsiaTheme="minorEastAsia"/>
          <w:noProof/>
          <w:lang w:eastAsia="es-CR"/>
        </w:rPr>
      </w:pPr>
      <w:r>
        <w:rPr>
          <w:rFonts w:ascii="Cambria" w:hAnsi="Cambria"/>
          <w:sz w:val="24"/>
          <w:szCs w:val="24"/>
          <w:lang w:eastAsia="es-CR"/>
        </w:rPr>
        <w:fldChar w:fldCharType="begin"/>
      </w:r>
      <w:r>
        <w:rPr>
          <w:rFonts w:ascii="Cambria" w:hAnsi="Cambria"/>
          <w:sz w:val="24"/>
          <w:szCs w:val="24"/>
          <w:lang w:eastAsia="es-CR"/>
        </w:rPr>
        <w:instrText xml:space="preserve"> TOC \h \z \c "Tabla" </w:instrText>
      </w:r>
      <w:r>
        <w:rPr>
          <w:rFonts w:ascii="Cambria" w:hAnsi="Cambria"/>
          <w:sz w:val="24"/>
          <w:szCs w:val="24"/>
          <w:lang w:eastAsia="es-CR"/>
        </w:rPr>
        <w:fldChar w:fldCharType="separate"/>
      </w:r>
      <w:hyperlink w:anchor="_Toc527576359" w:history="1">
        <w:r w:rsidR="00CE6395" w:rsidRPr="00E402B0">
          <w:rPr>
            <w:rStyle w:val="Hipervnculo"/>
            <w:rFonts w:ascii="Cambria" w:hAnsi="Cambria"/>
            <w:b/>
            <w:noProof/>
          </w:rPr>
          <w:t>Tabla 1</w:t>
        </w:r>
        <w:r w:rsidR="00CE6395">
          <w:rPr>
            <w:noProof/>
            <w:webHidden/>
          </w:rPr>
          <w:tab/>
        </w:r>
        <w:r w:rsidR="00CE6395">
          <w:rPr>
            <w:noProof/>
            <w:webHidden/>
          </w:rPr>
          <w:fldChar w:fldCharType="begin"/>
        </w:r>
        <w:r w:rsidR="00CE6395">
          <w:rPr>
            <w:noProof/>
            <w:webHidden/>
          </w:rPr>
          <w:instrText xml:space="preserve"> PAGEREF _Toc527576359 \h </w:instrText>
        </w:r>
        <w:r w:rsidR="00CE6395">
          <w:rPr>
            <w:noProof/>
            <w:webHidden/>
          </w:rPr>
        </w:r>
        <w:r w:rsidR="00CE6395">
          <w:rPr>
            <w:noProof/>
            <w:webHidden/>
          </w:rPr>
          <w:fldChar w:fldCharType="separate"/>
        </w:r>
        <w:r w:rsidR="00CE6395">
          <w:rPr>
            <w:noProof/>
            <w:webHidden/>
          </w:rPr>
          <w:t>29</w:t>
        </w:r>
        <w:r w:rsidR="00CE6395">
          <w:rPr>
            <w:noProof/>
            <w:webHidden/>
          </w:rPr>
          <w:fldChar w:fldCharType="end"/>
        </w:r>
      </w:hyperlink>
    </w:p>
    <w:p w14:paraId="4EAE1219" w14:textId="419BAD2D" w:rsidR="00CE6395" w:rsidRDefault="00B127E3">
      <w:pPr>
        <w:pStyle w:val="Tabladeilustraciones"/>
        <w:tabs>
          <w:tab w:val="right" w:leader="dot" w:pos="8828"/>
        </w:tabs>
        <w:rPr>
          <w:rFonts w:eastAsiaTheme="minorEastAsia"/>
          <w:noProof/>
          <w:lang w:eastAsia="es-CR"/>
        </w:rPr>
      </w:pPr>
      <w:hyperlink w:anchor="_Toc527576360" w:history="1">
        <w:r w:rsidR="00CE6395" w:rsidRPr="00E402B0">
          <w:rPr>
            <w:rStyle w:val="Hipervnculo"/>
            <w:rFonts w:ascii="Cambria" w:hAnsi="Cambria"/>
            <w:b/>
            <w:noProof/>
          </w:rPr>
          <w:t>Tabla 2</w:t>
        </w:r>
        <w:r w:rsidR="00CE6395">
          <w:rPr>
            <w:noProof/>
            <w:webHidden/>
          </w:rPr>
          <w:tab/>
        </w:r>
        <w:r w:rsidR="00CE6395">
          <w:rPr>
            <w:noProof/>
            <w:webHidden/>
          </w:rPr>
          <w:fldChar w:fldCharType="begin"/>
        </w:r>
        <w:r w:rsidR="00CE6395">
          <w:rPr>
            <w:noProof/>
            <w:webHidden/>
          </w:rPr>
          <w:instrText xml:space="preserve"> PAGEREF _Toc527576360 \h </w:instrText>
        </w:r>
        <w:r w:rsidR="00CE6395">
          <w:rPr>
            <w:noProof/>
            <w:webHidden/>
          </w:rPr>
        </w:r>
        <w:r w:rsidR="00CE6395">
          <w:rPr>
            <w:noProof/>
            <w:webHidden/>
          </w:rPr>
          <w:fldChar w:fldCharType="separate"/>
        </w:r>
        <w:r w:rsidR="00CE6395">
          <w:rPr>
            <w:noProof/>
            <w:webHidden/>
          </w:rPr>
          <w:t>49</w:t>
        </w:r>
        <w:r w:rsidR="00CE6395">
          <w:rPr>
            <w:noProof/>
            <w:webHidden/>
          </w:rPr>
          <w:fldChar w:fldCharType="end"/>
        </w:r>
      </w:hyperlink>
    </w:p>
    <w:p w14:paraId="06F9355B" w14:textId="3DC82C45" w:rsidR="00CE6395" w:rsidRDefault="00B127E3">
      <w:pPr>
        <w:pStyle w:val="Tabladeilustraciones"/>
        <w:tabs>
          <w:tab w:val="right" w:leader="dot" w:pos="8828"/>
        </w:tabs>
        <w:rPr>
          <w:rFonts w:eastAsiaTheme="minorEastAsia"/>
          <w:noProof/>
          <w:lang w:eastAsia="es-CR"/>
        </w:rPr>
      </w:pPr>
      <w:hyperlink w:anchor="_Toc527576361" w:history="1">
        <w:r w:rsidR="00CE6395" w:rsidRPr="00E402B0">
          <w:rPr>
            <w:rStyle w:val="Hipervnculo"/>
            <w:rFonts w:ascii="Cambria" w:hAnsi="Cambria"/>
            <w:b/>
            <w:noProof/>
          </w:rPr>
          <w:t>Tabla 3</w:t>
        </w:r>
        <w:r w:rsidR="00CE6395">
          <w:rPr>
            <w:noProof/>
            <w:webHidden/>
          </w:rPr>
          <w:tab/>
        </w:r>
        <w:r w:rsidR="00CE6395">
          <w:rPr>
            <w:noProof/>
            <w:webHidden/>
          </w:rPr>
          <w:fldChar w:fldCharType="begin"/>
        </w:r>
        <w:r w:rsidR="00CE6395">
          <w:rPr>
            <w:noProof/>
            <w:webHidden/>
          </w:rPr>
          <w:instrText xml:space="preserve"> PAGEREF _Toc527576361 \h </w:instrText>
        </w:r>
        <w:r w:rsidR="00CE6395">
          <w:rPr>
            <w:noProof/>
            <w:webHidden/>
          </w:rPr>
        </w:r>
        <w:r w:rsidR="00CE6395">
          <w:rPr>
            <w:noProof/>
            <w:webHidden/>
          </w:rPr>
          <w:fldChar w:fldCharType="separate"/>
        </w:r>
        <w:r w:rsidR="00CE6395">
          <w:rPr>
            <w:noProof/>
            <w:webHidden/>
          </w:rPr>
          <w:t>54</w:t>
        </w:r>
        <w:r w:rsidR="00CE6395">
          <w:rPr>
            <w:noProof/>
            <w:webHidden/>
          </w:rPr>
          <w:fldChar w:fldCharType="end"/>
        </w:r>
      </w:hyperlink>
    </w:p>
    <w:p w14:paraId="2180A998" w14:textId="4BEA4F65" w:rsidR="00CE6395" w:rsidRDefault="00B127E3">
      <w:pPr>
        <w:pStyle w:val="Tabladeilustraciones"/>
        <w:tabs>
          <w:tab w:val="right" w:leader="dot" w:pos="8828"/>
        </w:tabs>
        <w:rPr>
          <w:rFonts w:eastAsiaTheme="minorEastAsia"/>
          <w:noProof/>
          <w:lang w:eastAsia="es-CR"/>
        </w:rPr>
      </w:pPr>
      <w:hyperlink w:anchor="_Toc527576362" w:history="1">
        <w:r w:rsidR="00CE6395" w:rsidRPr="00E402B0">
          <w:rPr>
            <w:rStyle w:val="Hipervnculo"/>
            <w:rFonts w:ascii="Cambria" w:hAnsi="Cambria" w:cstheme="minorHAnsi"/>
            <w:b/>
            <w:noProof/>
          </w:rPr>
          <w:t>Tabla 4</w:t>
        </w:r>
        <w:r w:rsidR="00CE6395">
          <w:rPr>
            <w:noProof/>
            <w:webHidden/>
          </w:rPr>
          <w:tab/>
        </w:r>
        <w:r w:rsidR="00CE6395">
          <w:rPr>
            <w:noProof/>
            <w:webHidden/>
          </w:rPr>
          <w:fldChar w:fldCharType="begin"/>
        </w:r>
        <w:r w:rsidR="00CE6395">
          <w:rPr>
            <w:noProof/>
            <w:webHidden/>
          </w:rPr>
          <w:instrText xml:space="preserve"> PAGEREF _Toc527576362 \h </w:instrText>
        </w:r>
        <w:r w:rsidR="00CE6395">
          <w:rPr>
            <w:noProof/>
            <w:webHidden/>
          </w:rPr>
        </w:r>
        <w:r w:rsidR="00CE6395">
          <w:rPr>
            <w:noProof/>
            <w:webHidden/>
          </w:rPr>
          <w:fldChar w:fldCharType="separate"/>
        </w:r>
        <w:r w:rsidR="00CE6395">
          <w:rPr>
            <w:noProof/>
            <w:webHidden/>
          </w:rPr>
          <w:t>54</w:t>
        </w:r>
        <w:r w:rsidR="00CE6395">
          <w:rPr>
            <w:noProof/>
            <w:webHidden/>
          </w:rPr>
          <w:fldChar w:fldCharType="end"/>
        </w:r>
      </w:hyperlink>
    </w:p>
    <w:p w14:paraId="5FF6F546" w14:textId="20B5B5F3" w:rsidR="00CE6395" w:rsidRDefault="00B127E3">
      <w:pPr>
        <w:pStyle w:val="Tabladeilustraciones"/>
        <w:tabs>
          <w:tab w:val="right" w:leader="dot" w:pos="8828"/>
        </w:tabs>
        <w:rPr>
          <w:rFonts w:eastAsiaTheme="minorEastAsia"/>
          <w:noProof/>
          <w:lang w:eastAsia="es-CR"/>
        </w:rPr>
      </w:pPr>
      <w:hyperlink w:anchor="_Toc527576363" w:history="1">
        <w:r w:rsidR="00CE6395" w:rsidRPr="00E402B0">
          <w:rPr>
            <w:rStyle w:val="Hipervnculo"/>
            <w:rFonts w:ascii="Cambria" w:hAnsi="Cambria"/>
            <w:b/>
            <w:noProof/>
          </w:rPr>
          <w:t>Tabla 5</w:t>
        </w:r>
        <w:r w:rsidR="00CE6395">
          <w:rPr>
            <w:noProof/>
            <w:webHidden/>
          </w:rPr>
          <w:tab/>
        </w:r>
        <w:r w:rsidR="00CE6395">
          <w:rPr>
            <w:noProof/>
            <w:webHidden/>
          </w:rPr>
          <w:fldChar w:fldCharType="begin"/>
        </w:r>
        <w:r w:rsidR="00CE6395">
          <w:rPr>
            <w:noProof/>
            <w:webHidden/>
          </w:rPr>
          <w:instrText xml:space="preserve"> PAGEREF _Toc527576363 \h </w:instrText>
        </w:r>
        <w:r w:rsidR="00CE6395">
          <w:rPr>
            <w:noProof/>
            <w:webHidden/>
          </w:rPr>
        </w:r>
        <w:r w:rsidR="00CE6395">
          <w:rPr>
            <w:noProof/>
            <w:webHidden/>
          </w:rPr>
          <w:fldChar w:fldCharType="separate"/>
        </w:r>
        <w:r w:rsidR="00CE6395">
          <w:rPr>
            <w:noProof/>
            <w:webHidden/>
          </w:rPr>
          <w:t>55</w:t>
        </w:r>
        <w:r w:rsidR="00CE6395">
          <w:rPr>
            <w:noProof/>
            <w:webHidden/>
          </w:rPr>
          <w:fldChar w:fldCharType="end"/>
        </w:r>
      </w:hyperlink>
    </w:p>
    <w:p w14:paraId="202C5C18" w14:textId="05F6E6E5" w:rsidR="00CE6395" w:rsidRDefault="00B127E3">
      <w:pPr>
        <w:pStyle w:val="Tabladeilustraciones"/>
        <w:tabs>
          <w:tab w:val="right" w:leader="dot" w:pos="8828"/>
        </w:tabs>
        <w:rPr>
          <w:rFonts w:eastAsiaTheme="minorEastAsia"/>
          <w:noProof/>
          <w:lang w:eastAsia="es-CR"/>
        </w:rPr>
      </w:pPr>
      <w:hyperlink w:anchor="_Toc527576364" w:history="1">
        <w:r w:rsidR="00CE6395" w:rsidRPr="00E402B0">
          <w:rPr>
            <w:rStyle w:val="Hipervnculo"/>
            <w:rFonts w:ascii="Cambria" w:hAnsi="Cambria"/>
            <w:b/>
            <w:noProof/>
          </w:rPr>
          <w:t>Tabla 6</w:t>
        </w:r>
        <w:r w:rsidR="00CE6395">
          <w:rPr>
            <w:noProof/>
            <w:webHidden/>
          </w:rPr>
          <w:tab/>
        </w:r>
        <w:r w:rsidR="00CE6395">
          <w:rPr>
            <w:noProof/>
            <w:webHidden/>
          </w:rPr>
          <w:fldChar w:fldCharType="begin"/>
        </w:r>
        <w:r w:rsidR="00CE6395">
          <w:rPr>
            <w:noProof/>
            <w:webHidden/>
          </w:rPr>
          <w:instrText xml:space="preserve"> PAGEREF _Toc527576364 \h </w:instrText>
        </w:r>
        <w:r w:rsidR="00CE6395">
          <w:rPr>
            <w:noProof/>
            <w:webHidden/>
          </w:rPr>
        </w:r>
        <w:r w:rsidR="00CE6395">
          <w:rPr>
            <w:noProof/>
            <w:webHidden/>
          </w:rPr>
          <w:fldChar w:fldCharType="separate"/>
        </w:r>
        <w:r w:rsidR="00CE6395">
          <w:rPr>
            <w:noProof/>
            <w:webHidden/>
          </w:rPr>
          <w:t>56</w:t>
        </w:r>
        <w:r w:rsidR="00CE6395">
          <w:rPr>
            <w:noProof/>
            <w:webHidden/>
          </w:rPr>
          <w:fldChar w:fldCharType="end"/>
        </w:r>
      </w:hyperlink>
    </w:p>
    <w:p w14:paraId="60D5BA24" w14:textId="03E0D585" w:rsidR="00CE6395" w:rsidRDefault="00B127E3">
      <w:pPr>
        <w:pStyle w:val="Tabladeilustraciones"/>
        <w:tabs>
          <w:tab w:val="right" w:leader="dot" w:pos="8828"/>
        </w:tabs>
        <w:rPr>
          <w:rFonts w:eastAsiaTheme="minorEastAsia"/>
          <w:noProof/>
          <w:lang w:eastAsia="es-CR"/>
        </w:rPr>
      </w:pPr>
      <w:hyperlink w:anchor="_Toc527576365" w:history="1">
        <w:r w:rsidR="00CE6395" w:rsidRPr="00E402B0">
          <w:rPr>
            <w:rStyle w:val="Hipervnculo"/>
            <w:rFonts w:ascii="Cambria" w:hAnsi="Cambria"/>
            <w:b/>
            <w:noProof/>
          </w:rPr>
          <w:t>Tabla 7</w:t>
        </w:r>
        <w:r w:rsidR="00CE6395">
          <w:rPr>
            <w:noProof/>
            <w:webHidden/>
          </w:rPr>
          <w:tab/>
        </w:r>
        <w:r w:rsidR="00CE6395">
          <w:rPr>
            <w:noProof/>
            <w:webHidden/>
          </w:rPr>
          <w:fldChar w:fldCharType="begin"/>
        </w:r>
        <w:r w:rsidR="00CE6395">
          <w:rPr>
            <w:noProof/>
            <w:webHidden/>
          </w:rPr>
          <w:instrText xml:space="preserve"> PAGEREF _Toc527576365 \h </w:instrText>
        </w:r>
        <w:r w:rsidR="00CE6395">
          <w:rPr>
            <w:noProof/>
            <w:webHidden/>
          </w:rPr>
        </w:r>
        <w:r w:rsidR="00CE6395">
          <w:rPr>
            <w:noProof/>
            <w:webHidden/>
          </w:rPr>
          <w:fldChar w:fldCharType="separate"/>
        </w:r>
        <w:r w:rsidR="00CE6395">
          <w:rPr>
            <w:noProof/>
            <w:webHidden/>
          </w:rPr>
          <w:t>56</w:t>
        </w:r>
        <w:r w:rsidR="00CE6395">
          <w:rPr>
            <w:noProof/>
            <w:webHidden/>
          </w:rPr>
          <w:fldChar w:fldCharType="end"/>
        </w:r>
      </w:hyperlink>
    </w:p>
    <w:p w14:paraId="0252E47A" w14:textId="11D25760" w:rsidR="00CE6395" w:rsidRDefault="00B127E3">
      <w:pPr>
        <w:pStyle w:val="Tabladeilustraciones"/>
        <w:tabs>
          <w:tab w:val="right" w:leader="dot" w:pos="8828"/>
        </w:tabs>
        <w:rPr>
          <w:rFonts w:eastAsiaTheme="minorEastAsia"/>
          <w:noProof/>
          <w:lang w:eastAsia="es-CR"/>
        </w:rPr>
      </w:pPr>
      <w:hyperlink w:anchor="_Toc527576366" w:history="1">
        <w:r w:rsidR="00CE6395" w:rsidRPr="00E402B0">
          <w:rPr>
            <w:rStyle w:val="Hipervnculo"/>
            <w:rFonts w:ascii="Cambria" w:hAnsi="Cambria"/>
            <w:b/>
            <w:noProof/>
          </w:rPr>
          <w:t>Tabla 8</w:t>
        </w:r>
        <w:r w:rsidR="00CE6395">
          <w:rPr>
            <w:noProof/>
            <w:webHidden/>
          </w:rPr>
          <w:tab/>
        </w:r>
        <w:r w:rsidR="00CE6395">
          <w:rPr>
            <w:noProof/>
            <w:webHidden/>
          </w:rPr>
          <w:fldChar w:fldCharType="begin"/>
        </w:r>
        <w:r w:rsidR="00CE6395">
          <w:rPr>
            <w:noProof/>
            <w:webHidden/>
          </w:rPr>
          <w:instrText xml:space="preserve"> PAGEREF _Toc527576366 \h </w:instrText>
        </w:r>
        <w:r w:rsidR="00CE6395">
          <w:rPr>
            <w:noProof/>
            <w:webHidden/>
          </w:rPr>
        </w:r>
        <w:r w:rsidR="00CE6395">
          <w:rPr>
            <w:noProof/>
            <w:webHidden/>
          </w:rPr>
          <w:fldChar w:fldCharType="separate"/>
        </w:r>
        <w:r w:rsidR="00CE6395">
          <w:rPr>
            <w:noProof/>
            <w:webHidden/>
          </w:rPr>
          <w:t>57</w:t>
        </w:r>
        <w:r w:rsidR="00CE6395">
          <w:rPr>
            <w:noProof/>
            <w:webHidden/>
          </w:rPr>
          <w:fldChar w:fldCharType="end"/>
        </w:r>
      </w:hyperlink>
    </w:p>
    <w:p w14:paraId="4113D74A" w14:textId="76EC58A1" w:rsidR="00CE6395" w:rsidRDefault="00B127E3">
      <w:pPr>
        <w:pStyle w:val="Tabladeilustraciones"/>
        <w:tabs>
          <w:tab w:val="right" w:leader="dot" w:pos="8828"/>
        </w:tabs>
        <w:rPr>
          <w:rFonts w:eastAsiaTheme="minorEastAsia"/>
          <w:noProof/>
          <w:lang w:eastAsia="es-CR"/>
        </w:rPr>
      </w:pPr>
      <w:hyperlink w:anchor="_Toc527576367" w:history="1">
        <w:r w:rsidR="00CE6395" w:rsidRPr="00E402B0">
          <w:rPr>
            <w:rStyle w:val="Hipervnculo"/>
            <w:rFonts w:ascii="Cambria" w:hAnsi="Cambria" w:cs="Arial"/>
            <w:b/>
            <w:noProof/>
          </w:rPr>
          <w:t>T</w:t>
        </w:r>
        <w:r w:rsidR="00CE6395" w:rsidRPr="00E402B0">
          <w:rPr>
            <w:rStyle w:val="Hipervnculo"/>
            <w:rFonts w:ascii="Cambria" w:hAnsi="Cambria"/>
            <w:b/>
            <w:noProof/>
          </w:rPr>
          <w:t>abla 9</w:t>
        </w:r>
        <w:r w:rsidR="00CE6395">
          <w:rPr>
            <w:noProof/>
            <w:webHidden/>
          </w:rPr>
          <w:tab/>
        </w:r>
        <w:r w:rsidR="00CE6395">
          <w:rPr>
            <w:noProof/>
            <w:webHidden/>
          </w:rPr>
          <w:fldChar w:fldCharType="begin"/>
        </w:r>
        <w:r w:rsidR="00CE6395">
          <w:rPr>
            <w:noProof/>
            <w:webHidden/>
          </w:rPr>
          <w:instrText xml:space="preserve"> PAGEREF _Toc527576367 \h </w:instrText>
        </w:r>
        <w:r w:rsidR="00CE6395">
          <w:rPr>
            <w:noProof/>
            <w:webHidden/>
          </w:rPr>
        </w:r>
        <w:r w:rsidR="00CE6395">
          <w:rPr>
            <w:noProof/>
            <w:webHidden/>
          </w:rPr>
          <w:fldChar w:fldCharType="separate"/>
        </w:r>
        <w:r w:rsidR="00CE6395">
          <w:rPr>
            <w:noProof/>
            <w:webHidden/>
          </w:rPr>
          <w:t>61</w:t>
        </w:r>
        <w:r w:rsidR="00CE6395">
          <w:rPr>
            <w:noProof/>
            <w:webHidden/>
          </w:rPr>
          <w:fldChar w:fldCharType="end"/>
        </w:r>
      </w:hyperlink>
    </w:p>
    <w:p w14:paraId="313709DA" w14:textId="09604F69" w:rsidR="00CE6395" w:rsidRDefault="00B127E3">
      <w:pPr>
        <w:pStyle w:val="Tabladeilustraciones"/>
        <w:tabs>
          <w:tab w:val="right" w:leader="dot" w:pos="8828"/>
        </w:tabs>
        <w:rPr>
          <w:rFonts w:eastAsiaTheme="minorEastAsia"/>
          <w:noProof/>
          <w:lang w:eastAsia="es-CR"/>
        </w:rPr>
      </w:pPr>
      <w:hyperlink w:anchor="_Toc527576368" w:history="1">
        <w:r w:rsidR="00CE6395" w:rsidRPr="00E402B0">
          <w:rPr>
            <w:rStyle w:val="Hipervnculo"/>
            <w:rFonts w:ascii="Cambria" w:hAnsi="Cambria" w:cs="Arial"/>
            <w:b/>
            <w:noProof/>
          </w:rPr>
          <w:t>T</w:t>
        </w:r>
        <w:r w:rsidR="00CE6395" w:rsidRPr="00E402B0">
          <w:rPr>
            <w:rStyle w:val="Hipervnculo"/>
            <w:rFonts w:ascii="Cambria" w:hAnsi="Cambria"/>
            <w:b/>
            <w:noProof/>
          </w:rPr>
          <w:t>abla 10</w:t>
        </w:r>
        <w:r w:rsidR="00CE6395">
          <w:rPr>
            <w:noProof/>
            <w:webHidden/>
          </w:rPr>
          <w:tab/>
        </w:r>
        <w:r w:rsidR="00CE6395">
          <w:rPr>
            <w:noProof/>
            <w:webHidden/>
          </w:rPr>
          <w:fldChar w:fldCharType="begin"/>
        </w:r>
        <w:r w:rsidR="00CE6395">
          <w:rPr>
            <w:noProof/>
            <w:webHidden/>
          </w:rPr>
          <w:instrText xml:space="preserve"> PAGEREF _Toc527576368 \h </w:instrText>
        </w:r>
        <w:r w:rsidR="00CE6395">
          <w:rPr>
            <w:noProof/>
            <w:webHidden/>
          </w:rPr>
        </w:r>
        <w:r w:rsidR="00CE6395">
          <w:rPr>
            <w:noProof/>
            <w:webHidden/>
          </w:rPr>
          <w:fldChar w:fldCharType="separate"/>
        </w:r>
        <w:r w:rsidR="00CE6395">
          <w:rPr>
            <w:noProof/>
            <w:webHidden/>
          </w:rPr>
          <w:t>62</w:t>
        </w:r>
        <w:r w:rsidR="00CE6395">
          <w:rPr>
            <w:noProof/>
            <w:webHidden/>
          </w:rPr>
          <w:fldChar w:fldCharType="end"/>
        </w:r>
      </w:hyperlink>
    </w:p>
    <w:p w14:paraId="2781C41E" w14:textId="5FD0903C" w:rsidR="00CE6395" w:rsidRDefault="00B127E3">
      <w:pPr>
        <w:pStyle w:val="Tabladeilustraciones"/>
        <w:tabs>
          <w:tab w:val="right" w:leader="dot" w:pos="8828"/>
        </w:tabs>
        <w:rPr>
          <w:rFonts w:eastAsiaTheme="minorEastAsia"/>
          <w:noProof/>
          <w:lang w:eastAsia="es-CR"/>
        </w:rPr>
      </w:pPr>
      <w:hyperlink w:anchor="_Toc527576369" w:history="1">
        <w:r w:rsidR="00CE6395" w:rsidRPr="00E402B0">
          <w:rPr>
            <w:rStyle w:val="Hipervnculo"/>
            <w:rFonts w:ascii="Cambria" w:hAnsi="Cambria"/>
            <w:b/>
            <w:noProof/>
          </w:rPr>
          <w:t>Tabla 11</w:t>
        </w:r>
        <w:r w:rsidR="00CE6395">
          <w:rPr>
            <w:noProof/>
            <w:webHidden/>
          </w:rPr>
          <w:tab/>
        </w:r>
        <w:r w:rsidR="00CE6395">
          <w:rPr>
            <w:noProof/>
            <w:webHidden/>
          </w:rPr>
          <w:fldChar w:fldCharType="begin"/>
        </w:r>
        <w:r w:rsidR="00CE6395">
          <w:rPr>
            <w:noProof/>
            <w:webHidden/>
          </w:rPr>
          <w:instrText xml:space="preserve"> PAGEREF _Toc527576369 \h </w:instrText>
        </w:r>
        <w:r w:rsidR="00CE6395">
          <w:rPr>
            <w:noProof/>
            <w:webHidden/>
          </w:rPr>
        </w:r>
        <w:r w:rsidR="00CE6395">
          <w:rPr>
            <w:noProof/>
            <w:webHidden/>
          </w:rPr>
          <w:fldChar w:fldCharType="separate"/>
        </w:r>
        <w:r w:rsidR="00CE6395">
          <w:rPr>
            <w:noProof/>
            <w:webHidden/>
          </w:rPr>
          <w:t>63</w:t>
        </w:r>
        <w:r w:rsidR="00CE6395">
          <w:rPr>
            <w:noProof/>
            <w:webHidden/>
          </w:rPr>
          <w:fldChar w:fldCharType="end"/>
        </w:r>
      </w:hyperlink>
    </w:p>
    <w:p w14:paraId="384D7729" w14:textId="2B6B5C28" w:rsidR="00CE6395" w:rsidRDefault="00B127E3">
      <w:pPr>
        <w:pStyle w:val="Tabladeilustraciones"/>
        <w:tabs>
          <w:tab w:val="right" w:leader="dot" w:pos="8828"/>
        </w:tabs>
        <w:rPr>
          <w:rFonts w:eastAsiaTheme="minorEastAsia"/>
          <w:noProof/>
          <w:lang w:eastAsia="es-CR"/>
        </w:rPr>
      </w:pPr>
      <w:hyperlink w:anchor="_Toc527576370" w:history="1">
        <w:r w:rsidR="00CE6395" w:rsidRPr="00E402B0">
          <w:rPr>
            <w:rStyle w:val="Hipervnculo"/>
            <w:rFonts w:ascii="Cambria" w:hAnsi="Cambria"/>
            <w:b/>
            <w:noProof/>
          </w:rPr>
          <w:t>Tabla 12</w:t>
        </w:r>
        <w:r w:rsidR="00CE6395">
          <w:rPr>
            <w:noProof/>
            <w:webHidden/>
          </w:rPr>
          <w:tab/>
        </w:r>
        <w:r w:rsidR="00CE6395">
          <w:rPr>
            <w:noProof/>
            <w:webHidden/>
          </w:rPr>
          <w:fldChar w:fldCharType="begin"/>
        </w:r>
        <w:r w:rsidR="00CE6395">
          <w:rPr>
            <w:noProof/>
            <w:webHidden/>
          </w:rPr>
          <w:instrText xml:space="preserve"> PAGEREF _Toc527576370 \h </w:instrText>
        </w:r>
        <w:r w:rsidR="00CE6395">
          <w:rPr>
            <w:noProof/>
            <w:webHidden/>
          </w:rPr>
        </w:r>
        <w:r w:rsidR="00CE6395">
          <w:rPr>
            <w:noProof/>
            <w:webHidden/>
          </w:rPr>
          <w:fldChar w:fldCharType="separate"/>
        </w:r>
        <w:r w:rsidR="00CE6395">
          <w:rPr>
            <w:noProof/>
            <w:webHidden/>
          </w:rPr>
          <w:t>65</w:t>
        </w:r>
        <w:r w:rsidR="00CE6395">
          <w:rPr>
            <w:noProof/>
            <w:webHidden/>
          </w:rPr>
          <w:fldChar w:fldCharType="end"/>
        </w:r>
      </w:hyperlink>
    </w:p>
    <w:p w14:paraId="0EE12595" w14:textId="29ECCAAE" w:rsidR="00CE6395" w:rsidRDefault="00B127E3">
      <w:pPr>
        <w:pStyle w:val="Tabladeilustraciones"/>
        <w:tabs>
          <w:tab w:val="right" w:leader="dot" w:pos="8828"/>
        </w:tabs>
        <w:rPr>
          <w:rFonts w:eastAsiaTheme="minorEastAsia"/>
          <w:noProof/>
          <w:lang w:eastAsia="es-CR"/>
        </w:rPr>
      </w:pPr>
      <w:hyperlink w:anchor="_Toc527576371" w:history="1">
        <w:r w:rsidR="00CE6395" w:rsidRPr="00E402B0">
          <w:rPr>
            <w:rStyle w:val="Hipervnculo"/>
            <w:rFonts w:ascii="Cambria" w:hAnsi="Cambria" w:cs="Arial"/>
            <w:b/>
            <w:noProof/>
          </w:rPr>
          <w:t>T</w:t>
        </w:r>
        <w:r w:rsidR="00CE6395" w:rsidRPr="00E402B0">
          <w:rPr>
            <w:rStyle w:val="Hipervnculo"/>
            <w:rFonts w:ascii="Cambria" w:hAnsi="Cambria"/>
            <w:b/>
            <w:noProof/>
          </w:rPr>
          <w:t>abla 13</w:t>
        </w:r>
        <w:r w:rsidR="00CE6395">
          <w:rPr>
            <w:noProof/>
            <w:webHidden/>
          </w:rPr>
          <w:tab/>
        </w:r>
        <w:r w:rsidR="00CE6395">
          <w:rPr>
            <w:noProof/>
            <w:webHidden/>
          </w:rPr>
          <w:fldChar w:fldCharType="begin"/>
        </w:r>
        <w:r w:rsidR="00CE6395">
          <w:rPr>
            <w:noProof/>
            <w:webHidden/>
          </w:rPr>
          <w:instrText xml:space="preserve"> PAGEREF _Toc527576371 \h </w:instrText>
        </w:r>
        <w:r w:rsidR="00CE6395">
          <w:rPr>
            <w:noProof/>
            <w:webHidden/>
          </w:rPr>
        </w:r>
        <w:r w:rsidR="00CE6395">
          <w:rPr>
            <w:noProof/>
            <w:webHidden/>
          </w:rPr>
          <w:fldChar w:fldCharType="separate"/>
        </w:r>
        <w:r w:rsidR="00CE6395">
          <w:rPr>
            <w:noProof/>
            <w:webHidden/>
          </w:rPr>
          <w:t>68</w:t>
        </w:r>
        <w:r w:rsidR="00CE6395">
          <w:rPr>
            <w:noProof/>
            <w:webHidden/>
          </w:rPr>
          <w:fldChar w:fldCharType="end"/>
        </w:r>
      </w:hyperlink>
    </w:p>
    <w:p w14:paraId="6E6B75C1" w14:textId="45E743BB" w:rsidR="00CE6395" w:rsidRDefault="00B127E3">
      <w:pPr>
        <w:pStyle w:val="Tabladeilustraciones"/>
        <w:tabs>
          <w:tab w:val="right" w:leader="dot" w:pos="8828"/>
        </w:tabs>
        <w:rPr>
          <w:rFonts w:eastAsiaTheme="minorEastAsia"/>
          <w:noProof/>
          <w:lang w:eastAsia="es-CR"/>
        </w:rPr>
      </w:pPr>
      <w:hyperlink w:anchor="_Toc527576372" w:history="1">
        <w:r w:rsidR="00CE6395" w:rsidRPr="00E402B0">
          <w:rPr>
            <w:rStyle w:val="Hipervnculo"/>
            <w:rFonts w:ascii="Cambria" w:hAnsi="Cambria"/>
            <w:b/>
            <w:noProof/>
          </w:rPr>
          <w:t>Tabla 14</w:t>
        </w:r>
        <w:r w:rsidR="00CE6395">
          <w:rPr>
            <w:noProof/>
            <w:webHidden/>
          </w:rPr>
          <w:tab/>
        </w:r>
        <w:r w:rsidR="00CE6395">
          <w:rPr>
            <w:noProof/>
            <w:webHidden/>
          </w:rPr>
          <w:fldChar w:fldCharType="begin"/>
        </w:r>
        <w:r w:rsidR="00CE6395">
          <w:rPr>
            <w:noProof/>
            <w:webHidden/>
          </w:rPr>
          <w:instrText xml:space="preserve"> PAGEREF _Toc527576372 \h </w:instrText>
        </w:r>
        <w:r w:rsidR="00CE6395">
          <w:rPr>
            <w:noProof/>
            <w:webHidden/>
          </w:rPr>
        </w:r>
        <w:r w:rsidR="00CE6395">
          <w:rPr>
            <w:noProof/>
            <w:webHidden/>
          </w:rPr>
          <w:fldChar w:fldCharType="separate"/>
        </w:r>
        <w:r w:rsidR="00CE6395">
          <w:rPr>
            <w:noProof/>
            <w:webHidden/>
          </w:rPr>
          <w:t>70</w:t>
        </w:r>
        <w:r w:rsidR="00CE6395">
          <w:rPr>
            <w:noProof/>
            <w:webHidden/>
          </w:rPr>
          <w:fldChar w:fldCharType="end"/>
        </w:r>
      </w:hyperlink>
    </w:p>
    <w:p w14:paraId="7ECEBA54" w14:textId="68A73B3C" w:rsidR="00F60B2C" w:rsidRPr="00431183" w:rsidRDefault="006A0328" w:rsidP="00431183">
      <w:pPr>
        <w:spacing w:line="240" w:lineRule="auto"/>
        <w:rPr>
          <w:rFonts w:ascii="Cambria" w:hAnsi="Cambria"/>
          <w:sz w:val="24"/>
          <w:szCs w:val="24"/>
          <w:lang w:eastAsia="es-CR"/>
        </w:rPr>
      </w:pPr>
      <w:r>
        <w:rPr>
          <w:rFonts w:ascii="Cambria" w:hAnsi="Cambria"/>
          <w:sz w:val="24"/>
          <w:szCs w:val="24"/>
          <w:lang w:eastAsia="es-CR"/>
        </w:rPr>
        <w:fldChar w:fldCharType="end"/>
      </w:r>
    </w:p>
    <w:p w14:paraId="5BCF1F33" w14:textId="77777777" w:rsidR="00F60B2C" w:rsidRPr="00431183" w:rsidRDefault="00F60B2C" w:rsidP="00431183">
      <w:pPr>
        <w:spacing w:line="240" w:lineRule="auto"/>
        <w:rPr>
          <w:rFonts w:ascii="Cambria" w:hAnsi="Cambria"/>
          <w:sz w:val="24"/>
          <w:szCs w:val="24"/>
          <w:lang w:eastAsia="es-CR"/>
        </w:rPr>
      </w:pPr>
    </w:p>
    <w:p w14:paraId="33ECDCF1" w14:textId="77777777" w:rsidR="00F60B2C" w:rsidRPr="00431183" w:rsidRDefault="00F60B2C" w:rsidP="00431183">
      <w:pPr>
        <w:spacing w:line="240" w:lineRule="auto"/>
        <w:rPr>
          <w:rFonts w:ascii="Cambria" w:hAnsi="Cambria"/>
          <w:sz w:val="24"/>
          <w:szCs w:val="24"/>
          <w:lang w:eastAsia="es-CR"/>
        </w:rPr>
      </w:pPr>
    </w:p>
    <w:p w14:paraId="20E4D53B" w14:textId="77777777" w:rsidR="00FC2D87" w:rsidRDefault="00FC2D87" w:rsidP="00FC2D87">
      <w:pPr>
        <w:rPr>
          <w:lang w:eastAsia="es-CR"/>
        </w:rPr>
      </w:pPr>
    </w:p>
    <w:p w14:paraId="05D4FD72" w14:textId="77777777" w:rsidR="00FC2D87" w:rsidRDefault="00FC2D87" w:rsidP="00FC2D87">
      <w:pPr>
        <w:rPr>
          <w:lang w:eastAsia="es-CR"/>
        </w:rPr>
      </w:pPr>
    </w:p>
    <w:p w14:paraId="570BBD0E" w14:textId="77777777" w:rsidR="00FC2D87" w:rsidRDefault="00FC2D87" w:rsidP="00FC2D87">
      <w:pPr>
        <w:rPr>
          <w:lang w:eastAsia="es-CR"/>
        </w:rPr>
      </w:pPr>
    </w:p>
    <w:p w14:paraId="7860963A" w14:textId="77777777" w:rsidR="00FC2D87" w:rsidRDefault="00FC2D87" w:rsidP="00FC2D87">
      <w:pPr>
        <w:rPr>
          <w:lang w:eastAsia="es-CR"/>
        </w:rPr>
      </w:pPr>
    </w:p>
    <w:p w14:paraId="2C702E9A" w14:textId="77777777" w:rsidR="00FC2D87" w:rsidRDefault="00FC2D87" w:rsidP="00FC2D87">
      <w:pPr>
        <w:rPr>
          <w:lang w:eastAsia="es-CR"/>
        </w:rPr>
      </w:pPr>
    </w:p>
    <w:p w14:paraId="66B8836A" w14:textId="77777777" w:rsidR="00FC2D87" w:rsidRDefault="00FC2D87" w:rsidP="00FC2D87">
      <w:pPr>
        <w:rPr>
          <w:lang w:eastAsia="es-CR"/>
        </w:rPr>
      </w:pPr>
    </w:p>
    <w:p w14:paraId="4F965F8F" w14:textId="77777777" w:rsidR="00FC2D87" w:rsidRDefault="00FC2D87" w:rsidP="00FC2D87">
      <w:pPr>
        <w:rPr>
          <w:lang w:eastAsia="es-CR"/>
        </w:rPr>
      </w:pPr>
    </w:p>
    <w:p w14:paraId="56DCD9EC" w14:textId="77777777" w:rsidR="00FC2D87" w:rsidRDefault="00FC2D87" w:rsidP="00FC2D87">
      <w:pPr>
        <w:rPr>
          <w:lang w:eastAsia="es-CR"/>
        </w:rPr>
      </w:pPr>
    </w:p>
    <w:p w14:paraId="71A11EEE" w14:textId="77777777" w:rsidR="00FC2D87" w:rsidRDefault="00FC2D87" w:rsidP="00FC2D87">
      <w:pPr>
        <w:rPr>
          <w:lang w:eastAsia="es-CR"/>
        </w:rPr>
      </w:pPr>
    </w:p>
    <w:p w14:paraId="4D2C7564" w14:textId="77777777" w:rsidR="00FC2D87" w:rsidRDefault="00FC2D87" w:rsidP="00FC2D87">
      <w:pPr>
        <w:rPr>
          <w:lang w:eastAsia="es-CR"/>
        </w:rPr>
      </w:pPr>
    </w:p>
    <w:p w14:paraId="3DA04A94" w14:textId="77777777" w:rsidR="00FC2D87" w:rsidRDefault="00FC2D87" w:rsidP="00FC2D87">
      <w:pPr>
        <w:rPr>
          <w:lang w:eastAsia="es-CR"/>
        </w:rPr>
      </w:pPr>
    </w:p>
    <w:p w14:paraId="4959F405" w14:textId="77777777" w:rsidR="00FC2D87" w:rsidRDefault="00FC2D87" w:rsidP="00FC2D87">
      <w:pPr>
        <w:rPr>
          <w:lang w:eastAsia="es-CR"/>
        </w:rPr>
      </w:pPr>
    </w:p>
    <w:p w14:paraId="1AF33F02" w14:textId="77777777" w:rsidR="00FC2D87" w:rsidRDefault="00FC2D87" w:rsidP="00FC2D87">
      <w:pPr>
        <w:rPr>
          <w:lang w:eastAsia="es-CR"/>
        </w:rPr>
      </w:pPr>
    </w:p>
    <w:p w14:paraId="27A7964B" w14:textId="172B2379" w:rsidR="00912974" w:rsidRDefault="00912974" w:rsidP="00431183">
      <w:pPr>
        <w:rPr>
          <w:lang w:eastAsia="es-CR"/>
        </w:rPr>
      </w:pPr>
    </w:p>
    <w:p w14:paraId="6CFCA229" w14:textId="77777777" w:rsidR="00912974" w:rsidRPr="00431183" w:rsidRDefault="00912974" w:rsidP="00431183">
      <w:pPr>
        <w:rPr>
          <w:lang w:eastAsia="es-CR"/>
        </w:rPr>
      </w:pPr>
    </w:p>
    <w:p w14:paraId="171F7C5E" w14:textId="77777777" w:rsidR="003C35C7" w:rsidRDefault="003C35C7" w:rsidP="00431183">
      <w:pPr>
        <w:pStyle w:val="Ttulo1"/>
        <w:spacing w:line="240" w:lineRule="auto"/>
        <w:jc w:val="center"/>
        <w:rPr>
          <w:rFonts w:ascii="Cambria" w:hAnsi="Cambria" w:cs="Arial"/>
          <w:b/>
          <w:color w:val="auto"/>
          <w:sz w:val="28"/>
          <w:szCs w:val="28"/>
        </w:rPr>
      </w:pPr>
    </w:p>
    <w:p w14:paraId="1FAF54F5" w14:textId="5247589B" w:rsidR="003C35C7" w:rsidRDefault="003C35C7" w:rsidP="00AF1E1D">
      <w:pPr>
        <w:rPr>
          <w:rFonts w:ascii="Cambria" w:eastAsiaTheme="majorEastAsia" w:hAnsi="Cambria" w:cs="Arial"/>
          <w:b/>
          <w:sz w:val="28"/>
          <w:szCs w:val="28"/>
          <w:lang w:eastAsia="es-CR"/>
        </w:rPr>
      </w:pPr>
    </w:p>
    <w:p w14:paraId="161F12AB" w14:textId="77777777" w:rsidR="00C9117E" w:rsidRPr="00AF1E1D" w:rsidRDefault="00C9117E" w:rsidP="00AF1E1D">
      <w:pPr>
        <w:rPr>
          <w:lang w:eastAsia="es-CR"/>
        </w:rPr>
      </w:pPr>
    </w:p>
    <w:p w14:paraId="6B647ECD" w14:textId="77777777" w:rsidR="00C9117E" w:rsidRDefault="00C9117E" w:rsidP="00431183">
      <w:pPr>
        <w:pStyle w:val="Ttulo1"/>
        <w:spacing w:line="240" w:lineRule="auto"/>
        <w:jc w:val="center"/>
        <w:rPr>
          <w:rFonts w:ascii="Cambria" w:hAnsi="Cambria" w:cs="Arial"/>
          <w:b/>
          <w:color w:val="auto"/>
          <w:sz w:val="28"/>
          <w:szCs w:val="28"/>
        </w:rPr>
      </w:pPr>
      <w:bookmarkStart w:id="3" w:name="_Toc527576934"/>
    </w:p>
    <w:p w14:paraId="1CA717CB" w14:textId="51488B3B" w:rsidR="00C9117E" w:rsidRDefault="00C9117E" w:rsidP="00C9117E">
      <w:pPr>
        <w:pStyle w:val="Ttulo1"/>
        <w:spacing w:line="240" w:lineRule="auto"/>
        <w:rPr>
          <w:rFonts w:ascii="Cambria" w:hAnsi="Cambria" w:cs="Arial"/>
          <w:b/>
          <w:color w:val="auto"/>
          <w:sz w:val="28"/>
          <w:szCs w:val="28"/>
        </w:rPr>
      </w:pPr>
    </w:p>
    <w:p w14:paraId="67123105" w14:textId="77777777" w:rsidR="00C9117E" w:rsidRPr="00C9117E" w:rsidRDefault="00C9117E" w:rsidP="00C9117E">
      <w:pPr>
        <w:rPr>
          <w:lang w:eastAsia="es-CR"/>
        </w:rPr>
      </w:pPr>
    </w:p>
    <w:p w14:paraId="51EE5388" w14:textId="12B74A39" w:rsidR="00B55ADB" w:rsidRPr="00AF1E1D" w:rsidRDefault="0009604A" w:rsidP="00431183">
      <w:pPr>
        <w:pStyle w:val="Ttulo1"/>
        <w:spacing w:line="240" w:lineRule="auto"/>
        <w:jc w:val="center"/>
        <w:rPr>
          <w:rFonts w:ascii="Cambria" w:hAnsi="Cambria" w:cs="Arial"/>
          <w:b/>
          <w:color w:val="auto"/>
          <w:sz w:val="28"/>
          <w:szCs w:val="28"/>
        </w:rPr>
      </w:pPr>
      <w:r w:rsidRPr="00AF1E1D">
        <w:rPr>
          <w:rFonts w:ascii="Cambria" w:hAnsi="Cambria" w:cs="Arial"/>
          <w:b/>
          <w:color w:val="auto"/>
          <w:sz w:val="28"/>
          <w:szCs w:val="28"/>
        </w:rPr>
        <w:lastRenderedPageBreak/>
        <w:t>Capítulo</w:t>
      </w:r>
      <w:bookmarkEnd w:id="2"/>
      <w:r w:rsidRPr="00AF1E1D">
        <w:rPr>
          <w:rFonts w:ascii="Cambria" w:hAnsi="Cambria" w:cs="Arial"/>
          <w:b/>
          <w:color w:val="auto"/>
          <w:sz w:val="28"/>
          <w:szCs w:val="28"/>
        </w:rPr>
        <w:t xml:space="preserve"> </w:t>
      </w:r>
      <w:r>
        <w:rPr>
          <w:rFonts w:ascii="Cambria" w:hAnsi="Cambria" w:cs="Arial"/>
          <w:b/>
          <w:color w:val="auto"/>
          <w:sz w:val="28"/>
          <w:szCs w:val="28"/>
        </w:rPr>
        <w:t>I</w:t>
      </w:r>
      <w:bookmarkEnd w:id="3"/>
    </w:p>
    <w:p w14:paraId="3F076CFF" w14:textId="77777777" w:rsidR="00B55ADB" w:rsidRPr="00431183" w:rsidRDefault="00B55ADB" w:rsidP="00431183">
      <w:pPr>
        <w:pStyle w:val="Sinespaciado"/>
        <w:rPr>
          <w:rFonts w:ascii="Cambria" w:hAnsi="Cambria" w:cs="Arial"/>
          <w:b/>
          <w:sz w:val="24"/>
          <w:szCs w:val="24"/>
        </w:rPr>
      </w:pPr>
    </w:p>
    <w:p w14:paraId="0C572D48" w14:textId="15F9B4D4" w:rsidR="00B653E6" w:rsidRPr="00431183" w:rsidRDefault="00C9117E" w:rsidP="00AF1E1D">
      <w:pPr>
        <w:pStyle w:val="Ttulo1"/>
        <w:numPr>
          <w:ilvl w:val="1"/>
          <w:numId w:val="27"/>
        </w:numPr>
        <w:spacing w:line="240" w:lineRule="auto"/>
        <w:rPr>
          <w:rFonts w:ascii="Cambria" w:eastAsia="Times New Roman" w:hAnsi="Cambria" w:cs="Arial"/>
          <w:b/>
          <w:color w:val="auto"/>
          <w:sz w:val="24"/>
          <w:szCs w:val="24"/>
        </w:rPr>
      </w:pPr>
      <w:bookmarkStart w:id="4" w:name="_Toc527574695"/>
      <w:bookmarkStart w:id="5" w:name="_Toc527575726"/>
      <w:bookmarkStart w:id="6" w:name="_Toc527576450"/>
      <w:bookmarkStart w:id="7" w:name="_Toc527574696"/>
      <w:bookmarkStart w:id="8" w:name="_Toc527575727"/>
      <w:bookmarkStart w:id="9" w:name="_Toc527576451"/>
      <w:bookmarkStart w:id="10" w:name="_Toc527574697"/>
      <w:bookmarkStart w:id="11" w:name="_Toc527575728"/>
      <w:bookmarkStart w:id="12" w:name="_Toc527576452"/>
      <w:bookmarkStart w:id="13" w:name="_Toc527574698"/>
      <w:bookmarkStart w:id="14" w:name="_Toc527575729"/>
      <w:bookmarkStart w:id="15" w:name="_Toc527576453"/>
      <w:bookmarkStart w:id="16" w:name="_Toc527574699"/>
      <w:bookmarkStart w:id="17" w:name="_Toc527575730"/>
      <w:bookmarkStart w:id="18" w:name="_Toc527576454"/>
      <w:bookmarkStart w:id="19" w:name="_Toc527574700"/>
      <w:bookmarkStart w:id="20" w:name="_Toc527575731"/>
      <w:bookmarkStart w:id="21" w:name="_Toc527576455"/>
      <w:bookmarkStart w:id="22" w:name="_Toc527574701"/>
      <w:bookmarkStart w:id="23" w:name="_Toc527575732"/>
      <w:bookmarkStart w:id="24" w:name="_Toc527576456"/>
      <w:bookmarkStart w:id="25" w:name="_Toc527574702"/>
      <w:bookmarkStart w:id="26" w:name="_Toc527575733"/>
      <w:bookmarkStart w:id="27" w:name="_Toc527576457"/>
      <w:bookmarkStart w:id="28" w:name="_Toc527574703"/>
      <w:bookmarkStart w:id="29" w:name="_Toc527575734"/>
      <w:bookmarkStart w:id="30" w:name="_Toc527576458"/>
      <w:bookmarkStart w:id="31" w:name="_Toc527574704"/>
      <w:bookmarkStart w:id="32" w:name="_Toc527575735"/>
      <w:bookmarkStart w:id="33" w:name="_Toc527576459"/>
      <w:bookmarkStart w:id="34" w:name="_Toc527574705"/>
      <w:bookmarkStart w:id="35" w:name="_Toc527575736"/>
      <w:bookmarkStart w:id="36" w:name="_Toc527576460"/>
      <w:bookmarkStart w:id="37" w:name="_Toc527574706"/>
      <w:bookmarkStart w:id="38" w:name="_Toc527575737"/>
      <w:bookmarkStart w:id="39" w:name="_Toc527576461"/>
      <w:bookmarkStart w:id="40" w:name="_Toc527574707"/>
      <w:bookmarkStart w:id="41" w:name="_Toc527575738"/>
      <w:bookmarkStart w:id="42" w:name="_Toc527576462"/>
      <w:bookmarkStart w:id="43" w:name="_Toc527574708"/>
      <w:bookmarkStart w:id="44" w:name="_Toc527575739"/>
      <w:bookmarkStart w:id="45" w:name="_Toc527576463"/>
      <w:bookmarkStart w:id="46" w:name="_Toc527574709"/>
      <w:bookmarkStart w:id="47" w:name="_Toc527575740"/>
      <w:bookmarkStart w:id="48" w:name="_Toc527576464"/>
      <w:bookmarkStart w:id="49" w:name="_Toc527576935"/>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431183">
        <w:rPr>
          <w:rFonts w:ascii="Cambria" w:eastAsia="Times New Roman" w:hAnsi="Cambria" w:cs="Arial"/>
          <w:b/>
          <w:color w:val="auto"/>
          <w:sz w:val="24"/>
          <w:szCs w:val="24"/>
        </w:rPr>
        <w:t>Introducción</w:t>
      </w:r>
      <w:bookmarkEnd w:id="49"/>
    </w:p>
    <w:p w14:paraId="0770CA46" w14:textId="77777777" w:rsidR="00B653E6" w:rsidRPr="00431183" w:rsidRDefault="00B653E6" w:rsidP="00431183">
      <w:pPr>
        <w:rPr>
          <w:lang w:eastAsia="es-CR"/>
        </w:rPr>
      </w:pPr>
    </w:p>
    <w:p w14:paraId="0D0C8BDE" w14:textId="6488875F" w:rsidR="00F507BE" w:rsidRPr="00AF1E1D" w:rsidRDefault="00F507BE">
      <w:pPr>
        <w:spacing w:line="240" w:lineRule="auto"/>
        <w:ind w:firstLine="708"/>
        <w:jc w:val="both"/>
        <w:rPr>
          <w:rFonts w:ascii="Cambria" w:hAnsi="Cambria" w:cs="Arial"/>
          <w:sz w:val="24"/>
          <w:szCs w:val="24"/>
        </w:rPr>
      </w:pPr>
      <w:r w:rsidRPr="00431183">
        <w:rPr>
          <w:rFonts w:ascii="Cambria" w:hAnsi="Cambria" w:cs="Arial"/>
          <w:sz w:val="24"/>
          <w:szCs w:val="24"/>
        </w:rPr>
        <w:t>El presente trabajo se realizó con el objeto de obtener el grado de Licenciatura en Economía, el cual</w:t>
      </w:r>
      <w:r w:rsidR="00263002">
        <w:rPr>
          <w:rFonts w:ascii="Cambria" w:hAnsi="Cambria" w:cs="Arial"/>
          <w:sz w:val="24"/>
          <w:szCs w:val="24"/>
        </w:rPr>
        <w:t>,</w:t>
      </w:r>
      <w:r w:rsidRPr="00431183">
        <w:rPr>
          <w:rFonts w:ascii="Cambria" w:hAnsi="Cambria" w:cs="Arial"/>
          <w:sz w:val="24"/>
          <w:szCs w:val="24"/>
        </w:rPr>
        <w:t xml:space="preserve"> consiste en</w:t>
      </w:r>
      <w:r w:rsidR="00263002">
        <w:rPr>
          <w:rFonts w:ascii="Cambria" w:hAnsi="Cambria" w:cs="Arial"/>
          <w:sz w:val="24"/>
          <w:szCs w:val="24"/>
        </w:rPr>
        <w:t xml:space="preserve"> aportar una serie de propuestas al</w:t>
      </w:r>
      <w:r w:rsidRPr="00431183">
        <w:rPr>
          <w:rFonts w:ascii="Cambria" w:hAnsi="Cambria" w:cs="Arial"/>
          <w:sz w:val="24"/>
          <w:szCs w:val="24"/>
        </w:rPr>
        <w:t xml:space="preserve"> </w:t>
      </w:r>
      <w:r w:rsidR="00263002">
        <w:rPr>
          <w:rFonts w:ascii="Cambria" w:hAnsi="Cambria" w:cs="Arial"/>
          <w:sz w:val="24"/>
          <w:szCs w:val="24"/>
        </w:rPr>
        <w:t>análisis sobre las</w:t>
      </w:r>
      <w:r w:rsidRPr="00431183">
        <w:rPr>
          <w:rFonts w:ascii="Cambria" w:hAnsi="Cambria" w:cs="Arial"/>
          <w:sz w:val="24"/>
          <w:szCs w:val="24"/>
        </w:rPr>
        <w:t xml:space="preserve"> contribuciones desde los sistemas financieros a diferentes formas productivas</w:t>
      </w:r>
      <w:r w:rsidR="00263002">
        <w:rPr>
          <w:rFonts w:ascii="Cambria" w:hAnsi="Cambria" w:cs="Arial"/>
          <w:sz w:val="24"/>
          <w:szCs w:val="24"/>
        </w:rPr>
        <w:t xml:space="preserve"> como lo es el programa de Banca para el Desarrollo</w:t>
      </w:r>
      <w:r w:rsidRPr="00431183">
        <w:rPr>
          <w:rFonts w:ascii="Cambria" w:hAnsi="Cambria" w:cs="Arial"/>
          <w:sz w:val="24"/>
          <w:szCs w:val="24"/>
        </w:rPr>
        <w:t xml:space="preserve">, </w:t>
      </w:r>
      <w:r>
        <w:rPr>
          <w:rFonts w:ascii="Cambria" w:hAnsi="Cambria" w:cs="Arial"/>
          <w:sz w:val="24"/>
          <w:szCs w:val="24"/>
        </w:rPr>
        <w:t>en contexto</w:t>
      </w:r>
      <w:r w:rsidR="00263002">
        <w:rPr>
          <w:rFonts w:ascii="Cambria" w:hAnsi="Cambria" w:cs="Arial"/>
          <w:sz w:val="24"/>
          <w:szCs w:val="24"/>
        </w:rPr>
        <w:t xml:space="preserve">s donde </w:t>
      </w:r>
      <w:r>
        <w:rPr>
          <w:rFonts w:ascii="Cambria" w:hAnsi="Cambria" w:cs="Arial"/>
          <w:sz w:val="24"/>
          <w:szCs w:val="24"/>
        </w:rPr>
        <w:t xml:space="preserve">una serie de agentes económicos buscan estrategias para diferenciar la producción, </w:t>
      </w:r>
      <w:r w:rsidR="00263002">
        <w:rPr>
          <w:rFonts w:ascii="Cambria" w:hAnsi="Cambria" w:cs="Arial"/>
          <w:sz w:val="24"/>
          <w:szCs w:val="24"/>
        </w:rPr>
        <w:t>como es el caso del cultivo de café en la Zona de los Santos,</w:t>
      </w:r>
      <w:r>
        <w:rPr>
          <w:rFonts w:ascii="Cambria" w:hAnsi="Cambria" w:cs="Arial"/>
          <w:sz w:val="24"/>
          <w:szCs w:val="24"/>
        </w:rPr>
        <w:t xml:space="preserve"> consigo</w:t>
      </w:r>
      <w:r w:rsidR="00263002">
        <w:rPr>
          <w:rFonts w:ascii="Cambria" w:hAnsi="Cambria" w:cs="Arial"/>
          <w:sz w:val="24"/>
          <w:szCs w:val="24"/>
        </w:rPr>
        <w:t>,</w:t>
      </w:r>
      <w:r>
        <w:rPr>
          <w:rFonts w:ascii="Cambria" w:hAnsi="Cambria" w:cs="Arial"/>
          <w:sz w:val="24"/>
          <w:szCs w:val="24"/>
        </w:rPr>
        <w:t xml:space="preserve"> poder </w:t>
      </w:r>
      <w:r w:rsidR="009B08FF">
        <w:rPr>
          <w:rFonts w:ascii="Cambria" w:hAnsi="Cambria" w:cs="Arial"/>
          <w:sz w:val="24"/>
          <w:szCs w:val="24"/>
        </w:rPr>
        <w:t>diferenciarse</w:t>
      </w:r>
      <w:r>
        <w:rPr>
          <w:rFonts w:ascii="Cambria" w:hAnsi="Cambria" w:cs="Arial"/>
          <w:sz w:val="24"/>
          <w:szCs w:val="24"/>
        </w:rPr>
        <w:t xml:space="preserve"> en los diferentes mercados.  </w:t>
      </w:r>
    </w:p>
    <w:p w14:paraId="355E6C1C" w14:textId="505C498F" w:rsidR="00F507BE" w:rsidRPr="00431183" w:rsidRDefault="00364F43">
      <w:pPr>
        <w:spacing w:line="240" w:lineRule="auto"/>
        <w:ind w:firstLine="708"/>
        <w:jc w:val="both"/>
        <w:rPr>
          <w:rFonts w:ascii="Cambria" w:hAnsi="Cambria" w:cs="Arial"/>
          <w:sz w:val="24"/>
          <w:szCs w:val="24"/>
        </w:rPr>
      </w:pPr>
      <w:r>
        <w:rPr>
          <w:rFonts w:ascii="Cambria" w:hAnsi="Cambria" w:cs="Arial"/>
          <w:sz w:val="24"/>
          <w:szCs w:val="24"/>
        </w:rPr>
        <w:t xml:space="preserve">Dado lo anterior, </w:t>
      </w:r>
      <w:r w:rsidR="00F507BE">
        <w:rPr>
          <w:rFonts w:ascii="Cambria" w:hAnsi="Cambria" w:cs="Arial"/>
          <w:sz w:val="24"/>
          <w:szCs w:val="24"/>
        </w:rPr>
        <w:t xml:space="preserve">se </w:t>
      </w:r>
      <w:r>
        <w:rPr>
          <w:rFonts w:ascii="Cambria" w:hAnsi="Cambria" w:cs="Arial"/>
          <w:sz w:val="24"/>
          <w:szCs w:val="24"/>
        </w:rPr>
        <w:t xml:space="preserve">realiza </w:t>
      </w:r>
      <w:r w:rsidR="00F507BE">
        <w:rPr>
          <w:rFonts w:ascii="Cambria" w:hAnsi="Cambria" w:cs="Arial"/>
          <w:sz w:val="24"/>
          <w:szCs w:val="24"/>
        </w:rPr>
        <w:t xml:space="preserve">un </w:t>
      </w:r>
      <w:r>
        <w:rPr>
          <w:rFonts w:ascii="Cambria" w:hAnsi="Cambria" w:cs="Arial"/>
          <w:sz w:val="24"/>
          <w:szCs w:val="24"/>
        </w:rPr>
        <w:t>análisis</w:t>
      </w:r>
      <w:r w:rsidR="00F507BE">
        <w:rPr>
          <w:rFonts w:ascii="Cambria" w:hAnsi="Cambria" w:cs="Arial"/>
          <w:sz w:val="24"/>
          <w:szCs w:val="24"/>
        </w:rPr>
        <w:t xml:space="preserve"> de caso a la denominación de Origen Tarrazú, proyecto local que busca aplicar una serie de modificaciones</w:t>
      </w:r>
      <w:r w:rsidR="00832E0C">
        <w:rPr>
          <w:rFonts w:ascii="Cambria" w:hAnsi="Cambria" w:cs="Arial"/>
          <w:sz w:val="24"/>
          <w:szCs w:val="24"/>
        </w:rPr>
        <w:t xml:space="preserve"> jurídicas para proteger una marca, por ende, potenciar</w:t>
      </w:r>
      <w:r w:rsidR="00F507BE">
        <w:rPr>
          <w:rFonts w:ascii="Cambria" w:hAnsi="Cambria" w:cs="Arial"/>
          <w:sz w:val="24"/>
          <w:szCs w:val="24"/>
        </w:rPr>
        <w:t xml:space="preserve"> características diferenciador</w:t>
      </w:r>
      <w:r>
        <w:rPr>
          <w:rFonts w:ascii="Cambria" w:hAnsi="Cambria" w:cs="Arial"/>
          <w:sz w:val="24"/>
          <w:szCs w:val="24"/>
        </w:rPr>
        <w:t>a</w:t>
      </w:r>
      <w:r w:rsidR="00F507BE">
        <w:rPr>
          <w:rFonts w:ascii="Cambria" w:hAnsi="Cambria" w:cs="Arial"/>
          <w:sz w:val="24"/>
          <w:szCs w:val="24"/>
        </w:rPr>
        <w:t>s</w:t>
      </w:r>
      <w:r w:rsidR="00832E0C">
        <w:rPr>
          <w:rFonts w:ascii="Cambria" w:hAnsi="Cambria" w:cs="Arial"/>
          <w:sz w:val="24"/>
          <w:szCs w:val="24"/>
        </w:rPr>
        <w:t xml:space="preserve"> a la producción local</w:t>
      </w:r>
      <w:r w:rsidR="00F507BE">
        <w:rPr>
          <w:rFonts w:ascii="Cambria" w:hAnsi="Cambria" w:cs="Arial"/>
          <w:sz w:val="24"/>
          <w:szCs w:val="24"/>
        </w:rPr>
        <w:t xml:space="preserve">, </w:t>
      </w:r>
      <w:r w:rsidR="00832E0C">
        <w:rPr>
          <w:rFonts w:ascii="Cambria" w:hAnsi="Cambria" w:cs="Arial"/>
          <w:sz w:val="24"/>
          <w:szCs w:val="24"/>
        </w:rPr>
        <w:t>con el objeto de impulsar</w:t>
      </w:r>
      <w:r w:rsidR="00F507BE">
        <w:rPr>
          <w:rFonts w:ascii="Cambria" w:hAnsi="Cambria" w:cs="Arial"/>
          <w:sz w:val="24"/>
          <w:szCs w:val="24"/>
        </w:rPr>
        <w:t xml:space="preserve"> efectos positivos a la</w:t>
      </w:r>
      <w:r w:rsidR="00F507BE" w:rsidRPr="00431183">
        <w:rPr>
          <w:rFonts w:ascii="Cambria" w:hAnsi="Cambria" w:cs="Arial"/>
          <w:sz w:val="24"/>
          <w:szCs w:val="24"/>
        </w:rPr>
        <w:t xml:space="preserve"> </w:t>
      </w:r>
      <w:r w:rsidR="00832E0C">
        <w:rPr>
          <w:rFonts w:ascii="Cambria" w:hAnsi="Cambria" w:cs="Arial"/>
          <w:sz w:val="24"/>
          <w:szCs w:val="24"/>
        </w:rPr>
        <w:t xml:space="preserve">dinámica económica de </w:t>
      </w:r>
      <w:r w:rsidR="00F507BE" w:rsidRPr="00431183">
        <w:rPr>
          <w:rFonts w:ascii="Cambria" w:hAnsi="Cambria" w:cs="Arial"/>
          <w:sz w:val="24"/>
          <w:szCs w:val="24"/>
        </w:rPr>
        <w:t xml:space="preserve">la Zona de los Santos </w:t>
      </w:r>
      <w:r w:rsidR="00F507BE">
        <w:rPr>
          <w:rFonts w:ascii="Cambria" w:hAnsi="Cambria" w:cs="Arial"/>
          <w:sz w:val="24"/>
          <w:szCs w:val="24"/>
        </w:rPr>
        <w:t>co</w:t>
      </w:r>
      <w:r w:rsidR="004E54CF">
        <w:rPr>
          <w:rFonts w:ascii="Cambria" w:hAnsi="Cambria" w:cs="Arial"/>
          <w:sz w:val="24"/>
          <w:szCs w:val="24"/>
        </w:rPr>
        <w:t>n el</w:t>
      </w:r>
      <w:r w:rsidR="00F507BE" w:rsidRPr="00431183">
        <w:rPr>
          <w:rFonts w:ascii="Cambria" w:hAnsi="Cambria" w:cs="Arial"/>
          <w:sz w:val="24"/>
          <w:szCs w:val="24"/>
        </w:rPr>
        <w:t xml:space="preserve"> cultivo de café</w:t>
      </w:r>
      <w:r w:rsidR="00832E0C">
        <w:rPr>
          <w:rFonts w:ascii="Cambria" w:hAnsi="Cambria" w:cs="Arial"/>
          <w:sz w:val="24"/>
          <w:szCs w:val="24"/>
        </w:rPr>
        <w:t>.  Además</w:t>
      </w:r>
      <w:r w:rsidR="004E54CF">
        <w:rPr>
          <w:rFonts w:ascii="Cambria" w:hAnsi="Cambria" w:cs="Arial"/>
          <w:sz w:val="24"/>
          <w:szCs w:val="24"/>
        </w:rPr>
        <w:t xml:space="preserve">, </w:t>
      </w:r>
      <w:r w:rsidR="00832E0C">
        <w:rPr>
          <w:rFonts w:ascii="Cambria" w:hAnsi="Cambria" w:cs="Arial"/>
          <w:sz w:val="24"/>
          <w:szCs w:val="24"/>
        </w:rPr>
        <w:t xml:space="preserve"> se</w:t>
      </w:r>
      <w:r w:rsidR="004E54CF">
        <w:rPr>
          <w:rFonts w:ascii="Cambria" w:hAnsi="Cambria" w:cs="Arial"/>
          <w:sz w:val="24"/>
          <w:szCs w:val="24"/>
        </w:rPr>
        <w:t xml:space="preserve"> incluyen </w:t>
      </w:r>
      <w:r w:rsidR="00832E0C">
        <w:rPr>
          <w:rFonts w:ascii="Cambria" w:hAnsi="Cambria" w:cs="Arial"/>
          <w:sz w:val="24"/>
          <w:szCs w:val="24"/>
        </w:rPr>
        <w:t>otros factores no económicos como la</w:t>
      </w:r>
      <w:r w:rsidR="004E54CF">
        <w:rPr>
          <w:rFonts w:ascii="Cambria" w:hAnsi="Cambria" w:cs="Arial"/>
          <w:sz w:val="24"/>
          <w:szCs w:val="24"/>
        </w:rPr>
        <w:t>s</w:t>
      </w:r>
      <w:r w:rsidR="00832E0C">
        <w:rPr>
          <w:rFonts w:ascii="Cambria" w:hAnsi="Cambria" w:cs="Arial"/>
          <w:sz w:val="24"/>
          <w:szCs w:val="24"/>
        </w:rPr>
        <w:t xml:space="preserve"> variable</w:t>
      </w:r>
      <w:r w:rsidR="004E54CF">
        <w:rPr>
          <w:rFonts w:ascii="Cambria" w:hAnsi="Cambria" w:cs="Arial"/>
          <w:sz w:val="24"/>
          <w:szCs w:val="24"/>
        </w:rPr>
        <w:t>s</w:t>
      </w:r>
      <w:r w:rsidR="00F507BE" w:rsidRPr="00431183">
        <w:rPr>
          <w:rFonts w:ascii="Cambria" w:hAnsi="Cambria" w:cs="Arial"/>
          <w:sz w:val="24"/>
          <w:szCs w:val="24"/>
        </w:rPr>
        <w:t xml:space="preserve"> región</w:t>
      </w:r>
      <w:r w:rsidR="00832E0C">
        <w:rPr>
          <w:rFonts w:ascii="Cambria" w:hAnsi="Cambria" w:cs="Arial"/>
          <w:sz w:val="24"/>
          <w:szCs w:val="24"/>
        </w:rPr>
        <w:t>, que</w:t>
      </w:r>
      <w:r w:rsidR="00F507BE" w:rsidRPr="00431183">
        <w:rPr>
          <w:rFonts w:ascii="Cambria" w:hAnsi="Cambria" w:cs="Arial"/>
          <w:sz w:val="24"/>
          <w:szCs w:val="24"/>
        </w:rPr>
        <w:t xml:space="preserve"> aporta una serie de características naturales</w:t>
      </w:r>
      <w:r w:rsidR="004E54CF">
        <w:rPr>
          <w:rFonts w:ascii="Cambria" w:hAnsi="Cambria" w:cs="Arial"/>
          <w:sz w:val="24"/>
          <w:szCs w:val="24"/>
        </w:rPr>
        <w:t>,</w:t>
      </w:r>
      <w:r w:rsidR="00F507BE" w:rsidRPr="00431183">
        <w:rPr>
          <w:rFonts w:ascii="Cambria" w:hAnsi="Cambria" w:cs="Arial"/>
          <w:sz w:val="24"/>
          <w:szCs w:val="24"/>
        </w:rPr>
        <w:t xml:space="preserve"> condiciones climáticas, geográficas y culturales, que </w:t>
      </w:r>
      <w:r w:rsidR="00832E0C">
        <w:rPr>
          <w:rFonts w:ascii="Cambria" w:hAnsi="Cambria" w:cs="Arial"/>
          <w:sz w:val="24"/>
          <w:szCs w:val="24"/>
        </w:rPr>
        <w:t xml:space="preserve">contribuyen en la calidad de la producción local. </w:t>
      </w:r>
    </w:p>
    <w:p w14:paraId="02664B50" w14:textId="521B3534" w:rsidR="00F507BE" w:rsidRPr="00431183" w:rsidRDefault="00F507BE" w:rsidP="00F507BE">
      <w:pPr>
        <w:spacing w:line="240" w:lineRule="auto"/>
        <w:ind w:firstLine="708"/>
        <w:jc w:val="both"/>
        <w:rPr>
          <w:rFonts w:ascii="Cambria" w:hAnsi="Cambria" w:cs="Arial"/>
          <w:sz w:val="24"/>
          <w:szCs w:val="24"/>
        </w:rPr>
      </w:pPr>
      <w:r w:rsidRPr="00431183">
        <w:rPr>
          <w:rFonts w:ascii="Cambria" w:hAnsi="Cambria" w:cs="Arial"/>
          <w:sz w:val="24"/>
          <w:szCs w:val="24"/>
        </w:rPr>
        <w:t>La denominación de origen (DO) señala el origen geográfico del producto dada a cierta calidad, que a su vez ésta se respalda de una serie de atributos de valor que hacen del vínculo del producto con su lugar de procedencia, un nexo exclusivo y único. Es importante hacer notar que la vinculación a una zona geográfica no se limita sólo a productos agrícolas</w:t>
      </w:r>
      <w:r>
        <w:rPr>
          <w:rFonts w:ascii="Cambria" w:hAnsi="Cambria" w:cs="Arial"/>
          <w:sz w:val="24"/>
          <w:szCs w:val="24"/>
        </w:rPr>
        <w:t xml:space="preserve">, sino a aspectos culturales, sociales, económicos de una región </w:t>
      </w:r>
      <w:r w:rsidR="004E54CF">
        <w:rPr>
          <w:rFonts w:ascii="Cambria" w:hAnsi="Cambria" w:cs="Arial"/>
          <w:sz w:val="24"/>
          <w:szCs w:val="24"/>
        </w:rPr>
        <w:t xml:space="preserve">específica, lo cual, modifica una serie de actividades intrínsecas en la actividad cafetalera de la región de los Santos. </w:t>
      </w:r>
    </w:p>
    <w:p w14:paraId="2963E713" w14:textId="4446FD6D" w:rsidR="00F507BE" w:rsidRPr="00431183" w:rsidRDefault="00F507BE" w:rsidP="00F507BE">
      <w:pPr>
        <w:spacing w:line="240" w:lineRule="auto"/>
        <w:ind w:firstLine="708"/>
        <w:jc w:val="both"/>
        <w:rPr>
          <w:rFonts w:ascii="Cambria" w:hAnsi="Cambria" w:cs="Arial"/>
          <w:sz w:val="24"/>
          <w:szCs w:val="24"/>
        </w:rPr>
      </w:pPr>
      <w:r w:rsidRPr="00431183">
        <w:rPr>
          <w:rFonts w:ascii="Cambria" w:hAnsi="Cambria" w:cs="Arial"/>
          <w:sz w:val="24"/>
          <w:szCs w:val="24"/>
        </w:rPr>
        <w:t xml:space="preserve">Por ende, una eventual implementación de la denominación de origen implica necesariamente una serie de </w:t>
      </w:r>
      <w:r>
        <w:rPr>
          <w:rFonts w:ascii="Cambria" w:hAnsi="Cambria" w:cs="Arial"/>
          <w:sz w:val="24"/>
          <w:szCs w:val="24"/>
        </w:rPr>
        <w:t>mejoras productivas asociadas a</w:t>
      </w:r>
      <w:r w:rsidRPr="00431183">
        <w:rPr>
          <w:rFonts w:ascii="Cambria" w:hAnsi="Cambria" w:cs="Arial"/>
          <w:sz w:val="24"/>
          <w:szCs w:val="24"/>
        </w:rPr>
        <w:t xml:space="preserve"> procesos</w:t>
      </w:r>
      <w:r w:rsidR="004E54CF">
        <w:rPr>
          <w:rFonts w:ascii="Cambria" w:hAnsi="Cambria" w:cs="Arial"/>
          <w:sz w:val="24"/>
          <w:szCs w:val="24"/>
        </w:rPr>
        <w:t xml:space="preserve"> propios en finca</w:t>
      </w:r>
      <w:r w:rsidRPr="00431183">
        <w:rPr>
          <w:rFonts w:ascii="Cambria" w:hAnsi="Cambria" w:cs="Arial"/>
          <w:sz w:val="24"/>
          <w:szCs w:val="24"/>
        </w:rPr>
        <w:t>, así como también una industria mediana encargada de</w:t>
      </w:r>
      <w:r w:rsidR="004E54CF">
        <w:rPr>
          <w:rFonts w:ascii="Cambria" w:hAnsi="Cambria" w:cs="Arial"/>
          <w:sz w:val="24"/>
          <w:szCs w:val="24"/>
        </w:rPr>
        <w:t xml:space="preserve"> otros procesos posteriores de la recolección y beneficiado del café</w:t>
      </w:r>
      <w:r w:rsidRPr="00431183">
        <w:rPr>
          <w:rFonts w:ascii="Cambria" w:hAnsi="Cambria" w:cs="Arial"/>
          <w:sz w:val="24"/>
          <w:szCs w:val="24"/>
        </w:rPr>
        <w:t xml:space="preserve">, la transformación y el procesamiento del café, </w:t>
      </w:r>
      <w:r w:rsidR="004E54CF">
        <w:rPr>
          <w:rFonts w:ascii="Cambria" w:hAnsi="Cambria" w:cs="Arial"/>
          <w:sz w:val="24"/>
          <w:szCs w:val="24"/>
        </w:rPr>
        <w:t>debido a que las actividades anteriores migran al interior</w:t>
      </w:r>
      <w:r w:rsidR="005F523A">
        <w:rPr>
          <w:rFonts w:ascii="Cambria" w:hAnsi="Cambria" w:cs="Arial"/>
          <w:sz w:val="24"/>
          <w:szCs w:val="24"/>
        </w:rPr>
        <w:t xml:space="preserve"> para </w:t>
      </w:r>
      <w:r w:rsidRPr="00431183">
        <w:rPr>
          <w:rFonts w:ascii="Cambria" w:hAnsi="Cambria" w:cs="Arial"/>
          <w:sz w:val="24"/>
          <w:szCs w:val="24"/>
        </w:rPr>
        <w:t xml:space="preserve"> ser desarrollada únicamente en la región de análisis, lo que resulta necesario estudiar alternativas financieras que permitan </w:t>
      </w:r>
      <w:r w:rsidR="005F523A">
        <w:rPr>
          <w:rFonts w:ascii="Cambria" w:hAnsi="Cambria" w:cs="Arial"/>
          <w:sz w:val="24"/>
          <w:szCs w:val="24"/>
        </w:rPr>
        <w:t>dotar de recursos</w:t>
      </w:r>
      <w:r w:rsidRPr="00431183">
        <w:rPr>
          <w:rFonts w:ascii="Cambria" w:hAnsi="Cambria" w:cs="Arial"/>
          <w:sz w:val="24"/>
          <w:szCs w:val="24"/>
        </w:rPr>
        <w:t xml:space="preserve"> los planes de inversión y mejoras plantadas con la D</w:t>
      </w:r>
      <w:r w:rsidR="005F523A">
        <w:rPr>
          <w:rFonts w:ascii="Cambria" w:hAnsi="Cambria" w:cs="Arial"/>
          <w:sz w:val="24"/>
          <w:szCs w:val="24"/>
        </w:rPr>
        <w:t>enominación de Origen Tarrazú.</w:t>
      </w:r>
      <w:r w:rsidRPr="00431183">
        <w:rPr>
          <w:rFonts w:ascii="Cambria" w:hAnsi="Cambria" w:cs="Arial"/>
          <w:sz w:val="24"/>
          <w:szCs w:val="24"/>
        </w:rPr>
        <w:t xml:space="preserve">  </w:t>
      </w:r>
    </w:p>
    <w:p w14:paraId="78A4816B" w14:textId="115CB0AE" w:rsidR="00F507BE" w:rsidRPr="00431183" w:rsidRDefault="00F507BE" w:rsidP="00F507BE">
      <w:pPr>
        <w:spacing w:line="240" w:lineRule="auto"/>
        <w:ind w:firstLine="708"/>
        <w:jc w:val="both"/>
        <w:rPr>
          <w:rFonts w:ascii="Cambria" w:hAnsi="Cambria" w:cs="Arial"/>
          <w:sz w:val="24"/>
          <w:szCs w:val="24"/>
        </w:rPr>
      </w:pPr>
      <w:r w:rsidRPr="00431183">
        <w:rPr>
          <w:rFonts w:ascii="Cambria" w:hAnsi="Cambria" w:cs="Arial"/>
          <w:sz w:val="24"/>
          <w:szCs w:val="24"/>
        </w:rPr>
        <w:t>Para los productores</w:t>
      </w:r>
      <w:r>
        <w:rPr>
          <w:rFonts w:ascii="Cambria" w:hAnsi="Cambria" w:cs="Arial"/>
          <w:sz w:val="24"/>
          <w:szCs w:val="24"/>
        </w:rPr>
        <w:t xml:space="preserve"> de café</w:t>
      </w:r>
      <w:r w:rsidRPr="00431183">
        <w:rPr>
          <w:rFonts w:ascii="Cambria" w:hAnsi="Cambria" w:cs="Arial"/>
          <w:sz w:val="24"/>
          <w:szCs w:val="24"/>
        </w:rPr>
        <w:t>, la diferenciación puede generar mayores beneficios a mediano plazo</w:t>
      </w:r>
      <w:r>
        <w:rPr>
          <w:rFonts w:ascii="Cambria" w:hAnsi="Cambria" w:cs="Arial"/>
          <w:sz w:val="24"/>
          <w:szCs w:val="24"/>
        </w:rPr>
        <w:t>, debido al uso de</w:t>
      </w:r>
      <w:r w:rsidRPr="00431183">
        <w:rPr>
          <w:rFonts w:ascii="Cambria" w:hAnsi="Cambria" w:cs="Arial"/>
          <w:sz w:val="24"/>
          <w:szCs w:val="24"/>
        </w:rPr>
        <w:t xml:space="preserve"> signos o distintivos que garantizan la idoneidad del producto que pueden reforzar y mejorar el conocimiento</w:t>
      </w:r>
      <w:r w:rsidR="005F523A">
        <w:rPr>
          <w:rFonts w:ascii="Cambria" w:hAnsi="Cambria" w:cs="Arial"/>
          <w:sz w:val="24"/>
          <w:szCs w:val="24"/>
        </w:rPr>
        <w:t xml:space="preserve"> hacia los posibles consumidores</w:t>
      </w:r>
      <w:r w:rsidRPr="00431183">
        <w:rPr>
          <w:rFonts w:ascii="Cambria" w:hAnsi="Cambria" w:cs="Arial"/>
          <w:sz w:val="24"/>
          <w:szCs w:val="24"/>
        </w:rPr>
        <w:t>, consigo</w:t>
      </w:r>
      <w:r w:rsidR="005F523A">
        <w:rPr>
          <w:rFonts w:ascii="Cambria" w:hAnsi="Cambria" w:cs="Arial"/>
          <w:sz w:val="24"/>
          <w:szCs w:val="24"/>
        </w:rPr>
        <w:t xml:space="preserve">, </w:t>
      </w:r>
      <w:r w:rsidRPr="00431183">
        <w:rPr>
          <w:rFonts w:ascii="Cambria" w:hAnsi="Cambria" w:cs="Arial"/>
          <w:sz w:val="24"/>
          <w:szCs w:val="24"/>
        </w:rPr>
        <w:t xml:space="preserve"> obtener mayores beneficios económicos</w:t>
      </w:r>
      <w:r>
        <w:rPr>
          <w:rFonts w:ascii="Cambria" w:hAnsi="Cambria" w:cs="Arial"/>
          <w:sz w:val="24"/>
          <w:szCs w:val="24"/>
        </w:rPr>
        <w:t>, pero dado</w:t>
      </w:r>
      <w:r w:rsidR="005F523A">
        <w:rPr>
          <w:rFonts w:ascii="Cambria" w:hAnsi="Cambria" w:cs="Arial"/>
          <w:sz w:val="24"/>
          <w:szCs w:val="24"/>
        </w:rPr>
        <w:t xml:space="preserve"> la característica</w:t>
      </w:r>
      <w:r>
        <w:rPr>
          <w:rFonts w:ascii="Cambria" w:hAnsi="Cambria" w:cs="Arial"/>
          <w:sz w:val="24"/>
          <w:szCs w:val="24"/>
        </w:rPr>
        <w:t xml:space="preserve"> local-regional</w:t>
      </w:r>
      <w:r w:rsidR="005F523A">
        <w:rPr>
          <w:rFonts w:ascii="Cambria" w:hAnsi="Cambria" w:cs="Arial"/>
          <w:sz w:val="24"/>
          <w:szCs w:val="24"/>
        </w:rPr>
        <w:t>, sobre todo que</w:t>
      </w:r>
      <w:r>
        <w:rPr>
          <w:rFonts w:ascii="Cambria" w:hAnsi="Cambria" w:cs="Arial"/>
          <w:sz w:val="24"/>
          <w:szCs w:val="24"/>
        </w:rPr>
        <w:t xml:space="preserve"> Costa Rica no han existido procesos similares, implica un análisis desde un perspectiva económica y financiera cada uno de los alcances del distintivo y los efectos finales.</w:t>
      </w:r>
    </w:p>
    <w:p w14:paraId="5A05DB95" w14:textId="1CC1284C" w:rsidR="00F507BE" w:rsidRDefault="00F507BE" w:rsidP="00F507BE">
      <w:pPr>
        <w:spacing w:line="240" w:lineRule="auto"/>
        <w:ind w:firstLine="708"/>
        <w:jc w:val="both"/>
        <w:rPr>
          <w:rFonts w:ascii="Cambria" w:eastAsia="Times New Roman" w:hAnsi="Cambria" w:cs="Arial"/>
          <w:bCs/>
          <w:sz w:val="24"/>
          <w:szCs w:val="24"/>
          <w:lang w:eastAsia="es-CR"/>
        </w:rPr>
      </w:pPr>
      <w:r w:rsidRPr="00431183">
        <w:rPr>
          <w:rFonts w:ascii="Cambria" w:hAnsi="Cambria" w:cs="Arial"/>
          <w:sz w:val="24"/>
          <w:szCs w:val="24"/>
        </w:rPr>
        <w:lastRenderedPageBreak/>
        <w:t xml:space="preserve">La necesidad de protección de la producción proviene del reconocimiento y reputación que muchas de ellas han adquirido a lo largo de la historia. </w:t>
      </w:r>
      <w:r w:rsidR="005F523A">
        <w:rPr>
          <w:rFonts w:ascii="Cambria" w:hAnsi="Cambria" w:cs="Arial"/>
          <w:sz w:val="24"/>
          <w:szCs w:val="24"/>
        </w:rPr>
        <w:t xml:space="preserve"> No obstante, d</w:t>
      </w:r>
      <w:r w:rsidRPr="00431183">
        <w:rPr>
          <w:rFonts w:ascii="Cambria" w:hAnsi="Cambria" w:cs="Arial"/>
          <w:sz w:val="24"/>
          <w:szCs w:val="24"/>
        </w:rPr>
        <w:t xml:space="preserve">eterminados productos son sensibles a la gestión deshonesta de terceros y, por ello, es preciso proteger su uso adecuado. De ahí que </w:t>
      </w:r>
      <w:r w:rsidRPr="00431183">
        <w:rPr>
          <w:rFonts w:ascii="Cambria" w:eastAsia="Times New Roman" w:hAnsi="Cambria" w:cs="Arial"/>
          <w:bCs/>
          <w:color w:val="000000"/>
          <w:sz w:val="24"/>
          <w:szCs w:val="24"/>
          <w:lang w:eastAsia="es-CR"/>
        </w:rPr>
        <w:t xml:space="preserve">el nuevo contexto económico, obligue a los productores, cooperativas y mercados, al </w:t>
      </w:r>
      <w:r w:rsidRPr="00431183">
        <w:rPr>
          <w:rFonts w:ascii="Cambria" w:eastAsia="Times New Roman" w:hAnsi="Cambria" w:cs="Arial"/>
          <w:bCs/>
          <w:sz w:val="24"/>
          <w:szCs w:val="24"/>
          <w:lang w:eastAsia="es-CR"/>
        </w:rPr>
        <w:t>desarrollo de un importante proceso de inversión y reconversión de sus estructuras productivas</w:t>
      </w:r>
      <w:r>
        <w:rPr>
          <w:rFonts w:ascii="Cambria" w:eastAsia="Times New Roman" w:hAnsi="Cambria" w:cs="Arial"/>
          <w:bCs/>
          <w:sz w:val="24"/>
          <w:szCs w:val="24"/>
          <w:lang w:eastAsia="es-CR"/>
        </w:rPr>
        <w:t xml:space="preserve">. </w:t>
      </w:r>
    </w:p>
    <w:p w14:paraId="2DC5CAC2" w14:textId="5B6D7668" w:rsidR="00F507BE" w:rsidRDefault="00F507BE" w:rsidP="00F507BE">
      <w:pPr>
        <w:spacing w:line="240" w:lineRule="auto"/>
        <w:ind w:firstLine="708"/>
        <w:jc w:val="both"/>
        <w:rPr>
          <w:rFonts w:ascii="Cambria" w:eastAsia="Times New Roman" w:hAnsi="Cambria" w:cs="Arial"/>
          <w:bCs/>
          <w:sz w:val="24"/>
          <w:szCs w:val="24"/>
          <w:lang w:eastAsia="es-CR"/>
        </w:rPr>
      </w:pPr>
      <w:r>
        <w:rPr>
          <w:rFonts w:ascii="Cambria" w:eastAsia="Times New Roman" w:hAnsi="Cambria" w:cs="Arial"/>
          <w:bCs/>
          <w:sz w:val="24"/>
          <w:szCs w:val="24"/>
          <w:lang w:eastAsia="es-CR"/>
        </w:rPr>
        <w:t xml:space="preserve">Por consiguiente, el presente trabajo investigativo </w:t>
      </w:r>
      <w:r w:rsidR="005F523A">
        <w:rPr>
          <w:rFonts w:ascii="Cambria" w:eastAsia="Times New Roman" w:hAnsi="Cambria" w:cs="Arial"/>
          <w:bCs/>
          <w:sz w:val="24"/>
          <w:szCs w:val="24"/>
          <w:lang w:eastAsia="es-CR"/>
        </w:rPr>
        <w:t xml:space="preserve">como </w:t>
      </w:r>
      <w:r>
        <w:rPr>
          <w:rFonts w:ascii="Cambria" w:eastAsia="Times New Roman" w:hAnsi="Cambria" w:cs="Arial"/>
          <w:bCs/>
          <w:sz w:val="24"/>
          <w:szCs w:val="24"/>
          <w:lang w:eastAsia="es-CR"/>
        </w:rPr>
        <w:t xml:space="preserve">analiza las implicaciones de la Denominación de Origen </w:t>
      </w:r>
      <w:r w:rsidRPr="00431183">
        <w:rPr>
          <w:rFonts w:ascii="Cambria" w:eastAsia="Times New Roman" w:hAnsi="Cambria" w:cs="Arial"/>
          <w:bCs/>
          <w:sz w:val="24"/>
          <w:szCs w:val="24"/>
          <w:lang w:eastAsia="es-CR"/>
        </w:rPr>
        <w:t>Tarrazú</w:t>
      </w:r>
      <w:r>
        <w:rPr>
          <w:rFonts w:ascii="Cambria" w:eastAsia="Times New Roman" w:hAnsi="Cambria" w:cs="Arial"/>
          <w:bCs/>
          <w:sz w:val="24"/>
          <w:szCs w:val="24"/>
          <w:lang w:eastAsia="es-CR"/>
        </w:rPr>
        <w:t xml:space="preserve">, por ende, consta de cuatro capítulos donde se explican desde los antecedentes de la denominación de origen, la situación económica actual de los productores y el contexto en los que se desenvuelven estos, una valoración financiera del distintivo, así como una serie de conclusiones y recomendaciones de los análisis aplicados referentes a la producción local de café.  </w:t>
      </w:r>
    </w:p>
    <w:p w14:paraId="18002FF9" w14:textId="7765E2DF" w:rsidR="00F507BE" w:rsidRDefault="00F507BE" w:rsidP="00F507BE">
      <w:pPr>
        <w:spacing w:line="240" w:lineRule="auto"/>
        <w:ind w:firstLine="708"/>
        <w:jc w:val="both"/>
        <w:rPr>
          <w:rFonts w:ascii="Cambria" w:eastAsia="Times New Roman" w:hAnsi="Cambria" w:cs="Arial"/>
          <w:bCs/>
          <w:sz w:val="24"/>
          <w:szCs w:val="24"/>
          <w:lang w:eastAsia="es-CR"/>
        </w:rPr>
      </w:pPr>
      <w:r>
        <w:rPr>
          <w:rFonts w:ascii="Cambria" w:eastAsia="Times New Roman" w:hAnsi="Cambria" w:cs="Arial"/>
          <w:bCs/>
          <w:sz w:val="24"/>
          <w:szCs w:val="24"/>
          <w:lang w:eastAsia="es-CR"/>
        </w:rPr>
        <w:t>Lo anterior para identifica</w:t>
      </w:r>
      <w:r w:rsidR="005F523A">
        <w:rPr>
          <w:rFonts w:ascii="Cambria" w:eastAsia="Times New Roman" w:hAnsi="Cambria" w:cs="Arial"/>
          <w:bCs/>
          <w:sz w:val="24"/>
          <w:szCs w:val="24"/>
          <w:lang w:eastAsia="es-CR"/>
        </w:rPr>
        <w:t>r</w:t>
      </w:r>
      <w:r>
        <w:rPr>
          <w:rFonts w:ascii="Cambria" w:eastAsia="Times New Roman" w:hAnsi="Cambria" w:cs="Arial"/>
          <w:bCs/>
          <w:sz w:val="24"/>
          <w:szCs w:val="24"/>
          <w:lang w:eastAsia="es-CR"/>
        </w:rPr>
        <w:t xml:space="preserve"> las diferentes contribuciones de carácter económica y financiero que eventualmente estaría aportando programas financieros</w:t>
      </w:r>
      <w:r w:rsidR="005F523A">
        <w:rPr>
          <w:rFonts w:ascii="Cambria" w:eastAsia="Times New Roman" w:hAnsi="Cambria" w:cs="Arial"/>
          <w:bCs/>
          <w:sz w:val="24"/>
          <w:szCs w:val="24"/>
          <w:lang w:eastAsia="es-CR"/>
        </w:rPr>
        <w:t xml:space="preserve"> </w:t>
      </w:r>
      <w:r w:rsidR="006D2978">
        <w:rPr>
          <w:rFonts w:ascii="Cambria" w:eastAsia="Times New Roman" w:hAnsi="Cambria" w:cs="Arial"/>
          <w:bCs/>
          <w:sz w:val="24"/>
          <w:szCs w:val="24"/>
          <w:lang w:eastAsia="es-CR"/>
        </w:rPr>
        <w:t>específicos</w:t>
      </w:r>
      <w:r>
        <w:rPr>
          <w:rFonts w:ascii="Cambria" w:eastAsia="Times New Roman" w:hAnsi="Cambria" w:cs="Arial"/>
          <w:bCs/>
          <w:sz w:val="24"/>
          <w:szCs w:val="24"/>
          <w:lang w:eastAsia="es-CR"/>
        </w:rPr>
        <w:t xml:space="preserve"> como lo es la Banca para el Desarrollo al ser utilizado en un proyecto productivo especifico, además, a no observar el aporte únicamente monetario, al contemplar otras variables de característica social. </w:t>
      </w:r>
    </w:p>
    <w:p w14:paraId="5A3D1F79"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75ED51C0"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2C662910"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66421D75"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1170F8C2"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3603E97E"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4F215765"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4D22A89D"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45AB7097"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5D0B3DBA"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134BDF7D" w14:textId="77777777" w:rsidR="004956F1" w:rsidRDefault="004956F1" w:rsidP="00F507BE">
      <w:pPr>
        <w:spacing w:line="240" w:lineRule="auto"/>
        <w:ind w:firstLine="708"/>
        <w:jc w:val="both"/>
        <w:rPr>
          <w:rFonts w:ascii="Cambria" w:eastAsia="Times New Roman" w:hAnsi="Cambria" w:cs="Arial"/>
          <w:bCs/>
          <w:sz w:val="24"/>
          <w:szCs w:val="24"/>
          <w:lang w:eastAsia="es-CR"/>
        </w:rPr>
      </w:pPr>
    </w:p>
    <w:p w14:paraId="60C98CDC" w14:textId="300E1754" w:rsidR="00AE07A1" w:rsidRDefault="00DD23EF" w:rsidP="00431183">
      <w:pPr>
        <w:spacing w:line="240" w:lineRule="auto"/>
        <w:ind w:firstLine="708"/>
        <w:jc w:val="both"/>
        <w:rPr>
          <w:rFonts w:ascii="Cambria" w:eastAsia="Times New Roman" w:hAnsi="Cambria" w:cs="Arial"/>
          <w:bCs/>
          <w:sz w:val="24"/>
          <w:szCs w:val="24"/>
          <w:lang w:eastAsia="es-CR"/>
        </w:rPr>
      </w:pPr>
      <w:r>
        <w:rPr>
          <w:rFonts w:ascii="Cambria" w:eastAsia="Times New Roman" w:hAnsi="Cambria" w:cs="Arial"/>
          <w:bCs/>
          <w:sz w:val="24"/>
          <w:szCs w:val="24"/>
          <w:lang w:eastAsia="es-CR"/>
        </w:rPr>
        <w:t xml:space="preserve"> </w:t>
      </w:r>
    </w:p>
    <w:p w14:paraId="27A1C776" w14:textId="76995C46" w:rsidR="00912974" w:rsidRDefault="00912974" w:rsidP="00431183">
      <w:pPr>
        <w:spacing w:line="240" w:lineRule="auto"/>
        <w:ind w:firstLine="708"/>
        <w:jc w:val="both"/>
        <w:rPr>
          <w:rFonts w:ascii="Cambria" w:eastAsia="Times New Roman" w:hAnsi="Cambria" w:cs="Arial"/>
          <w:bCs/>
          <w:sz w:val="24"/>
          <w:szCs w:val="24"/>
          <w:lang w:eastAsia="es-CR"/>
        </w:rPr>
      </w:pPr>
    </w:p>
    <w:p w14:paraId="7475D181" w14:textId="20444317" w:rsidR="00912974" w:rsidRDefault="00912974" w:rsidP="00431183">
      <w:pPr>
        <w:spacing w:line="240" w:lineRule="auto"/>
        <w:ind w:firstLine="708"/>
        <w:jc w:val="both"/>
        <w:rPr>
          <w:rFonts w:ascii="Cambria" w:eastAsia="Times New Roman" w:hAnsi="Cambria" w:cs="Arial"/>
          <w:bCs/>
          <w:sz w:val="24"/>
          <w:szCs w:val="24"/>
          <w:lang w:eastAsia="es-CR"/>
        </w:rPr>
      </w:pPr>
    </w:p>
    <w:p w14:paraId="75CE9AA6" w14:textId="3AC9B711" w:rsidR="00912974" w:rsidRDefault="00912974" w:rsidP="00431183">
      <w:pPr>
        <w:spacing w:line="240" w:lineRule="auto"/>
        <w:ind w:firstLine="708"/>
        <w:jc w:val="both"/>
        <w:rPr>
          <w:rFonts w:ascii="Cambria" w:eastAsia="Times New Roman" w:hAnsi="Cambria" w:cs="Arial"/>
          <w:bCs/>
          <w:sz w:val="24"/>
          <w:szCs w:val="24"/>
          <w:lang w:eastAsia="es-CR"/>
        </w:rPr>
      </w:pPr>
    </w:p>
    <w:p w14:paraId="6780C836" w14:textId="2A2F0B83" w:rsidR="00912974" w:rsidRDefault="00912974" w:rsidP="00431183">
      <w:pPr>
        <w:spacing w:line="240" w:lineRule="auto"/>
        <w:ind w:firstLine="708"/>
        <w:jc w:val="both"/>
        <w:rPr>
          <w:rFonts w:ascii="Cambria" w:eastAsia="Times New Roman" w:hAnsi="Cambria" w:cs="Arial"/>
          <w:bCs/>
          <w:sz w:val="24"/>
          <w:szCs w:val="24"/>
          <w:lang w:eastAsia="es-CR"/>
        </w:rPr>
      </w:pPr>
    </w:p>
    <w:p w14:paraId="69D97867" w14:textId="103C6E12" w:rsidR="00912974" w:rsidRDefault="00912974" w:rsidP="00431183">
      <w:pPr>
        <w:spacing w:line="240" w:lineRule="auto"/>
        <w:ind w:firstLine="708"/>
        <w:jc w:val="both"/>
        <w:rPr>
          <w:rFonts w:ascii="Cambria" w:eastAsia="Times New Roman" w:hAnsi="Cambria" w:cs="Arial"/>
          <w:bCs/>
          <w:sz w:val="24"/>
          <w:szCs w:val="24"/>
          <w:lang w:eastAsia="es-CR"/>
        </w:rPr>
      </w:pPr>
    </w:p>
    <w:p w14:paraId="2F2DB495" w14:textId="695D5834" w:rsidR="007772A4" w:rsidRDefault="0009604A" w:rsidP="00AF1E1D">
      <w:pPr>
        <w:pStyle w:val="Ttulo1"/>
        <w:numPr>
          <w:ilvl w:val="1"/>
          <w:numId w:val="27"/>
        </w:numPr>
        <w:spacing w:line="240" w:lineRule="auto"/>
        <w:rPr>
          <w:rFonts w:ascii="Cambria" w:eastAsia="Times New Roman" w:hAnsi="Cambria" w:cs="Arial"/>
          <w:b/>
          <w:color w:val="auto"/>
          <w:sz w:val="24"/>
          <w:szCs w:val="24"/>
        </w:rPr>
      </w:pPr>
      <w:bookmarkStart w:id="50" w:name="_Toc527574711"/>
      <w:bookmarkStart w:id="51" w:name="_Toc527575742"/>
      <w:bookmarkStart w:id="52" w:name="_Toc527576466"/>
      <w:bookmarkStart w:id="53" w:name="_Toc527576936"/>
      <w:bookmarkEnd w:id="50"/>
      <w:bookmarkEnd w:id="51"/>
      <w:bookmarkEnd w:id="52"/>
      <w:r w:rsidRPr="00431183">
        <w:rPr>
          <w:rFonts w:ascii="Cambria" w:eastAsia="Times New Roman" w:hAnsi="Cambria" w:cs="Arial"/>
          <w:b/>
          <w:color w:val="auto"/>
          <w:sz w:val="24"/>
          <w:szCs w:val="24"/>
        </w:rPr>
        <w:lastRenderedPageBreak/>
        <w:t>Antecedentes</w:t>
      </w:r>
      <w:bookmarkEnd w:id="53"/>
    </w:p>
    <w:p w14:paraId="077577BF" w14:textId="77777777" w:rsidR="00F507BE" w:rsidRPr="00F507BE" w:rsidRDefault="00F507BE" w:rsidP="00F507BE">
      <w:pPr>
        <w:pStyle w:val="Prrafodelista"/>
        <w:ind w:left="465"/>
        <w:rPr>
          <w:lang w:eastAsia="es-CR"/>
        </w:rPr>
      </w:pPr>
    </w:p>
    <w:p w14:paraId="407F9608" w14:textId="77777777" w:rsidR="00EA6C04" w:rsidRPr="00431183" w:rsidRDefault="001E5385"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Los primeros planteamientos relacionados a la denominación de origen </w:t>
      </w:r>
      <w:r w:rsidR="007F34CB" w:rsidRPr="00431183">
        <w:rPr>
          <w:rFonts w:ascii="Cambria" w:hAnsi="Cambria" w:cs="Arial"/>
          <w:sz w:val="24"/>
          <w:szCs w:val="24"/>
        </w:rPr>
        <w:t xml:space="preserve">(DO) </w:t>
      </w:r>
      <w:r w:rsidRPr="00431183">
        <w:rPr>
          <w:rFonts w:ascii="Cambria" w:hAnsi="Cambria" w:cs="Arial"/>
          <w:sz w:val="24"/>
          <w:szCs w:val="24"/>
        </w:rPr>
        <w:t xml:space="preserve">sobresalen </w:t>
      </w:r>
      <w:r w:rsidR="003B6A60" w:rsidRPr="00431183">
        <w:rPr>
          <w:rFonts w:ascii="Cambria" w:hAnsi="Cambria" w:cs="Arial"/>
          <w:sz w:val="24"/>
          <w:szCs w:val="24"/>
        </w:rPr>
        <w:t xml:space="preserve">en </w:t>
      </w:r>
      <w:r w:rsidR="00BA3D31" w:rsidRPr="00431183">
        <w:rPr>
          <w:rFonts w:ascii="Cambria" w:hAnsi="Cambria" w:cs="Arial"/>
          <w:sz w:val="24"/>
          <w:szCs w:val="24"/>
        </w:rPr>
        <w:t>el Arreglo de Lisboa de 1958, el Acuerdo General sobre Aranceles y Comercio de 1986 y el Acuerdo sobre los Aspectos de los Derechos de Propiedad Intelectual en el comercio de 1995,</w:t>
      </w:r>
      <w:r w:rsidRPr="00431183">
        <w:rPr>
          <w:rFonts w:ascii="Cambria" w:hAnsi="Cambria" w:cs="Arial"/>
          <w:sz w:val="24"/>
          <w:szCs w:val="24"/>
        </w:rPr>
        <w:t xml:space="preserve"> los cuales sembraron la base legal para implementar proyectos de carácter económico en aspectos específicos. </w:t>
      </w:r>
    </w:p>
    <w:p w14:paraId="79AB7ADB" w14:textId="77777777" w:rsidR="00BA3D31" w:rsidRPr="00431183" w:rsidRDefault="00395C09" w:rsidP="00431183">
      <w:pPr>
        <w:pStyle w:val="Ttulo2"/>
        <w:spacing w:after="240" w:line="240" w:lineRule="auto"/>
        <w:rPr>
          <w:rFonts w:ascii="Cambria" w:hAnsi="Cambria" w:cs="Arial"/>
          <w:b/>
          <w:color w:val="auto"/>
          <w:sz w:val="24"/>
          <w:szCs w:val="24"/>
        </w:rPr>
      </w:pPr>
      <w:bookmarkStart w:id="54" w:name="_Toc527576937"/>
      <w:r>
        <w:rPr>
          <w:rFonts w:ascii="Cambria" w:hAnsi="Cambria" w:cs="Arial"/>
          <w:b/>
          <w:color w:val="auto"/>
          <w:sz w:val="24"/>
          <w:szCs w:val="24"/>
        </w:rPr>
        <w:t>1</w:t>
      </w:r>
      <w:r w:rsidR="00AC377A" w:rsidRPr="00431183">
        <w:rPr>
          <w:rFonts w:ascii="Cambria" w:hAnsi="Cambria" w:cs="Arial"/>
          <w:b/>
          <w:color w:val="auto"/>
          <w:sz w:val="24"/>
          <w:szCs w:val="24"/>
        </w:rPr>
        <w:t>.</w:t>
      </w:r>
      <w:r>
        <w:rPr>
          <w:rFonts w:ascii="Cambria" w:hAnsi="Cambria" w:cs="Arial"/>
          <w:b/>
          <w:color w:val="auto"/>
          <w:sz w:val="24"/>
          <w:szCs w:val="24"/>
        </w:rPr>
        <w:t>2.1</w:t>
      </w:r>
      <w:r w:rsidR="00AC377A" w:rsidRPr="00431183">
        <w:rPr>
          <w:rFonts w:ascii="Cambria" w:hAnsi="Cambria" w:cs="Arial"/>
          <w:b/>
          <w:color w:val="auto"/>
          <w:sz w:val="24"/>
          <w:szCs w:val="24"/>
        </w:rPr>
        <w:t xml:space="preserve"> </w:t>
      </w:r>
      <w:r w:rsidR="00BA3D31" w:rsidRPr="00431183">
        <w:rPr>
          <w:rFonts w:ascii="Cambria" w:hAnsi="Cambria" w:cs="Arial"/>
          <w:b/>
          <w:color w:val="auto"/>
          <w:sz w:val="24"/>
          <w:szCs w:val="24"/>
        </w:rPr>
        <w:t>Arreglo de Lisboa</w:t>
      </w:r>
      <w:bookmarkEnd w:id="54"/>
    </w:p>
    <w:p w14:paraId="42952E7A" w14:textId="77777777" w:rsidR="00827723" w:rsidRPr="00431183" w:rsidRDefault="00827723" w:rsidP="00431183">
      <w:pPr>
        <w:spacing w:line="240" w:lineRule="auto"/>
        <w:ind w:firstLine="708"/>
        <w:jc w:val="both"/>
        <w:rPr>
          <w:rFonts w:ascii="Cambria" w:hAnsi="Cambria" w:cs="Arial"/>
          <w:sz w:val="24"/>
          <w:szCs w:val="24"/>
        </w:rPr>
      </w:pPr>
      <w:r w:rsidRPr="00431183">
        <w:rPr>
          <w:rFonts w:ascii="Cambria" w:hAnsi="Cambria" w:cs="Arial"/>
          <w:sz w:val="24"/>
          <w:szCs w:val="24"/>
        </w:rPr>
        <w:t>El Arreglo dispone que los países firmantes se comprometen a proteger en sus territorios las denominaciones de origen de los productos de los otros países de la Unión, reconocidas y protegidas como tales en el país de origen y registradas, a través de las Administraciones nacionales, ante la Organización Mundial de la Propiedad Industrial (OMPI)</w:t>
      </w:r>
      <w:r w:rsidR="00D509DF" w:rsidRPr="00431183">
        <w:rPr>
          <w:rFonts w:ascii="Cambria" w:hAnsi="Cambria" w:cs="Arial"/>
          <w:sz w:val="24"/>
          <w:szCs w:val="24"/>
        </w:rPr>
        <w:t>.</w:t>
      </w:r>
    </w:p>
    <w:p w14:paraId="7024CF2A" w14:textId="77777777" w:rsidR="00827723" w:rsidRPr="00431183" w:rsidRDefault="00827723"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Este arreglo aporta la primera definición de denominación de origen en un acuerdo internacional, a saber: </w:t>
      </w:r>
    </w:p>
    <w:p w14:paraId="4F2C7E16" w14:textId="5C3186F8" w:rsidR="00B653E6" w:rsidRPr="00431183" w:rsidRDefault="00827723" w:rsidP="00431183">
      <w:pPr>
        <w:pStyle w:val="Prrafodelista"/>
        <w:tabs>
          <w:tab w:val="left" w:pos="7655"/>
        </w:tabs>
        <w:spacing w:line="240" w:lineRule="auto"/>
        <w:ind w:left="0" w:right="49"/>
        <w:jc w:val="both"/>
        <w:rPr>
          <w:rFonts w:ascii="Cambria" w:hAnsi="Cambria" w:cs="Arial"/>
          <w:sz w:val="24"/>
          <w:szCs w:val="24"/>
        </w:rPr>
      </w:pPr>
      <w:r w:rsidRPr="00431183">
        <w:rPr>
          <w:rFonts w:ascii="Cambria" w:hAnsi="Cambria" w:cs="Arial"/>
          <w:sz w:val="24"/>
          <w:szCs w:val="24"/>
        </w:rPr>
        <w:t>“Se entiende por denominación de origen, la denominación geográfica de un país, de una región o de una localidad que sirva para designar un producto originario del mismo y cuya calidad o características se deben exclusiva o esencialmente al medio geográfico, comprendidos los factores naturales y los factores humanos”.</w:t>
      </w:r>
      <w:r w:rsidR="0074446C" w:rsidRPr="00431183">
        <w:rPr>
          <w:rFonts w:ascii="Cambria" w:hAnsi="Cambria" w:cs="Arial"/>
          <w:sz w:val="24"/>
          <w:szCs w:val="24"/>
        </w:rPr>
        <w:t xml:space="preserve"> </w:t>
      </w:r>
      <w:sdt>
        <w:sdtPr>
          <w:rPr>
            <w:rFonts w:ascii="Cambria" w:hAnsi="Cambria"/>
            <w:sz w:val="24"/>
            <w:szCs w:val="24"/>
          </w:rPr>
          <w:id w:val="-33049525"/>
          <w:citation/>
        </w:sdtPr>
        <w:sdtEndPr/>
        <w:sdtContent>
          <w:r w:rsidR="005C7CB3" w:rsidRPr="00431183">
            <w:rPr>
              <w:rFonts w:ascii="Cambria" w:hAnsi="Cambria" w:cs="Arial"/>
              <w:sz w:val="24"/>
              <w:szCs w:val="24"/>
            </w:rPr>
            <w:fldChar w:fldCharType="begin"/>
          </w:r>
          <w:r w:rsidR="00A803A3" w:rsidRPr="00431183">
            <w:rPr>
              <w:rFonts w:ascii="Cambria" w:hAnsi="Cambria" w:cs="Arial"/>
              <w:sz w:val="24"/>
              <w:szCs w:val="24"/>
            </w:rPr>
            <w:instrText xml:space="preserve"> CITATION Gra04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(Granados L. , 2004)</w:t>
          </w:r>
          <w:r w:rsidR="005C7CB3" w:rsidRPr="00431183">
            <w:rPr>
              <w:rFonts w:ascii="Cambria" w:hAnsi="Cambria" w:cs="Arial"/>
              <w:sz w:val="24"/>
              <w:szCs w:val="24"/>
            </w:rPr>
            <w:fldChar w:fldCharType="end"/>
          </w:r>
        </w:sdtContent>
      </w:sdt>
      <w:r w:rsidR="00A803A3" w:rsidRPr="00431183">
        <w:rPr>
          <w:rFonts w:ascii="Cambria" w:hAnsi="Cambria" w:cs="Arial"/>
          <w:sz w:val="24"/>
          <w:szCs w:val="24"/>
        </w:rPr>
        <w:t>.</w:t>
      </w:r>
    </w:p>
    <w:p w14:paraId="78EDE755" w14:textId="77777777" w:rsidR="00D509DF" w:rsidRPr="00431183" w:rsidRDefault="00D509DF" w:rsidP="00431183">
      <w:pPr>
        <w:pStyle w:val="Prrafodelista"/>
        <w:tabs>
          <w:tab w:val="left" w:pos="7655"/>
        </w:tabs>
        <w:spacing w:line="240" w:lineRule="auto"/>
        <w:ind w:left="0" w:right="49"/>
        <w:jc w:val="both"/>
      </w:pPr>
    </w:p>
    <w:p w14:paraId="59D0A3CF" w14:textId="77777777" w:rsidR="001E5385" w:rsidRPr="00431183" w:rsidRDefault="001E5385" w:rsidP="00431183">
      <w:pPr>
        <w:pStyle w:val="Prrafodelista"/>
        <w:spacing w:line="240" w:lineRule="auto"/>
        <w:ind w:left="0" w:firstLine="708"/>
        <w:jc w:val="both"/>
        <w:rPr>
          <w:rFonts w:ascii="Cambria" w:hAnsi="Cambria" w:cs="Arial"/>
          <w:sz w:val="24"/>
          <w:szCs w:val="24"/>
        </w:rPr>
      </w:pPr>
      <w:r w:rsidRPr="00431183">
        <w:rPr>
          <w:rFonts w:ascii="Cambria" w:hAnsi="Cambria" w:cs="Arial"/>
          <w:sz w:val="24"/>
          <w:szCs w:val="24"/>
        </w:rPr>
        <w:t>Lo anterior</w:t>
      </w:r>
      <w:r w:rsidR="00D509DF" w:rsidRPr="00431183">
        <w:rPr>
          <w:rFonts w:ascii="Cambria" w:hAnsi="Cambria" w:cs="Arial"/>
          <w:sz w:val="24"/>
          <w:szCs w:val="24"/>
        </w:rPr>
        <w:t>,</w:t>
      </w:r>
      <w:r w:rsidRPr="00431183">
        <w:rPr>
          <w:rFonts w:ascii="Cambria" w:hAnsi="Cambria" w:cs="Arial"/>
          <w:sz w:val="24"/>
          <w:szCs w:val="24"/>
        </w:rPr>
        <w:t xml:space="preserve"> ha servido de base </w:t>
      </w:r>
      <w:r w:rsidR="00D509DF" w:rsidRPr="00431183">
        <w:rPr>
          <w:rFonts w:ascii="Cambria" w:hAnsi="Cambria" w:cs="Arial"/>
          <w:sz w:val="24"/>
          <w:szCs w:val="24"/>
        </w:rPr>
        <w:t xml:space="preserve">a </w:t>
      </w:r>
      <w:r w:rsidRPr="00431183">
        <w:rPr>
          <w:rFonts w:ascii="Cambria" w:hAnsi="Cambria" w:cs="Arial"/>
          <w:sz w:val="24"/>
          <w:szCs w:val="24"/>
        </w:rPr>
        <w:t>países como Francia</w:t>
      </w:r>
      <w:r w:rsidR="00D509DF" w:rsidRPr="00431183">
        <w:rPr>
          <w:rFonts w:ascii="Cambria" w:hAnsi="Cambria" w:cs="Arial"/>
          <w:sz w:val="24"/>
          <w:szCs w:val="24"/>
        </w:rPr>
        <w:t xml:space="preserve"> y</w:t>
      </w:r>
      <w:r w:rsidRPr="00431183">
        <w:rPr>
          <w:rFonts w:ascii="Cambria" w:hAnsi="Cambria" w:cs="Arial"/>
          <w:sz w:val="24"/>
          <w:szCs w:val="24"/>
        </w:rPr>
        <w:t xml:space="preserve"> Reino Unido </w:t>
      </w:r>
      <w:r w:rsidR="00D509DF" w:rsidRPr="00431183">
        <w:rPr>
          <w:rFonts w:ascii="Cambria" w:hAnsi="Cambria" w:cs="Arial"/>
          <w:sz w:val="24"/>
          <w:szCs w:val="24"/>
        </w:rPr>
        <w:t xml:space="preserve">para que </w:t>
      </w:r>
      <w:r w:rsidRPr="00431183">
        <w:rPr>
          <w:rFonts w:ascii="Cambria" w:hAnsi="Cambria" w:cs="Arial"/>
          <w:sz w:val="24"/>
          <w:szCs w:val="24"/>
        </w:rPr>
        <w:t xml:space="preserve">instauren </w:t>
      </w:r>
      <w:r w:rsidR="00BA3D31" w:rsidRPr="00431183">
        <w:rPr>
          <w:rFonts w:ascii="Cambria" w:hAnsi="Cambria" w:cs="Arial"/>
          <w:sz w:val="24"/>
          <w:szCs w:val="24"/>
        </w:rPr>
        <w:t>sistemas especiales</w:t>
      </w:r>
      <w:r w:rsidR="00D509DF" w:rsidRPr="00431183">
        <w:rPr>
          <w:rFonts w:ascii="Cambria" w:hAnsi="Cambria" w:cs="Arial"/>
          <w:sz w:val="24"/>
          <w:szCs w:val="24"/>
        </w:rPr>
        <w:t>,</w:t>
      </w:r>
      <w:r w:rsidRPr="00431183">
        <w:rPr>
          <w:rFonts w:ascii="Cambria" w:hAnsi="Cambria" w:cs="Arial"/>
          <w:sz w:val="24"/>
          <w:szCs w:val="24"/>
        </w:rPr>
        <w:t xml:space="preserve"> con el objeto de </w:t>
      </w:r>
      <w:r w:rsidR="00BA3D31" w:rsidRPr="00431183">
        <w:rPr>
          <w:rFonts w:ascii="Cambria" w:hAnsi="Cambria" w:cs="Arial"/>
          <w:sz w:val="24"/>
          <w:szCs w:val="24"/>
        </w:rPr>
        <w:t>identificar las características específicas por las cuales se reconoce que tales indicaciones sirven para designar los productos en cuestión y merece</w:t>
      </w:r>
      <w:r w:rsidR="00D509DF" w:rsidRPr="00431183">
        <w:rPr>
          <w:rFonts w:ascii="Cambria" w:hAnsi="Cambria" w:cs="Arial"/>
          <w:sz w:val="24"/>
          <w:szCs w:val="24"/>
        </w:rPr>
        <w:t>r</w:t>
      </w:r>
      <w:r w:rsidR="00BA3D31" w:rsidRPr="00431183">
        <w:rPr>
          <w:rFonts w:ascii="Cambria" w:hAnsi="Cambria" w:cs="Arial"/>
          <w:sz w:val="24"/>
          <w:szCs w:val="24"/>
        </w:rPr>
        <w:t xml:space="preserve"> protección especial. </w:t>
      </w:r>
    </w:p>
    <w:p w14:paraId="342926D3" w14:textId="262B2124" w:rsidR="001E5385" w:rsidRPr="00431183" w:rsidRDefault="00BA3D31" w:rsidP="00431183">
      <w:pPr>
        <w:pStyle w:val="Prrafodelista"/>
        <w:spacing w:line="240" w:lineRule="auto"/>
        <w:ind w:left="0" w:firstLine="708"/>
        <w:jc w:val="both"/>
        <w:rPr>
          <w:rFonts w:ascii="Cambria" w:hAnsi="Cambria" w:cs="Arial"/>
          <w:sz w:val="24"/>
          <w:szCs w:val="24"/>
        </w:rPr>
      </w:pPr>
      <w:r w:rsidRPr="00431183">
        <w:rPr>
          <w:rFonts w:ascii="Cambria" w:hAnsi="Cambria" w:cs="Arial"/>
          <w:sz w:val="24"/>
          <w:szCs w:val="24"/>
        </w:rPr>
        <w:t>Sin embargo, garantizar la protección de este tipo de indicaciones en otros países, h</w:t>
      </w:r>
      <w:r w:rsidR="001E5385" w:rsidRPr="00431183">
        <w:rPr>
          <w:rFonts w:ascii="Cambria" w:hAnsi="Cambria" w:cs="Arial"/>
          <w:sz w:val="24"/>
          <w:szCs w:val="24"/>
        </w:rPr>
        <w:t>a resultado una tarea compleja</w:t>
      </w:r>
      <w:r w:rsidRPr="00431183">
        <w:rPr>
          <w:rFonts w:ascii="Cambria" w:hAnsi="Cambria" w:cs="Arial"/>
          <w:sz w:val="24"/>
          <w:szCs w:val="24"/>
        </w:rPr>
        <w:t xml:space="preserve"> debido a las diferencias existentes en los conceptos jurídicos de distintos países que, se han venido definiendo en función de las distintas tradiciones jurídicas nacionales y en el marco de determinadas condiciones históricas y económicas </w:t>
      </w:r>
      <w:sdt>
        <w:sdtPr>
          <w:rPr>
            <w:rFonts w:ascii="Cambria" w:hAnsi="Cambria" w:cs="Arial"/>
            <w:sz w:val="24"/>
            <w:szCs w:val="24"/>
          </w:rPr>
          <w:id w:val="1844811452"/>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Gil14 \p 4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(Gilbon, 2014, pág. 4)</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29C33256" w14:textId="77777777" w:rsidR="00BA3D31" w:rsidRPr="00431183" w:rsidRDefault="00395C09" w:rsidP="00431183">
      <w:pPr>
        <w:pStyle w:val="Ttulo2"/>
        <w:spacing w:after="240" w:line="240" w:lineRule="auto"/>
        <w:rPr>
          <w:rFonts w:ascii="Cambria" w:hAnsi="Cambria" w:cs="Arial"/>
          <w:b/>
          <w:color w:val="auto"/>
          <w:sz w:val="24"/>
          <w:szCs w:val="24"/>
        </w:rPr>
      </w:pPr>
      <w:bookmarkStart w:id="55" w:name="_Toc527576938"/>
      <w:r>
        <w:rPr>
          <w:rFonts w:ascii="Cambria" w:hAnsi="Cambria" w:cs="Arial"/>
          <w:b/>
          <w:color w:val="auto"/>
          <w:sz w:val="24"/>
          <w:szCs w:val="24"/>
        </w:rPr>
        <w:t>1.2.2</w:t>
      </w:r>
      <w:r w:rsidR="00AC377A" w:rsidRPr="00431183">
        <w:rPr>
          <w:rFonts w:ascii="Cambria" w:hAnsi="Cambria" w:cs="Arial"/>
          <w:b/>
          <w:color w:val="auto"/>
          <w:sz w:val="24"/>
          <w:szCs w:val="24"/>
        </w:rPr>
        <w:t xml:space="preserve"> </w:t>
      </w:r>
      <w:r w:rsidR="00BA3D31" w:rsidRPr="00431183">
        <w:rPr>
          <w:rFonts w:ascii="Cambria" w:hAnsi="Cambria" w:cs="Arial"/>
          <w:b/>
          <w:color w:val="auto"/>
          <w:sz w:val="24"/>
          <w:szCs w:val="24"/>
        </w:rPr>
        <w:t>Ronda de Uruguay del Acuerdo General sobre Aranceles y Comercio (GATT)</w:t>
      </w:r>
      <w:bookmarkEnd w:id="55"/>
    </w:p>
    <w:p w14:paraId="406EE43C" w14:textId="77777777" w:rsidR="00BA3D31" w:rsidRPr="00431183" w:rsidRDefault="00BA3D31" w:rsidP="00431183">
      <w:pPr>
        <w:pStyle w:val="Prrafodelista"/>
        <w:spacing w:line="240" w:lineRule="auto"/>
        <w:ind w:left="0" w:firstLine="708"/>
        <w:jc w:val="both"/>
        <w:rPr>
          <w:rFonts w:ascii="Cambria" w:hAnsi="Cambria" w:cs="Arial"/>
          <w:sz w:val="24"/>
          <w:szCs w:val="24"/>
        </w:rPr>
      </w:pPr>
      <w:r w:rsidRPr="00431183">
        <w:rPr>
          <w:rFonts w:ascii="Cambria" w:hAnsi="Cambria" w:cs="Arial"/>
          <w:sz w:val="24"/>
          <w:szCs w:val="24"/>
        </w:rPr>
        <w:t xml:space="preserve">En la reunión de punta del Este de 1986, se dio inicio a la denominada Ronda de Uruguay del Acuerdo General sobre Aranceles y Comercio, conocida por sus siglas en inglés (GATT), en la que se decidió incorporar como tema de negociación los servicios, las inversiones y la propiedad intelectual. </w:t>
      </w:r>
      <w:r w:rsidR="006E5E69" w:rsidRPr="00431183">
        <w:rPr>
          <w:rFonts w:ascii="Cambria" w:hAnsi="Cambria" w:cs="Arial"/>
          <w:sz w:val="24"/>
          <w:szCs w:val="24"/>
        </w:rPr>
        <w:tab/>
      </w:r>
    </w:p>
    <w:p w14:paraId="7936A736" w14:textId="77777777" w:rsidR="00BA3D31" w:rsidRPr="00431183" w:rsidRDefault="00BA3D31" w:rsidP="00431183">
      <w:pPr>
        <w:pStyle w:val="Prrafodelista"/>
        <w:spacing w:line="240" w:lineRule="auto"/>
        <w:ind w:left="0" w:firstLine="708"/>
        <w:jc w:val="both"/>
        <w:rPr>
          <w:rFonts w:ascii="Cambria" w:hAnsi="Cambria" w:cs="Arial"/>
          <w:sz w:val="24"/>
          <w:szCs w:val="24"/>
        </w:rPr>
      </w:pPr>
      <w:r w:rsidRPr="00431183">
        <w:rPr>
          <w:rFonts w:ascii="Cambria" w:hAnsi="Cambria" w:cs="Arial"/>
          <w:sz w:val="24"/>
          <w:szCs w:val="24"/>
        </w:rPr>
        <w:t>Se constituyeron dos grupos, uno encaminado de debatir el tema de las mercancías (en el cual se negociaban los derechos de propiedad intelectual e industrial) y otro que trataba el de los servicios. El objetivo fundamental era reglamentar en un foro diferente el sistema de propiedad intelectual (que originalmente se debía debatir en el OMPI).</w:t>
      </w:r>
    </w:p>
    <w:p w14:paraId="40B9C584" w14:textId="04465C57" w:rsidR="00BA3D31" w:rsidRPr="00431183" w:rsidRDefault="00BA3D31" w:rsidP="00431183">
      <w:pPr>
        <w:pStyle w:val="Prrafodelista"/>
        <w:spacing w:line="240" w:lineRule="auto"/>
        <w:ind w:left="0" w:firstLine="708"/>
        <w:jc w:val="both"/>
        <w:rPr>
          <w:rFonts w:ascii="Cambria" w:hAnsi="Cambria" w:cs="Arial"/>
          <w:sz w:val="24"/>
          <w:szCs w:val="24"/>
        </w:rPr>
      </w:pPr>
      <w:r w:rsidRPr="00431183">
        <w:rPr>
          <w:rFonts w:ascii="Cambria" w:hAnsi="Cambria" w:cs="Arial"/>
          <w:sz w:val="24"/>
          <w:szCs w:val="24"/>
        </w:rPr>
        <w:lastRenderedPageBreak/>
        <w:t xml:space="preserve">El acuerdo, permite a los países desarrollados intercambiar concesiones en materia de propiedad intelectual y servicios que serán de importancia en mediano y corto plazo indispensables para los países en desarrollo </w:t>
      </w:r>
      <w:sdt>
        <w:sdtPr>
          <w:rPr>
            <w:rFonts w:ascii="Cambria" w:hAnsi="Cambria" w:cs="Arial"/>
            <w:sz w:val="24"/>
            <w:szCs w:val="24"/>
          </w:rPr>
          <w:id w:val="-588077512"/>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Gil14 \p 4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(Gilbon, 2014, pág. 4)</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31DB3F62" w14:textId="77777777" w:rsidR="00B653E6" w:rsidRDefault="00B653E6" w:rsidP="00FC2D87">
      <w:pPr>
        <w:pStyle w:val="Prrafodelista"/>
        <w:spacing w:after="0" w:line="240" w:lineRule="auto"/>
        <w:ind w:left="0" w:firstLine="708"/>
        <w:jc w:val="both"/>
        <w:rPr>
          <w:rFonts w:ascii="Cambria" w:hAnsi="Cambria" w:cs="Arial"/>
          <w:b/>
          <w:sz w:val="24"/>
          <w:szCs w:val="24"/>
        </w:rPr>
      </w:pPr>
    </w:p>
    <w:p w14:paraId="431B51B1" w14:textId="77777777" w:rsidR="00B653E6" w:rsidRDefault="00395C09" w:rsidP="00431183">
      <w:pPr>
        <w:pStyle w:val="Ttulo2"/>
        <w:spacing w:line="240" w:lineRule="auto"/>
        <w:rPr>
          <w:rFonts w:ascii="Cambria" w:hAnsi="Cambria" w:cs="Arial"/>
          <w:b/>
          <w:color w:val="auto"/>
          <w:sz w:val="24"/>
          <w:szCs w:val="24"/>
        </w:rPr>
      </w:pPr>
      <w:bookmarkStart w:id="56" w:name="_Toc527576939"/>
      <w:r w:rsidRPr="00DD23EF">
        <w:rPr>
          <w:rFonts w:ascii="Cambria" w:hAnsi="Cambria" w:cs="Arial"/>
          <w:b/>
          <w:color w:val="auto"/>
          <w:sz w:val="24"/>
          <w:szCs w:val="24"/>
        </w:rPr>
        <w:t>1.2.</w:t>
      </w:r>
      <w:r w:rsidR="00D174D2" w:rsidRPr="00DD23EF">
        <w:rPr>
          <w:rFonts w:ascii="Cambria" w:hAnsi="Cambria" w:cs="Arial"/>
          <w:b/>
          <w:color w:val="auto"/>
          <w:sz w:val="24"/>
          <w:szCs w:val="24"/>
        </w:rPr>
        <w:t>3</w:t>
      </w:r>
      <w:r w:rsidR="00AC377A" w:rsidRPr="00DD23EF">
        <w:rPr>
          <w:rFonts w:ascii="Cambria" w:hAnsi="Cambria" w:cs="Arial"/>
          <w:b/>
          <w:color w:val="auto"/>
          <w:sz w:val="24"/>
          <w:szCs w:val="24"/>
        </w:rPr>
        <w:t xml:space="preserve"> </w:t>
      </w:r>
      <w:r w:rsidR="00BA3D31" w:rsidRPr="00DD23EF">
        <w:rPr>
          <w:rFonts w:ascii="Cambria" w:hAnsi="Cambria" w:cs="Arial"/>
          <w:b/>
          <w:color w:val="auto"/>
          <w:sz w:val="24"/>
          <w:szCs w:val="24"/>
        </w:rPr>
        <w:t>Acuerdo sobre los Aspectos de los Derechos de Propiedad Intelectual Relacionados en el Comercio (ADPIC)</w:t>
      </w:r>
      <w:bookmarkEnd w:id="56"/>
      <w:r w:rsidR="00BA3D31" w:rsidRPr="00DD23EF">
        <w:rPr>
          <w:rFonts w:ascii="Cambria" w:hAnsi="Cambria" w:cs="Arial"/>
          <w:b/>
          <w:color w:val="auto"/>
          <w:sz w:val="24"/>
          <w:szCs w:val="24"/>
        </w:rPr>
        <w:t xml:space="preserve"> </w:t>
      </w:r>
    </w:p>
    <w:p w14:paraId="0A19CAE5" w14:textId="77777777" w:rsidR="00DD23EF" w:rsidRPr="00DD23EF" w:rsidRDefault="00DD23EF" w:rsidP="00DD23EF"/>
    <w:p w14:paraId="1A8973A2" w14:textId="0550965D" w:rsidR="00BA3D31" w:rsidRPr="00431183" w:rsidRDefault="00BA3D31" w:rsidP="00431183">
      <w:pPr>
        <w:pStyle w:val="Prrafodelista"/>
        <w:spacing w:after="0" w:line="240" w:lineRule="auto"/>
        <w:ind w:left="0" w:firstLine="708"/>
        <w:jc w:val="both"/>
        <w:rPr>
          <w:rFonts w:ascii="Cambria" w:hAnsi="Cambria" w:cs="Arial"/>
          <w:sz w:val="24"/>
          <w:szCs w:val="24"/>
        </w:rPr>
      </w:pPr>
      <w:r w:rsidRPr="00431183">
        <w:rPr>
          <w:rFonts w:ascii="Cambria" w:hAnsi="Cambria" w:cs="Arial"/>
          <w:sz w:val="24"/>
          <w:szCs w:val="24"/>
        </w:rPr>
        <w:t xml:space="preserve">La Ronda Uruguay del GATT culminó con la constitución de la Organización Mundial del Comercio (OMC) el 15 de abril de 1994 en Marruecos y agrego como anexo el Acuerdo sobre los Aspectos de los Derechos de Propiedad Intelectual Relacionados con el Comercio (ADPIC), también conocido por sus siglas en inglés como TRIPS </w:t>
      </w:r>
      <w:sdt>
        <w:sdtPr>
          <w:rPr>
            <w:rFonts w:ascii="Cambria" w:hAnsi="Cambria" w:cs="Arial"/>
            <w:sz w:val="24"/>
            <w:szCs w:val="24"/>
          </w:rPr>
          <w:id w:val="2138379308"/>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Gil14 \p 5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(Gilbon, 2014, pág. 5)</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2625C96C" w14:textId="77777777" w:rsidR="007772A4" w:rsidRPr="00431183" w:rsidRDefault="003678CB" w:rsidP="00431183">
      <w:pPr>
        <w:pStyle w:val="Prrafodelista"/>
        <w:spacing w:line="240" w:lineRule="auto"/>
        <w:ind w:left="0" w:firstLine="708"/>
        <w:jc w:val="both"/>
        <w:rPr>
          <w:rFonts w:ascii="Cambria" w:hAnsi="Cambria"/>
          <w:sz w:val="24"/>
          <w:szCs w:val="24"/>
        </w:rPr>
      </w:pPr>
      <w:r w:rsidRPr="00431183">
        <w:rPr>
          <w:rFonts w:ascii="Cambria" w:hAnsi="Cambria" w:cs="Arial"/>
          <w:sz w:val="24"/>
          <w:szCs w:val="24"/>
        </w:rPr>
        <w:t>El ADPIC intento</w:t>
      </w:r>
      <w:r w:rsidR="00BA3D31" w:rsidRPr="00431183">
        <w:rPr>
          <w:rFonts w:ascii="Cambria" w:hAnsi="Cambria" w:cs="Arial"/>
          <w:sz w:val="24"/>
          <w:szCs w:val="24"/>
        </w:rPr>
        <w:t xml:space="preserve"> de armonizar de forma global los derechos de propiedad intelectual; el objetivo del </w:t>
      </w:r>
      <w:r w:rsidR="00B653E6" w:rsidRPr="00431183">
        <w:rPr>
          <w:rFonts w:ascii="Cambria" w:hAnsi="Cambria" w:cs="Arial"/>
          <w:sz w:val="24"/>
          <w:szCs w:val="24"/>
        </w:rPr>
        <w:t>convenio</w:t>
      </w:r>
      <w:r w:rsidR="00BA3D31" w:rsidRPr="00431183">
        <w:rPr>
          <w:rFonts w:ascii="Cambria" w:hAnsi="Cambria" w:cs="Arial"/>
          <w:sz w:val="24"/>
          <w:szCs w:val="24"/>
        </w:rPr>
        <w:t xml:space="preserve"> es servir de base a muchos países en desarrollo para la elaboración de normativas en materia de libre comercio y protección de la Propiedad intelectual.</w:t>
      </w:r>
    </w:p>
    <w:p w14:paraId="12ACF739" w14:textId="77777777" w:rsidR="007772A4" w:rsidRPr="00431183" w:rsidRDefault="00D174D2" w:rsidP="00431183">
      <w:pPr>
        <w:pStyle w:val="Ttulo2"/>
        <w:spacing w:line="240" w:lineRule="auto"/>
        <w:rPr>
          <w:rFonts w:ascii="Cambria" w:eastAsia="Times New Roman" w:hAnsi="Cambria" w:cs="Arial"/>
          <w:b/>
          <w:color w:val="auto"/>
          <w:sz w:val="24"/>
          <w:szCs w:val="24"/>
          <w:lang w:eastAsia="es-CR"/>
        </w:rPr>
      </w:pPr>
      <w:bookmarkStart w:id="57" w:name="_Toc527576940"/>
      <w:r>
        <w:rPr>
          <w:rFonts w:ascii="Cambria" w:eastAsia="Times New Roman" w:hAnsi="Cambria" w:cs="Arial"/>
          <w:b/>
          <w:color w:val="auto"/>
          <w:sz w:val="24"/>
          <w:szCs w:val="24"/>
          <w:lang w:eastAsia="es-CR"/>
        </w:rPr>
        <w:t>1.2.4</w:t>
      </w:r>
      <w:r w:rsidR="007772A4" w:rsidRPr="00431183">
        <w:rPr>
          <w:rFonts w:ascii="Cambria" w:eastAsia="Times New Roman" w:hAnsi="Cambria" w:cs="Arial"/>
          <w:b/>
          <w:color w:val="auto"/>
          <w:sz w:val="24"/>
          <w:szCs w:val="24"/>
          <w:lang w:eastAsia="es-CR"/>
        </w:rPr>
        <w:t xml:space="preserve"> La denominación de origen en Costa Rica</w:t>
      </w:r>
      <w:bookmarkEnd w:id="57"/>
    </w:p>
    <w:p w14:paraId="10950806" w14:textId="77777777" w:rsidR="007772A4" w:rsidRPr="00431183" w:rsidRDefault="007772A4" w:rsidP="00431183">
      <w:pPr>
        <w:spacing w:after="0" w:line="240" w:lineRule="auto"/>
        <w:ind w:firstLine="708"/>
        <w:jc w:val="both"/>
        <w:rPr>
          <w:rFonts w:ascii="Cambria" w:hAnsi="Cambria" w:cs="Arial"/>
          <w:sz w:val="24"/>
          <w:szCs w:val="24"/>
        </w:rPr>
      </w:pPr>
      <w:r w:rsidRPr="00431183">
        <w:rPr>
          <w:rFonts w:ascii="Cambria" w:hAnsi="Cambria" w:cs="Arial"/>
          <w:sz w:val="24"/>
          <w:szCs w:val="24"/>
        </w:rPr>
        <w:t xml:space="preserve">Los términos de </w:t>
      </w:r>
      <w:r w:rsidR="004D6F95" w:rsidRPr="00431183">
        <w:rPr>
          <w:rFonts w:ascii="Cambria" w:hAnsi="Cambria" w:cs="Arial"/>
          <w:sz w:val="24"/>
          <w:szCs w:val="24"/>
        </w:rPr>
        <w:t>D</w:t>
      </w:r>
      <w:r w:rsidR="00B653E6">
        <w:rPr>
          <w:rFonts w:ascii="Cambria" w:hAnsi="Cambria" w:cs="Arial"/>
          <w:sz w:val="24"/>
          <w:szCs w:val="24"/>
        </w:rPr>
        <w:t xml:space="preserve">enominación de </w:t>
      </w:r>
      <w:r w:rsidR="004D6F95" w:rsidRPr="00431183">
        <w:rPr>
          <w:rFonts w:ascii="Cambria" w:hAnsi="Cambria" w:cs="Arial"/>
          <w:sz w:val="24"/>
          <w:szCs w:val="24"/>
        </w:rPr>
        <w:t>O</w:t>
      </w:r>
      <w:r w:rsidR="00B653E6">
        <w:rPr>
          <w:rFonts w:ascii="Cambria" w:hAnsi="Cambria" w:cs="Arial"/>
          <w:sz w:val="24"/>
          <w:szCs w:val="24"/>
        </w:rPr>
        <w:t>rigen</w:t>
      </w:r>
      <w:r w:rsidR="00B653E6">
        <w:rPr>
          <w:rStyle w:val="Refdenotaalpie"/>
          <w:rFonts w:ascii="Cambria" w:hAnsi="Cambria" w:cs="Arial"/>
          <w:sz w:val="24"/>
          <w:szCs w:val="24"/>
        </w:rPr>
        <w:footnoteReference w:id="1"/>
      </w:r>
      <w:r w:rsidRPr="00431183">
        <w:rPr>
          <w:rFonts w:ascii="Cambria" w:hAnsi="Cambria" w:cs="Arial"/>
          <w:sz w:val="24"/>
          <w:szCs w:val="24"/>
        </w:rPr>
        <w:t xml:space="preserve"> e indicación geográfica son relativamente nuevos en Costa Rica, de hecho, se tiende</w:t>
      </w:r>
      <w:r w:rsidR="00B653E6">
        <w:rPr>
          <w:rFonts w:ascii="Cambria" w:hAnsi="Cambria" w:cs="Arial"/>
          <w:sz w:val="24"/>
          <w:szCs w:val="24"/>
        </w:rPr>
        <w:t>n</w:t>
      </w:r>
      <w:r w:rsidRPr="00431183">
        <w:rPr>
          <w:rFonts w:ascii="Cambria" w:hAnsi="Cambria" w:cs="Arial"/>
          <w:sz w:val="24"/>
          <w:szCs w:val="24"/>
        </w:rPr>
        <w:t xml:space="preserve"> a confundir </w:t>
      </w:r>
      <w:r w:rsidR="00B653E6">
        <w:rPr>
          <w:rFonts w:ascii="Cambria" w:hAnsi="Cambria" w:cs="Arial"/>
          <w:sz w:val="24"/>
          <w:szCs w:val="24"/>
        </w:rPr>
        <w:t>o</w:t>
      </w:r>
      <w:r w:rsidRPr="00431183">
        <w:rPr>
          <w:rFonts w:ascii="Cambria" w:hAnsi="Cambria" w:cs="Arial"/>
          <w:sz w:val="24"/>
          <w:szCs w:val="24"/>
        </w:rPr>
        <w:t xml:space="preserve"> son tratados como </w:t>
      </w:r>
      <w:r w:rsidR="00B653E6">
        <w:rPr>
          <w:rFonts w:ascii="Cambria" w:hAnsi="Cambria" w:cs="Arial"/>
          <w:sz w:val="24"/>
          <w:szCs w:val="24"/>
        </w:rPr>
        <w:t>aportaciones semejantes</w:t>
      </w:r>
      <w:r w:rsidRPr="00431183">
        <w:rPr>
          <w:rFonts w:ascii="Cambria" w:hAnsi="Cambria" w:cs="Arial"/>
          <w:sz w:val="24"/>
          <w:szCs w:val="24"/>
        </w:rPr>
        <w:t>, pero, en esencia son diferentes</w:t>
      </w:r>
      <w:r w:rsidR="004D6F95" w:rsidRPr="00431183">
        <w:rPr>
          <w:rFonts w:ascii="Cambria" w:hAnsi="Cambria" w:cs="Arial"/>
          <w:sz w:val="24"/>
          <w:szCs w:val="24"/>
        </w:rPr>
        <w:t>;</w:t>
      </w:r>
      <w:r w:rsidRPr="00431183">
        <w:rPr>
          <w:rFonts w:ascii="Cambria" w:hAnsi="Cambria" w:cs="Arial"/>
          <w:sz w:val="24"/>
          <w:szCs w:val="24"/>
        </w:rPr>
        <w:t xml:space="preserve"> una indicación es un signo distintivo en su género</w:t>
      </w:r>
      <w:r w:rsidR="004D6F95" w:rsidRPr="00431183">
        <w:rPr>
          <w:rFonts w:ascii="Cambria" w:hAnsi="Cambria" w:cs="Arial"/>
          <w:sz w:val="24"/>
          <w:szCs w:val="24"/>
        </w:rPr>
        <w:t xml:space="preserve"> mientras que </w:t>
      </w:r>
      <w:r w:rsidRPr="00431183">
        <w:rPr>
          <w:rFonts w:ascii="Cambria" w:hAnsi="Cambria" w:cs="Arial"/>
          <w:sz w:val="24"/>
          <w:szCs w:val="24"/>
        </w:rPr>
        <w:t xml:space="preserve">la </w:t>
      </w:r>
      <w:r w:rsidR="004D6F95" w:rsidRPr="00431183">
        <w:rPr>
          <w:rFonts w:ascii="Cambria" w:hAnsi="Cambria" w:cs="Arial"/>
          <w:sz w:val="24"/>
          <w:szCs w:val="24"/>
        </w:rPr>
        <w:t>DO</w:t>
      </w:r>
      <w:r w:rsidRPr="00431183">
        <w:rPr>
          <w:rFonts w:ascii="Cambria" w:hAnsi="Cambria" w:cs="Arial"/>
          <w:sz w:val="24"/>
          <w:szCs w:val="24"/>
        </w:rPr>
        <w:t xml:space="preserve"> es un rasgo que se le da a un producto procedente de una determinada región geográfica que lo dif</w:t>
      </w:r>
      <w:r w:rsidR="00405FA6" w:rsidRPr="00431183">
        <w:rPr>
          <w:rFonts w:ascii="Cambria" w:hAnsi="Cambria" w:cs="Arial"/>
          <w:sz w:val="24"/>
          <w:szCs w:val="24"/>
        </w:rPr>
        <w:t>erencia de los demás productos.</w:t>
      </w:r>
    </w:p>
    <w:p w14:paraId="40617824" w14:textId="77777777" w:rsidR="001F6294" w:rsidRDefault="001F6294" w:rsidP="00431183">
      <w:pPr>
        <w:spacing w:after="0" w:line="240" w:lineRule="auto"/>
        <w:ind w:firstLine="708"/>
        <w:jc w:val="both"/>
        <w:rPr>
          <w:rFonts w:ascii="Cambria" w:hAnsi="Cambria" w:cs="Arial"/>
          <w:sz w:val="24"/>
          <w:szCs w:val="24"/>
        </w:rPr>
      </w:pPr>
      <w:r w:rsidRPr="00431183">
        <w:rPr>
          <w:rFonts w:ascii="Cambria" w:hAnsi="Cambria" w:cs="Arial"/>
          <w:sz w:val="24"/>
          <w:szCs w:val="24"/>
        </w:rPr>
        <w:t xml:space="preserve">En </w:t>
      </w:r>
      <w:r w:rsidR="004D6F95" w:rsidRPr="00431183">
        <w:rPr>
          <w:rFonts w:ascii="Cambria" w:hAnsi="Cambria" w:cs="Arial"/>
          <w:sz w:val="24"/>
          <w:szCs w:val="24"/>
        </w:rPr>
        <w:t>Costa Rica</w:t>
      </w:r>
      <w:r w:rsidRPr="00431183">
        <w:rPr>
          <w:rFonts w:ascii="Cambria" w:hAnsi="Cambria" w:cs="Arial"/>
          <w:sz w:val="24"/>
          <w:szCs w:val="24"/>
        </w:rPr>
        <w:t xml:space="preserve"> no existe una estructura de gestión para la </w:t>
      </w:r>
      <w:r w:rsidR="004D6F95" w:rsidRPr="00431183">
        <w:rPr>
          <w:rFonts w:ascii="Cambria" w:hAnsi="Cambria" w:cs="Arial"/>
          <w:sz w:val="24"/>
          <w:szCs w:val="24"/>
        </w:rPr>
        <w:t>DO</w:t>
      </w:r>
      <w:r w:rsidRPr="00431183">
        <w:rPr>
          <w:rFonts w:ascii="Cambria" w:hAnsi="Cambria" w:cs="Arial"/>
          <w:sz w:val="24"/>
          <w:szCs w:val="24"/>
        </w:rPr>
        <w:t xml:space="preserve"> y la legislación costarricense </w:t>
      </w:r>
      <w:r w:rsidR="004D6F95" w:rsidRPr="00431183">
        <w:rPr>
          <w:rFonts w:ascii="Cambria" w:hAnsi="Cambria" w:cs="Arial"/>
          <w:sz w:val="24"/>
          <w:szCs w:val="24"/>
        </w:rPr>
        <w:t xml:space="preserve">a pesar de </w:t>
      </w:r>
      <w:r w:rsidRPr="00431183">
        <w:rPr>
          <w:rFonts w:ascii="Cambria" w:hAnsi="Cambria" w:cs="Arial"/>
          <w:sz w:val="24"/>
          <w:szCs w:val="24"/>
        </w:rPr>
        <w:t>incorpor</w:t>
      </w:r>
      <w:r w:rsidR="004D6F95" w:rsidRPr="00431183">
        <w:rPr>
          <w:rFonts w:ascii="Cambria" w:hAnsi="Cambria" w:cs="Arial"/>
          <w:sz w:val="24"/>
          <w:szCs w:val="24"/>
        </w:rPr>
        <w:t>ar</w:t>
      </w:r>
      <w:r w:rsidRPr="00431183">
        <w:rPr>
          <w:rFonts w:ascii="Cambria" w:hAnsi="Cambria" w:cs="Arial"/>
          <w:sz w:val="24"/>
          <w:szCs w:val="24"/>
        </w:rPr>
        <w:t xml:space="preserve"> regulaciones sobre denominaciones de origen en la Ley </w:t>
      </w:r>
      <w:r w:rsidR="006D37CE" w:rsidRPr="00431183">
        <w:rPr>
          <w:rFonts w:ascii="Cambria" w:hAnsi="Cambria" w:cs="Arial"/>
          <w:sz w:val="24"/>
          <w:szCs w:val="24"/>
        </w:rPr>
        <w:t>N 7879 conocida como ley</w:t>
      </w:r>
      <w:r w:rsidRPr="00431183">
        <w:rPr>
          <w:rFonts w:ascii="Cambria" w:hAnsi="Cambria" w:cs="Arial"/>
          <w:sz w:val="24"/>
          <w:szCs w:val="24"/>
        </w:rPr>
        <w:t xml:space="preserve"> Marcas y otros signos distintivos </w:t>
      </w:r>
      <w:r w:rsidR="00005212" w:rsidRPr="00431183">
        <w:rPr>
          <w:rFonts w:ascii="Cambria" w:hAnsi="Cambria" w:cs="Arial"/>
          <w:sz w:val="24"/>
          <w:szCs w:val="24"/>
        </w:rPr>
        <w:t>en</w:t>
      </w:r>
      <w:r w:rsidRPr="00431183">
        <w:rPr>
          <w:rFonts w:ascii="Cambria" w:hAnsi="Cambria" w:cs="Arial"/>
          <w:sz w:val="24"/>
          <w:szCs w:val="24"/>
        </w:rPr>
        <w:t xml:space="preserve"> febrero de</w:t>
      </w:r>
      <w:r w:rsidR="006D37CE" w:rsidRPr="00431183">
        <w:rPr>
          <w:rFonts w:ascii="Cambria" w:hAnsi="Cambria" w:cs="Arial"/>
          <w:sz w:val="24"/>
          <w:szCs w:val="24"/>
        </w:rPr>
        <w:t>l año</w:t>
      </w:r>
      <w:r w:rsidRPr="00431183">
        <w:rPr>
          <w:rFonts w:ascii="Cambria" w:hAnsi="Cambria" w:cs="Arial"/>
          <w:sz w:val="24"/>
          <w:szCs w:val="24"/>
        </w:rPr>
        <w:t xml:space="preserve"> 2000, </w:t>
      </w:r>
      <w:r w:rsidR="00005212" w:rsidRPr="00431183">
        <w:rPr>
          <w:rFonts w:ascii="Cambria" w:hAnsi="Cambria" w:cs="Arial"/>
          <w:sz w:val="24"/>
          <w:szCs w:val="24"/>
        </w:rPr>
        <w:t xml:space="preserve">éstas no </w:t>
      </w:r>
      <w:r w:rsidR="00DD23EF" w:rsidRPr="00431183">
        <w:rPr>
          <w:rFonts w:ascii="Cambria" w:hAnsi="Cambria" w:cs="Arial"/>
          <w:sz w:val="24"/>
          <w:szCs w:val="24"/>
        </w:rPr>
        <w:t>logran aportar</w:t>
      </w:r>
      <w:r w:rsidRPr="00431183">
        <w:rPr>
          <w:rFonts w:ascii="Cambria" w:hAnsi="Cambria" w:cs="Arial"/>
          <w:sz w:val="24"/>
          <w:szCs w:val="24"/>
        </w:rPr>
        <w:t xml:space="preserve"> disposiciones muy amplias sobre la materia.</w:t>
      </w:r>
    </w:p>
    <w:p w14:paraId="764ACC20" w14:textId="77777777" w:rsidR="00DD23EF" w:rsidRPr="00431183" w:rsidRDefault="00DD23EF" w:rsidP="00431183">
      <w:pPr>
        <w:spacing w:after="0" w:line="240" w:lineRule="auto"/>
        <w:ind w:firstLine="708"/>
        <w:jc w:val="both"/>
        <w:rPr>
          <w:rFonts w:ascii="Cambria" w:hAnsi="Cambria" w:cs="Arial"/>
          <w:sz w:val="24"/>
          <w:szCs w:val="24"/>
        </w:rPr>
      </w:pPr>
    </w:p>
    <w:p w14:paraId="2E85D9AB" w14:textId="3CD105CF" w:rsidR="003B6A60" w:rsidRDefault="003B6A60" w:rsidP="00FC2D87">
      <w:pPr>
        <w:spacing w:after="0" w:line="240" w:lineRule="auto"/>
        <w:ind w:firstLine="708"/>
        <w:jc w:val="both"/>
        <w:rPr>
          <w:rFonts w:ascii="Cambria" w:hAnsi="Cambria" w:cs="Arial"/>
          <w:sz w:val="24"/>
          <w:szCs w:val="24"/>
        </w:rPr>
      </w:pPr>
      <w:r w:rsidRPr="00431183">
        <w:rPr>
          <w:rFonts w:ascii="Cambria" w:hAnsi="Cambria" w:cs="Arial"/>
          <w:sz w:val="24"/>
          <w:szCs w:val="24"/>
        </w:rPr>
        <w:t xml:space="preserve">En el país existe un patrimonio agroalimentario compuesto por bastantes productos agrícolas y alimenticios, pero también artesanales, que en principio reúnen condiciones como </w:t>
      </w:r>
      <w:r w:rsidR="00005212" w:rsidRPr="00431183">
        <w:rPr>
          <w:rFonts w:ascii="Cambria" w:hAnsi="Cambria" w:cs="Arial"/>
          <w:sz w:val="24"/>
          <w:szCs w:val="24"/>
        </w:rPr>
        <w:t>DO</w:t>
      </w:r>
      <w:r w:rsidRPr="00431183">
        <w:rPr>
          <w:rFonts w:ascii="Cambria" w:hAnsi="Cambria" w:cs="Arial"/>
          <w:sz w:val="24"/>
          <w:szCs w:val="24"/>
        </w:rPr>
        <w:t xml:space="preserve">, y posiblemente existe un alto grado de valoración de estos productos en el mercado interno. Para otros productos su potencial se encuentra en el mercado internacional en donde productos nacionales son reconocidos, e incluso en algunos casos, </w:t>
      </w:r>
      <w:r w:rsidR="006D37CE" w:rsidRPr="00431183">
        <w:rPr>
          <w:rFonts w:ascii="Cambria" w:hAnsi="Cambria" w:cs="Arial"/>
          <w:sz w:val="24"/>
          <w:szCs w:val="24"/>
        </w:rPr>
        <w:t>utilizados</w:t>
      </w:r>
      <w:r w:rsidRPr="00431183">
        <w:rPr>
          <w:rFonts w:ascii="Cambria" w:hAnsi="Cambria" w:cs="Arial"/>
          <w:sz w:val="24"/>
          <w:szCs w:val="24"/>
        </w:rPr>
        <w:t xml:space="preserve"> su nombre fraudulentamente</w:t>
      </w:r>
      <w:sdt>
        <w:sdtPr>
          <w:rPr>
            <w:rFonts w:ascii="Cambria" w:hAnsi="Cambria" w:cs="Arial"/>
            <w:sz w:val="24"/>
            <w:szCs w:val="24"/>
          </w:rPr>
          <w:id w:val="1572386018"/>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 CITATION Gra04 \l 5130 </w:instrText>
          </w:r>
          <w:r w:rsidR="005C7CB3" w:rsidRPr="00431183">
            <w:rPr>
              <w:rFonts w:ascii="Cambria" w:hAnsi="Cambria" w:cs="Arial"/>
              <w:sz w:val="24"/>
              <w:szCs w:val="24"/>
            </w:rPr>
            <w:fldChar w:fldCharType="separate"/>
          </w:r>
          <w:r w:rsidR="00AF1E1D">
            <w:rPr>
              <w:rFonts w:ascii="Cambria" w:hAnsi="Cambria" w:cs="Arial"/>
              <w:noProof/>
              <w:sz w:val="24"/>
              <w:szCs w:val="24"/>
            </w:rPr>
            <w:t xml:space="preserve"> </w:t>
          </w:r>
          <w:r w:rsidR="00AF1E1D" w:rsidRPr="00AF1E1D">
            <w:rPr>
              <w:rFonts w:ascii="Cambria" w:hAnsi="Cambria" w:cs="Arial"/>
              <w:noProof/>
              <w:sz w:val="24"/>
              <w:szCs w:val="24"/>
            </w:rPr>
            <w:t>(Granados L. , 2004)</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5FFC3A47" w14:textId="77777777" w:rsidR="00B653E6" w:rsidRPr="00431183" w:rsidRDefault="00B653E6" w:rsidP="00431183">
      <w:pPr>
        <w:spacing w:after="0" w:line="240" w:lineRule="auto"/>
        <w:ind w:firstLine="708"/>
        <w:jc w:val="both"/>
        <w:rPr>
          <w:rFonts w:ascii="Cambria" w:hAnsi="Cambria" w:cs="Arial"/>
          <w:sz w:val="24"/>
          <w:szCs w:val="24"/>
        </w:rPr>
      </w:pPr>
    </w:p>
    <w:p w14:paraId="6A54A8BB" w14:textId="77777777" w:rsidR="007772A4" w:rsidRDefault="00D174D2" w:rsidP="00FC2D87">
      <w:pPr>
        <w:pStyle w:val="Ttulo2"/>
        <w:spacing w:line="240" w:lineRule="auto"/>
        <w:rPr>
          <w:rFonts w:ascii="Cambria" w:hAnsi="Cambria" w:cs="Arial"/>
          <w:b/>
          <w:color w:val="auto"/>
          <w:sz w:val="24"/>
          <w:szCs w:val="24"/>
        </w:rPr>
      </w:pPr>
      <w:bookmarkStart w:id="58" w:name="_Toc527576941"/>
      <w:r>
        <w:rPr>
          <w:rFonts w:ascii="Cambria" w:hAnsi="Cambria" w:cs="Arial"/>
          <w:b/>
          <w:color w:val="auto"/>
          <w:sz w:val="24"/>
          <w:szCs w:val="24"/>
        </w:rPr>
        <w:t>1.2.5</w:t>
      </w:r>
      <w:r w:rsidR="009461D3" w:rsidRPr="00431183">
        <w:rPr>
          <w:rFonts w:ascii="Cambria" w:hAnsi="Cambria" w:cs="Arial"/>
          <w:b/>
          <w:color w:val="auto"/>
          <w:sz w:val="24"/>
          <w:szCs w:val="24"/>
        </w:rPr>
        <w:t xml:space="preserve"> </w:t>
      </w:r>
      <w:r w:rsidR="007772A4" w:rsidRPr="00431183">
        <w:rPr>
          <w:rFonts w:ascii="Cambria" w:hAnsi="Cambria" w:cs="Arial"/>
          <w:b/>
          <w:color w:val="auto"/>
          <w:sz w:val="24"/>
          <w:szCs w:val="24"/>
        </w:rPr>
        <w:t>La denominación de origen de café Tarrazú</w:t>
      </w:r>
      <w:bookmarkEnd w:id="58"/>
      <w:r w:rsidR="007772A4" w:rsidRPr="00431183">
        <w:rPr>
          <w:rFonts w:ascii="Cambria" w:hAnsi="Cambria" w:cs="Arial"/>
          <w:b/>
          <w:color w:val="auto"/>
          <w:sz w:val="24"/>
          <w:szCs w:val="24"/>
        </w:rPr>
        <w:t xml:space="preserve"> </w:t>
      </w:r>
    </w:p>
    <w:p w14:paraId="4CDA0033" w14:textId="77777777" w:rsidR="00B653E6" w:rsidRPr="00431183" w:rsidRDefault="00B653E6" w:rsidP="00431183"/>
    <w:p w14:paraId="62467E71" w14:textId="162C8808" w:rsidR="00605C08" w:rsidRPr="00431183" w:rsidRDefault="006D37CE" w:rsidP="00431183">
      <w:pPr>
        <w:spacing w:after="0" w:line="240" w:lineRule="auto"/>
        <w:ind w:firstLine="708"/>
        <w:jc w:val="both"/>
        <w:rPr>
          <w:rFonts w:ascii="Cambria" w:hAnsi="Cambria" w:cs="Arial"/>
          <w:sz w:val="24"/>
          <w:szCs w:val="24"/>
        </w:rPr>
      </w:pPr>
      <w:r w:rsidRPr="00431183">
        <w:rPr>
          <w:rFonts w:ascii="Cambria" w:hAnsi="Cambria" w:cs="Arial"/>
          <w:sz w:val="24"/>
          <w:szCs w:val="24"/>
        </w:rPr>
        <w:t>La Zona de los Santos está compuesta por los</w:t>
      </w:r>
      <w:r w:rsidR="003678CB" w:rsidRPr="00431183">
        <w:rPr>
          <w:rFonts w:ascii="Cambria" w:hAnsi="Cambria" w:cs="Arial"/>
          <w:sz w:val="24"/>
          <w:szCs w:val="24"/>
        </w:rPr>
        <w:t xml:space="preserve"> </w:t>
      </w:r>
      <w:r w:rsidR="007772A4" w:rsidRPr="00431183">
        <w:rPr>
          <w:rFonts w:ascii="Cambria" w:hAnsi="Cambria" w:cs="Arial"/>
          <w:sz w:val="24"/>
          <w:szCs w:val="24"/>
        </w:rPr>
        <w:t xml:space="preserve">cantones de Dota, Tarrazú y León Cortes, </w:t>
      </w:r>
      <w:r w:rsidRPr="00431183">
        <w:rPr>
          <w:rFonts w:ascii="Cambria" w:hAnsi="Cambria" w:cs="Arial"/>
          <w:sz w:val="24"/>
          <w:szCs w:val="24"/>
        </w:rPr>
        <w:t xml:space="preserve">y la actividad económica principal es el </w:t>
      </w:r>
      <w:r w:rsidR="007772A4" w:rsidRPr="00431183">
        <w:rPr>
          <w:rFonts w:ascii="Cambria" w:hAnsi="Cambria" w:cs="Arial"/>
          <w:sz w:val="24"/>
          <w:szCs w:val="24"/>
        </w:rPr>
        <w:t>cultivo de café</w:t>
      </w:r>
      <w:r w:rsidRPr="00431183">
        <w:rPr>
          <w:rFonts w:ascii="Cambria" w:hAnsi="Cambria" w:cs="Arial"/>
          <w:sz w:val="24"/>
          <w:szCs w:val="24"/>
        </w:rPr>
        <w:t xml:space="preserve"> que</w:t>
      </w:r>
      <w:r w:rsidR="007772A4" w:rsidRPr="00431183">
        <w:rPr>
          <w:rFonts w:ascii="Cambria" w:hAnsi="Cambria" w:cs="Arial"/>
          <w:sz w:val="24"/>
          <w:szCs w:val="24"/>
        </w:rPr>
        <w:t xml:space="preserve"> se impulsó en la región a finales del siglo XIX, teniendo su máximo auge en la década de los ochentas del siglo XX cuando la Zona de los Santos registró una producción máxima de entre 900.000 a 1.000</w:t>
      </w:r>
      <w:r w:rsidR="0013099D" w:rsidRPr="00431183">
        <w:rPr>
          <w:rFonts w:ascii="Cambria" w:hAnsi="Cambria" w:cs="Arial"/>
          <w:sz w:val="24"/>
          <w:szCs w:val="24"/>
        </w:rPr>
        <w:t xml:space="preserve">.000 quintales respectivamente. </w:t>
      </w:r>
      <w:sdt>
        <w:sdtPr>
          <w:rPr>
            <w:rFonts w:ascii="Cambria" w:hAnsi="Cambria" w:cs="Arial"/>
            <w:sz w:val="24"/>
            <w:szCs w:val="24"/>
          </w:rPr>
          <w:id w:val="-579910030"/>
          <w:citation/>
        </w:sdtPr>
        <w:sdtEndPr/>
        <w:sdtContent>
          <w:r w:rsidR="005C7CB3" w:rsidRPr="00431183">
            <w:rPr>
              <w:rFonts w:ascii="Cambria" w:hAnsi="Cambria" w:cs="Arial"/>
              <w:sz w:val="24"/>
              <w:szCs w:val="24"/>
            </w:rPr>
            <w:fldChar w:fldCharType="begin"/>
          </w:r>
          <w:r w:rsidR="00A42C93" w:rsidRPr="00431183">
            <w:rPr>
              <w:rFonts w:ascii="Cambria" w:hAnsi="Cambria" w:cs="Arial"/>
              <w:sz w:val="24"/>
              <w:szCs w:val="24"/>
            </w:rPr>
            <w:instrText xml:space="preserve"> CITATION ICA17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(ICAFE, 2017)</w:t>
          </w:r>
          <w:r w:rsidR="005C7CB3" w:rsidRPr="00431183">
            <w:rPr>
              <w:rFonts w:ascii="Cambria" w:hAnsi="Cambria" w:cs="Arial"/>
              <w:sz w:val="24"/>
              <w:szCs w:val="24"/>
            </w:rPr>
            <w:fldChar w:fldCharType="end"/>
          </w:r>
        </w:sdtContent>
      </w:sdt>
      <w:r w:rsidR="003678CB" w:rsidRPr="00431183">
        <w:rPr>
          <w:rFonts w:ascii="Cambria" w:hAnsi="Cambria" w:cs="Arial"/>
          <w:sz w:val="24"/>
          <w:szCs w:val="24"/>
        </w:rPr>
        <w:t>.</w:t>
      </w:r>
    </w:p>
    <w:p w14:paraId="456D8DB1" w14:textId="77777777" w:rsidR="007A151D" w:rsidRDefault="007772A4" w:rsidP="00431183">
      <w:pPr>
        <w:spacing w:after="0" w:line="240" w:lineRule="auto"/>
        <w:ind w:firstLine="708"/>
        <w:jc w:val="both"/>
        <w:rPr>
          <w:rFonts w:ascii="Cambria" w:hAnsi="Cambria" w:cs="Arial"/>
          <w:sz w:val="24"/>
          <w:szCs w:val="24"/>
        </w:rPr>
      </w:pPr>
      <w:r w:rsidRPr="00431183">
        <w:rPr>
          <w:rFonts w:ascii="Cambria" w:hAnsi="Cambria" w:cs="Arial"/>
          <w:sz w:val="24"/>
          <w:szCs w:val="24"/>
        </w:rPr>
        <w:lastRenderedPageBreak/>
        <w:t>A finales de los años noventa del siglo XX y principios del siglo XXI se inicia con la inserción del cultivo de Aguacate en algunos distritos de los tres cantones en anál</w:t>
      </w:r>
      <w:r w:rsidR="003678CB" w:rsidRPr="00431183">
        <w:rPr>
          <w:rFonts w:ascii="Cambria" w:hAnsi="Cambria" w:cs="Arial"/>
          <w:sz w:val="24"/>
          <w:szCs w:val="24"/>
        </w:rPr>
        <w:t xml:space="preserve">isis; sin </w:t>
      </w:r>
      <w:r w:rsidR="003B6A60" w:rsidRPr="00431183">
        <w:rPr>
          <w:rFonts w:ascii="Cambria" w:hAnsi="Cambria" w:cs="Arial"/>
          <w:sz w:val="24"/>
          <w:szCs w:val="24"/>
        </w:rPr>
        <w:t>embargo,</w:t>
      </w:r>
      <w:r w:rsidRPr="00431183">
        <w:rPr>
          <w:rFonts w:ascii="Cambria" w:hAnsi="Cambria" w:cs="Arial"/>
          <w:sz w:val="24"/>
          <w:szCs w:val="24"/>
        </w:rPr>
        <w:t xml:space="preserve"> es a partir del año 2000 que surge una primera aproximación de implementar una </w:t>
      </w:r>
      <w:r w:rsidR="00005212" w:rsidRPr="00431183">
        <w:rPr>
          <w:rFonts w:ascii="Cambria" w:hAnsi="Cambria" w:cs="Arial"/>
          <w:sz w:val="24"/>
          <w:szCs w:val="24"/>
        </w:rPr>
        <w:t xml:space="preserve">DO </w:t>
      </w:r>
      <w:r w:rsidRPr="00431183">
        <w:rPr>
          <w:rFonts w:ascii="Cambria" w:hAnsi="Cambria" w:cs="Arial"/>
          <w:sz w:val="24"/>
          <w:szCs w:val="24"/>
        </w:rPr>
        <w:t>al café</w:t>
      </w:r>
      <w:r w:rsidR="003678CB" w:rsidRPr="00431183">
        <w:rPr>
          <w:rFonts w:ascii="Cambria" w:hAnsi="Cambria" w:cs="Arial"/>
          <w:sz w:val="24"/>
          <w:szCs w:val="24"/>
        </w:rPr>
        <w:t xml:space="preserve">; </w:t>
      </w:r>
      <w:r w:rsidR="003B6A60" w:rsidRPr="00431183">
        <w:rPr>
          <w:rFonts w:ascii="Cambria" w:hAnsi="Cambria" w:cs="Arial"/>
          <w:sz w:val="24"/>
          <w:szCs w:val="24"/>
        </w:rPr>
        <w:t xml:space="preserve">iniciándose de manera formal en el año </w:t>
      </w:r>
      <w:r w:rsidRPr="00431183">
        <w:rPr>
          <w:rFonts w:ascii="Cambria" w:hAnsi="Cambria" w:cs="Arial"/>
          <w:sz w:val="24"/>
          <w:szCs w:val="24"/>
        </w:rPr>
        <w:t xml:space="preserve">2005 </w:t>
      </w:r>
      <w:r w:rsidR="00005212" w:rsidRPr="00431183">
        <w:rPr>
          <w:rFonts w:ascii="Cambria" w:hAnsi="Cambria" w:cs="Arial"/>
          <w:sz w:val="24"/>
          <w:szCs w:val="24"/>
        </w:rPr>
        <w:t xml:space="preserve">en </w:t>
      </w:r>
      <w:r w:rsidRPr="00431183">
        <w:rPr>
          <w:rFonts w:ascii="Cambria" w:hAnsi="Cambria" w:cs="Arial"/>
          <w:sz w:val="24"/>
          <w:szCs w:val="24"/>
        </w:rPr>
        <w:t>el proceso D</w:t>
      </w:r>
      <w:r w:rsidR="00005212" w:rsidRPr="00431183">
        <w:rPr>
          <w:rFonts w:ascii="Cambria" w:hAnsi="Cambria" w:cs="Arial"/>
          <w:sz w:val="24"/>
          <w:szCs w:val="24"/>
        </w:rPr>
        <w:t xml:space="preserve">O </w:t>
      </w:r>
      <w:r w:rsidRPr="00431183">
        <w:rPr>
          <w:rFonts w:ascii="Cambria" w:hAnsi="Cambria" w:cs="Arial"/>
          <w:sz w:val="24"/>
          <w:szCs w:val="24"/>
        </w:rPr>
        <w:t>Tarrazú para la región.</w:t>
      </w:r>
    </w:p>
    <w:p w14:paraId="16E19492" w14:textId="77777777" w:rsidR="004956F1" w:rsidRPr="00431183" w:rsidRDefault="004956F1" w:rsidP="00431183">
      <w:pPr>
        <w:spacing w:after="0" w:line="240" w:lineRule="auto"/>
        <w:ind w:firstLine="708"/>
        <w:jc w:val="both"/>
        <w:rPr>
          <w:rFonts w:ascii="Cambria" w:hAnsi="Cambria" w:cs="Arial"/>
          <w:sz w:val="24"/>
          <w:szCs w:val="24"/>
        </w:rPr>
      </w:pPr>
    </w:p>
    <w:p w14:paraId="670D73A3" w14:textId="77777777" w:rsidR="00B653E6" w:rsidRDefault="00D174D2" w:rsidP="00DD23EF">
      <w:pPr>
        <w:pStyle w:val="Ttulo2"/>
        <w:spacing w:line="240" w:lineRule="auto"/>
        <w:rPr>
          <w:rFonts w:ascii="Cambria" w:hAnsi="Cambria" w:cs="Arial"/>
          <w:b/>
          <w:color w:val="auto"/>
          <w:sz w:val="24"/>
          <w:szCs w:val="24"/>
        </w:rPr>
      </w:pPr>
      <w:bookmarkStart w:id="59" w:name="_Toc527576942"/>
      <w:r>
        <w:rPr>
          <w:rFonts w:ascii="Cambria" w:hAnsi="Cambria" w:cs="Arial"/>
          <w:b/>
          <w:color w:val="auto"/>
          <w:sz w:val="24"/>
          <w:szCs w:val="24"/>
        </w:rPr>
        <w:t>1.2.6</w:t>
      </w:r>
      <w:r w:rsidR="007772A4" w:rsidRPr="00431183">
        <w:rPr>
          <w:rFonts w:ascii="Cambria" w:hAnsi="Cambria" w:cs="Arial"/>
          <w:b/>
          <w:color w:val="auto"/>
          <w:sz w:val="24"/>
          <w:szCs w:val="24"/>
        </w:rPr>
        <w:t xml:space="preserve"> Antecedentes de los Sistemas Financieros en América </w:t>
      </w:r>
      <w:r w:rsidR="003B6A60" w:rsidRPr="00431183">
        <w:rPr>
          <w:rFonts w:ascii="Cambria" w:hAnsi="Cambria" w:cs="Arial"/>
          <w:b/>
          <w:color w:val="auto"/>
          <w:sz w:val="24"/>
          <w:szCs w:val="24"/>
        </w:rPr>
        <w:t>Latina y</w:t>
      </w:r>
      <w:r w:rsidR="003678CB" w:rsidRPr="00431183">
        <w:rPr>
          <w:rFonts w:ascii="Cambria" w:hAnsi="Cambria" w:cs="Arial"/>
          <w:b/>
          <w:color w:val="auto"/>
          <w:sz w:val="24"/>
          <w:szCs w:val="24"/>
        </w:rPr>
        <w:t xml:space="preserve"> Costa Rica</w:t>
      </w:r>
      <w:bookmarkEnd w:id="59"/>
      <w:r w:rsidR="007772A4" w:rsidRPr="00431183">
        <w:rPr>
          <w:rFonts w:ascii="Cambria" w:hAnsi="Cambria" w:cs="Arial"/>
          <w:b/>
          <w:color w:val="auto"/>
          <w:sz w:val="24"/>
          <w:szCs w:val="24"/>
        </w:rPr>
        <w:t xml:space="preserve"> </w:t>
      </w:r>
    </w:p>
    <w:p w14:paraId="0A1A22D0" w14:textId="77777777" w:rsidR="00DD23EF" w:rsidRPr="00DD23EF" w:rsidRDefault="00DD23EF" w:rsidP="00DD23EF"/>
    <w:p w14:paraId="27B63CF0" w14:textId="611826B8" w:rsidR="00CE6E5D" w:rsidRPr="00431183" w:rsidRDefault="00CE6E5D" w:rsidP="00431183">
      <w:pPr>
        <w:spacing w:after="0" w:line="240" w:lineRule="auto"/>
        <w:ind w:firstLine="708"/>
        <w:jc w:val="both"/>
        <w:rPr>
          <w:rFonts w:ascii="Cambria" w:hAnsi="Cambria" w:cs="Arial"/>
          <w:sz w:val="24"/>
          <w:szCs w:val="24"/>
        </w:rPr>
      </w:pPr>
      <w:r w:rsidRPr="00431183">
        <w:rPr>
          <w:rFonts w:ascii="Cambria" w:hAnsi="Cambria" w:cs="Arial"/>
          <w:sz w:val="24"/>
          <w:szCs w:val="24"/>
        </w:rPr>
        <w:t>Las Reformas Financieras han sido el ámbito más cuidadosamente dispuesto del cambio estructural e institucional en América Latina</w:t>
      </w:r>
      <w:r w:rsidR="000018AA">
        <w:rPr>
          <w:rFonts w:ascii="Cambria" w:hAnsi="Cambria" w:cs="Arial"/>
          <w:sz w:val="24"/>
          <w:szCs w:val="24"/>
        </w:rPr>
        <w:t>, a partir de una serie de concesos que han sido</w:t>
      </w:r>
      <w:r w:rsidRPr="00431183">
        <w:rPr>
          <w:rFonts w:ascii="Cambria" w:hAnsi="Cambria" w:cs="Arial"/>
          <w:sz w:val="24"/>
          <w:szCs w:val="24"/>
        </w:rPr>
        <w:t xml:space="preserve"> promovido</w:t>
      </w:r>
      <w:r w:rsidR="000018AA">
        <w:rPr>
          <w:rFonts w:ascii="Cambria" w:hAnsi="Cambria" w:cs="Arial"/>
          <w:sz w:val="24"/>
          <w:szCs w:val="24"/>
        </w:rPr>
        <w:t xml:space="preserve">s especialmente </w:t>
      </w:r>
      <w:r w:rsidR="000018AA" w:rsidRPr="00431183">
        <w:rPr>
          <w:rFonts w:ascii="Cambria" w:hAnsi="Cambria" w:cs="Arial"/>
          <w:sz w:val="24"/>
          <w:szCs w:val="24"/>
        </w:rPr>
        <w:t>por</w:t>
      </w:r>
      <w:r w:rsidRPr="00431183">
        <w:rPr>
          <w:rFonts w:ascii="Cambria" w:hAnsi="Cambria" w:cs="Arial"/>
          <w:sz w:val="24"/>
          <w:szCs w:val="24"/>
        </w:rPr>
        <w:t xml:space="preserve"> el Fondo Monetario Internacional (FMI) y los grupos acreedores de los países de la región. </w:t>
      </w:r>
      <w:r w:rsidR="000018AA">
        <w:rPr>
          <w:rFonts w:ascii="Cambria" w:hAnsi="Cambria" w:cs="Arial"/>
          <w:sz w:val="24"/>
          <w:szCs w:val="24"/>
        </w:rPr>
        <w:t xml:space="preserve"> </w:t>
      </w:r>
      <w:r w:rsidRPr="00431183">
        <w:rPr>
          <w:rFonts w:ascii="Cambria" w:hAnsi="Cambria" w:cs="Arial"/>
          <w:sz w:val="24"/>
          <w:szCs w:val="24"/>
        </w:rPr>
        <w:t>Dichas reformas han transformado no sólo a los sistemas financieros nacionales</w:t>
      </w:r>
      <w:r w:rsidR="00005212" w:rsidRPr="00431183">
        <w:rPr>
          <w:rFonts w:ascii="Cambria" w:hAnsi="Cambria" w:cs="Arial"/>
          <w:sz w:val="24"/>
          <w:szCs w:val="24"/>
        </w:rPr>
        <w:t>,</w:t>
      </w:r>
      <w:r w:rsidRPr="00431183">
        <w:rPr>
          <w:rFonts w:ascii="Cambria" w:hAnsi="Cambria" w:cs="Arial"/>
          <w:sz w:val="24"/>
          <w:szCs w:val="24"/>
        </w:rPr>
        <w:t xml:space="preserve"> sino </w:t>
      </w:r>
      <w:r w:rsidR="000018AA">
        <w:rPr>
          <w:rFonts w:ascii="Cambria" w:hAnsi="Cambria" w:cs="Arial"/>
          <w:sz w:val="24"/>
          <w:szCs w:val="24"/>
        </w:rPr>
        <w:t xml:space="preserve">han </w:t>
      </w:r>
      <w:r w:rsidRPr="00431183">
        <w:rPr>
          <w:rFonts w:ascii="Cambria" w:hAnsi="Cambria" w:cs="Arial"/>
          <w:sz w:val="24"/>
          <w:szCs w:val="24"/>
        </w:rPr>
        <w:t>impulsado el empoderamiento de corporaciones financieras cuya actividad como agentes económicos es dominante a nivel regional y global. Estas reformas fueron presentadas como la vía al financiamiento del desarrollo ante los problemas derivados del endeudamiento externo durante los años ochenta</w:t>
      </w:r>
      <w:r w:rsidR="0093276D" w:rsidRPr="00431183">
        <w:rPr>
          <w:rFonts w:ascii="Cambria" w:hAnsi="Cambria" w:cs="Arial"/>
          <w:sz w:val="24"/>
          <w:szCs w:val="24"/>
        </w:rPr>
        <w:t xml:space="preserve"> </w:t>
      </w:r>
      <w:sdt>
        <w:sdtPr>
          <w:rPr>
            <w:rFonts w:ascii="Cambria" w:hAnsi="Cambria" w:cs="Arial"/>
            <w:sz w:val="24"/>
            <w:szCs w:val="24"/>
          </w:rPr>
          <w:id w:val="-618446031"/>
          <w:citation/>
        </w:sdtPr>
        <w:sdtEndPr/>
        <w:sdtContent>
          <w:r w:rsidR="005C7CB3" w:rsidRPr="00F507BE">
            <w:rPr>
              <w:rFonts w:ascii="Cambria" w:hAnsi="Cambria" w:cs="Arial"/>
              <w:sz w:val="24"/>
              <w:szCs w:val="24"/>
            </w:rPr>
            <w:fldChar w:fldCharType="begin"/>
          </w:r>
          <w:r w:rsidR="00F507BE" w:rsidRPr="00F507BE">
            <w:rPr>
              <w:rFonts w:ascii="Cambria" w:hAnsi="Cambria" w:cs="Arial"/>
              <w:sz w:val="24"/>
              <w:szCs w:val="24"/>
            </w:rPr>
            <w:instrText xml:space="preserve">CITATION Cor006 \p 5 \t  \l 5130 </w:instrText>
          </w:r>
          <w:r w:rsidR="005C7CB3" w:rsidRPr="00F507BE">
            <w:rPr>
              <w:rFonts w:ascii="Cambria" w:hAnsi="Cambria" w:cs="Arial"/>
              <w:sz w:val="24"/>
              <w:szCs w:val="24"/>
            </w:rPr>
            <w:fldChar w:fldCharType="separate"/>
          </w:r>
          <w:r w:rsidR="00AF1E1D" w:rsidRPr="00AF1E1D">
            <w:rPr>
              <w:rFonts w:ascii="Cambria" w:hAnsi="Cambria" w:cs="Arial"/>
              <w:noProof/>
              <w:sz w:val="24"/>
              <w:szCs w:val="24"/>
            </w:rPr>
            <w:t>(Correa, 2006, pág. 5)</w:t>
          </w:r>
          <w:r w:rsidR="005C7CB3" w:rsidRPr="00F507BE">
            <w:rPr>
              <w:rFonts w:ascii="Cambria" w:hAnsi="Cambria" w:cs="Arial"/>
              <w:sz w:val="24"/>
              <w:szCs w:val="24"/>
            </w:rPr>
            <w:fldChar w:fldCharType="end"/>
          </w:r>
        </w:sdtContent>
      </w:sdt>
      <w:r w:rsidR="0093276D" w:rsidRPr="00F507BE">
        <w:rPr>
          <w:rFonts w:ascii="Cambria" w:hAnsi="Cambria" w:cs="Arial"/>
          <w:sz w:val="24"/>
          <w:szCs w:val="24"/>
        </w:rPr>
        <w:t>.</w:t>
      </w:r>
    </w:p>
    <w:p w14:paraId="154C7F95" w14:textId="77777777" w:rsidR="00605C08" w:rsidRDefault="003678CB" w:rsidP="00FC2D87">
      <w:pPr>
        <w:spacing w:after="0" w:line="240" w:lineRule="auto"/>
        <w:jc w:val="both"/>
        <w:rPr>
          <w:rFonts w:ascii="Cambria" w:hAnsi="Cambria" w:cs="Arial"/>
          <w:sz w:val="24"/>
          <w:szCs w:val="24"/>
        </w:rPr>
      </w:pPr>
      <w:r w:rsidRPr="00431183">
        <w:rPr>
          <w:rFonts w:ascii="Cambria" w:hAnsi="Cambria" w:cs="Arial"/>
          <w:sz w:val="24"/>
          <w:szCs w:val="24"/>
        </w:rPr>
        <w:t xml:space="preserve"> </w:t>
      </w:r>
      <w:r w:rsidR="006E5E69" w:rsidRPr="00431183">
        <w:rPr>
          <w:rFonts w:ascii="Cambria" w:hAnsi="Cambria" w:cs="Arial"/>
          <w:sz w:val="24"/>
          <w:szCs w:val="24"/>
        </w:rPr>
        <w:tab/>
      </w:r>
      <w:r w:rsidR="00405FA6" w:rsidRPr="00431183">
        <w:rPr>
          <w:rFonts w:ascii="Cambria" w:hAnsi="Cambria" w:cs="Arial"/>
          <w:sz w:val="24"/>
          <w:szCs w:val="24"/>
        </w:rPr>
        <w:t>A</w:t>
      </w:r>
      <w:r w:rsidR="007772A4" w:rsidRPr="00431183">
        <w:rPr>
          <w:rFonts w:ascii="Cambria" w:hAnsi="Cambria" w:cs="Arial"/>
          <w:sz w:val="24"/>
          <w:szCs w:val="24"/>
        </w:rPr>
        <w:t>ntes de la década de los ochentas los sistemas financieros se caracterizaron por ser receptores de capital extra</w:t>
      </w:r>
      <w:r w:rsidR="00405FA6" w:rsidRPr="00431183">
        <w:rPr>
          <w:rFonts w:ascii="Cambria" w:hAnsi="Cambria" w:cs="Arial"/>
          <w:sz w:val="24"/>
          <w:szCs w:val="24"/>
        </w:rPr>
        <w:t>njero</w:t>
      </w:r>
      <w:r w:rsidR="00E4777D" w:rsidRPr="00431183">
        <w:rPr>
          <w:rFonts w:ascii="Cambria" w:hAnsi="Cambria" w:cs="Arial"/>
          <w:sz w:val="24"/>
          <w:szCs w:val="24"/>
        </w:rPr>
        <w:t>,</w:t>
      </w:r>
      <w:r w:rsidR="00405FA6" w:rsidRPr="00431183">
        <w:rPr>
          <w:rFonts w:ascii="Cambria" w:hAnsi="Cambria" w:cs="Arial"/>
          <w:sz w:val="24"/>
          <w:szCs w:val="24"/>
        </w:rPr>
        <w:t xml:space="preserve"> </w:t>
      </w:r>
      <w:r w:rsidR="007772A4" w:rsidRPr="00431183">
        <w:rPr>
          <w:rFonts w:ascii="Cambria" w:hAnsi="Cambria" w:cs="Arial"/>
          <w:sz w:val="24"/>
          <w:szCs w:val="24"/>
        </w:rPr>
        <w:t xml:space="preserve">su función era sustantiva con respecto al desarrollo, con objetivos por lo general estipulados por un poder central o Estado, paralelamente, se inician los primeros desarrollos teóricos locales, pero desde un ámbito académico </w:t>
      </w:r>
      <w:r w:rsidRPr="00431183">
        <w:rPr>
          <w:rFonts w:ascii="Cambria" w:hAnsi="Cambria" w:cs="Arial"/>
          <w:sz w:val="24"/>
          <w:szCs w:val="24"/>
        </w:rPr>
        <w:t>(Correa, 2002, pág. 14)</w:t>
      </w:r>
      <w:r w:rsidR="000018AA">
        <w:rPr>
          <w:rFonts w:ascii="Cambria" w:hAnsi="Cambria" w:cs="Arial"/>
          <w:sz w:val="24"/>
          <w:szCs w:val="24"/>
        </w:rPr>
        <w:t>.</w:t>
      </w:r>
    </w:p>
    <w:p w14:paraId="32C73A0A" w14:textId="77777777" w:rsidR="000018AA" w:rsidRPr="00431183" w:rsidRDefault="000018AA" w:rsidP="00431183">
      <w:pPr>
        <w:spacing w:after="0" w:line="240" w:lineRule="auto"/>
        <w:jc w:val="both"/>
        <w:rPr>
          <w:rFonts w:ascii="Cambria" w:hAnsi="Cambria" w:cs="Arial"/>
          <w:sz w:val="24"/>
          <w:szCs w:val="24"/>
        </w:rPr>
      </w:pPr>
    </w:p>
    <w:p w14:paraId="200A7357" w14:textId="77777777" w:rsidR="007772A4" w:rsidRDefault="00C967FB" w:rsidP="00FC2D87">
      <w:pPr>
        <w:spacing w:after="0" w:line="240" w:lineRule="auto"/>
        <w:ind w:firstLine="708"/>
        <w:jc w:val="both"/>
        <w:rPr>
          <w:rFonts w:ascii="Cambria" w:hAnsi="Cambria" w:cs="Arial"/>
          <w:sz w:val="24"/>
          <w:szCs w:val="24"/>
        </w:rPr>
      </w:pPr>
      <w:r w:rsidRPr="00431183">
        <w:rPr>
          <w:rFonts w:ascii="Cambria" w:hAnsi="Cambria" w:cs="Arial"/>
          <w:sz w:val="24"/>
          <w:szCs w:val="24"/>
        </w:rPr>
        <w:t>D</w:t>
      </w:r>
      <w:r w:rsidR="007772A4" w:rsidRPr="00431183">
        <w:rPr>
          <w:rFonts w:ascii="Cambria" w:hAnsi="Cambria" w:cs="Arial"/>
          <w:sz w:val="24"/>
          <w:szCs w:val="24"/>
        </w:rPr>
        <w:t xml:space="preserve">entro </w:t>
      </w:r>
      <w:r w:rsidRPr="00431183">
        <w:rPr>
          <w:rFonts w:ascii="Cambria" w:hAnsi="Cambria" w:cs="Arial"/>
          <w:sz w:val="24"/>
          <w:szCs w:val="24"/>
        </w:rPr>
        <w:t>de las reformas en Costa Rica</w:t>
      </w:r>
      <w:r w:rsidR="007772A4" w:rsidRPr="00431183">
        <w:rPr>
          <w:rFonts w:ascii="Cambria" w:hAnsi="Cambria" w:cs="Arial"/>
          <w:sz w:val="24"/>
          <w:szCs w:val="24"/>
        </w:rPr>
        <w:t xml:space="preserve"> destacan la liberalización de las tasas de interés, y en algunos países de la región una liberalización de la moneda nacional</w:t>
      </w:r>
      <w:r w:rsidR="00E4777D" w:rsidRPr="00431183">
        <w:rPr>
          <w:rFonts w:ascii="Cambria" w:hAnsi="Cambria" w:cs="Arial"/>
          <w:sz w:val="24"/>
          <w:szCs w:val="24"/>
        </w:rPr>
        <w:t>,</w:t>
      </w:r>
      <w:r w:rsidR="007772A4" w:rsidRPr="00431183">
        <w:rPr>
          <w:rFonts w:ascii="Cambria" w:hAnsi="Cambria" w:cs="Arial"/>
          <w:sz w:val="24"/>
          <w:szCs w:val="24"/>
        </w:rPr>
        <w:t xml:space="preserve"> además de la migración de regímenes cambiarios rígidos a más flexibles, donde se busca el objetivo monetario de con</w:t>
      </w:r>
      <w:r w:rsidR="00405FA6" w:rsidRPr="00431183">
        <w:rPr>
          <w:rFonts w:ascii="Cambria" w:hAnsi="Cambria" w:cs="Arial"/>
          <w:sz w:val="24"/>
          <w:szCs w:val="24"/>
        </w:rPr>
        <w:t>trolar la inflación moderada (Correa, 2002, pág. 16.).</w:t>
      </w:r>
    </w:p>
    <w:p w14:paraId="4BF7A50D" w14:textId="77777777" w:rsidR="000018AA" w:rsidRPr="00431183" w:rsidRDefault="000018AA" w:rsidP="00431183">
      <w:pPr>
        <w:spacing w:after="0" w:line="240" w:lineRule="auto"/>
        <w:ind w:firstLine="708"/>
        <w:jc w:val="both"/>
        <w:rPr>
          <w:rFonts w:ascii="Cambria" w:hAnsi="Cambria" w:cs="Arial"/>
          <w:sz w:val="24"/>
          <w:szCs w:val="24"/>
        </w:rPr>
      </w:pPr>
    </w:p>
    <w:p w14:paraId="7683B265" w14:textId="08C1ED97" w:rsidR="006E5E69" w:rsidRDefault="00F434FC" w:rsidP="000018AA">
      <w:pPr>
        <w:spacing w:after="0" w:line="240" w:lineRule="auto"/>
        <w:ind w:firstLine="708"/>
        <w:jc w:val="both"/>
        <w:rPr>
          <w:rFonts w:ascii="Cambria" w:hAnsi="Cambria" w:cs="Arial"/>
          <w:sz w:val="24"/>
          <w:szCs w:val="24"/>
        </w:rPr>
      </w:pPr>
      <w:r w:rsidRPr="00431183">
        <w:rPr>
          <w:rFonts w:ascii="Cambria" w:hAnsi="Cambria" w:cs="Arial"/>
          <w:sz w:val="24"/>
          <w:szCs w:val="24"/>
        </w:rPr>
        <w:t>Las</w:t>
      </w:r>
      <w:r w:rsidR="007772A4" w:rsidRPr="00431183">
        <w:rPr>
          <w:rFonts w:ascii="Cambria" w:hAnsi="Cambria" w:cs="Arial"/>
          <w:sz w:val="24"/>
          <w:szCs w:val="24"/>
        </w:rPr>
        <w:t xml:space="preserve"> reformas se pueden dimensionar en las siguientes áreas temáticas: Apertura Comercial y liberalización financiera, es decir, los países optaron por estos programas como única solución ante el colapso, lo que implicó una reducción de los aranceles pasando de un promedio del 42,2% a menos de 10% en el 2005 </w:t>
      </w:r>
      <w:sdt>
        <w:sdtPr>
          <w:rPr>
            <w:rFonts w:ascii="Cambria" w:hAnsi="Cambria" w:cs="Arial"/>
            <w:sz w:val="24"/>
            <w:szCs w:val="24"/>
          </w:rPr>
          <w:id w:val="-67035802"/>
          <w:citation/>
        </w:sdtPr>
        <w:sdtEndPr/>
        <w:sdtContent>
          <w:r w:rsidR="005C7CB3" w:rsidRPr="00431183">
            <w:rPr>
              <w:rFonts w:ascii="Cambria" w:hAnsi="Cambria" w:cs="Arial"/>
              <w:sz w:val="24"/>
              <w:szCs w:val="24"/>
            </w:rPr>
            <w:fldChar w:fldCharType="begin"/>
          </w:r>
          <w:r w:rsidR="007772A4" w:rsidRPr="00431183">
            <w:rPr>
              <w:rFonts w:ascii="Cambria" w:hAnsi="Cambria" w:cs="Arial"/>
              <w:sz w:val="24"/>
              <w:szCs w:val="24"/>
            </w:rPr>
            <w:instrText xml:space="preserve">CITATION Lor12 \p 5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(Lora, 2012, pág. 5)</w:t>
          </w:r>
          <w:r w:rsidR="005C7CB3" w:rsidRPr="00431183">
            <w:rPr>
              <w:rFonts w:ascii="Cambria" w:hAnsi="Cambria" w:cs="Arial"/>
              <w:sz w:val="24"/>
              <w:szCs w:val="24"/>
            </w:rPr>
            <w:fldChar w:fldCharType="end"/>
          </w:r>
        </w:sdtContent>
      </w:sdt>
      <w:r w:rsidR="007772A4" w:rsidRPr="00431183">
        <w:rPr>
          <w:rFonts w:ascii="Cambria" w:hAnsi="Cambria" w:cs="Arial"/>
          <w:sz w:val="24"/>
          <w:szCs w:val="24"/>
        </w:rPr>
        <w:t>.</w:t>
      </w:r>
      <w:r w:rsidR="000018AA">
        <w:rPr>
          <w:rFonts w:ascii="Cambria" w:hAnsi="Cambria" w:cs="Arial"/>
          <w:sz w:val="24"/>
          <w:szCs w:val="24"/>
        </w:rPr>
        <w:t xml:space="preserve">  </w:t>
      </w:r>
      <w:r w:rsidR="007772A4" w:rsidRPr="00431183">
        <w:rPr>
          <w:rFonts w:ascii="Cambria" w:hAnsi="Cambria" w:cs="Arial"/>
          <w:sz w:val="24"/>
          <w:szCs w:val="24"/>
        </w:rPr>
        <w:t xml:space="preserve">En este contexto la liberación de la economía </w:t>
      </w:r>
      <w:r w:rsidR="00405FA6" w:rsidRPr="00431183">
        <w:rPr>
          <w:rFonts w:ascii="Cambria" w:hAnsi="Cambria" w:cs="Arial"/>
          <w:sz w:val="24"/>
          <w:szCs w:val="24"/>
        </w:rPr>
        <w:t xml:space="preserve">y reformas financieras buscaron objetivos </w:t>
      </w:r>
      <w:r w:rsidR="007772A4" w:rsidRPr="00431183">
        <w:rPr>
          <w:rFonts w:ascii="Cambria" w:hAnsi="Cambria" w:cs="Arial"/>
          <w:sz w:val="24"/>
          <w:szCs w:val="24"/>
        </w:rPr>
        <w:t xml:space="preserve">de otorgar una mayor libertad de funcionamiento a los intermediarios financieros y reforzar los mecanismos de regulación y supervisión.  </w:t>
      </w:r>
    </w:p>
    <w:p w14:paraId="355FC241" w14:textId="77777777" w:rsidR="000018AA" w:rsidRPr="00431183" w:rsidRDefault="000018AA" w:rsidP="00431183">
      <w:pPr>
        <w:spacing w:after="0" w:line="240" w:lineRule="auto"/>
        <w:ind w:firstLine="708"/>
        <w:jc w:val="both"/>
        <w:rPr>
          <w:rFonts w:ascii="Cambria" w:hAnsi="Cambria" w:cs="Arial"/>
          <w:sz w:val="24"/>
          <w:szCs w:val="24"/>
        </w:rPr>
      </w:pPr>
    </w:p>
    <w:p w14:paraId="35AC114E" w14:textId="5EA4C742" w:rsidR="007772A4" w:rsidRPr="00431183" w:rsidRDefault="007772A4" w:rsidP="00431183">
      <w:pPr>
        <w:spacing w:after="0" w:line="240" w:lineRule="auto"/>
        <w:ind w:firstLine="708"/>
        <w:jc w:val="both"/>
        <w:rPr>
          <w:rFonts w:ascii="Cambria" w:hAnsi="Cambria" w:cs="Arial"/>
          <w:sz w:val="24"/>
          <w:szCs w:val="24"/>
        </w:rPr>
      </w:pPr>
      <w:r w:rsidRPr="00431183">
        <w:rPr>
          <w:rFonts w:ascii="Cambria" w:hAnsi="Cambria" w:cs="Arial"/>
          <w:sz w:val="24"/>
          <w:szCs w:val="24"/>
        </w:rPr>
        <w:t xml:space="preserve">Por consiguiente, se puede distinguir políticas que iban dirigidas al sistema financiero con el propósito de modificar temas como la reducción de los coeficientes de encaje, eliminar controles a las tasas de interés y desmontar mecanismos de inversiones forzosas y créditos dirigidos </w:t>
      </w:r>
      <w:sdt>
        <w:sdtPr>
          <w:rPr>
            <w:rFonts w:ascii="Cambria" w:hAnsi="Cambria" w:cs="Arial"/>
            <w:sz w:val="24"/>
            <w:szCs w:val="24"/>
          </w:rPr>
          <w:id w:val="-1652813338"/>
          <w:citation/>
        </w:sdtPr>
        <w:sdtEndPr/>
        <w:sdtContent>
          <w:r w:rsidR="005C7CB3" w:rsidRPr="00431183">
            <w:rPr>
              <w:rFonts w:ascii="Cambria" w:hAnsi="Cambria" w:cs="Arial"/>
              <w:sz w:val="24"/>
              <w:szCs w:val="24"/>
            </w:rPr>
            <w:fldChar w:fldCharType="begin"/>
          </w:r>
          <w:r w:rsidR="0042201C" w:rsidRPr="00431183">
            <w:rPr>
              <w:rFonts w:ascii="Cambria" w:hAnsi="Cambria" w:cs="Arial"/>
              <w:sz w:val="24"/>
              <w:szCs w:val="24"/>
            </w:rPr>
            <w:instrText xml:space="preserve">CITATION Lor12 \p 7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(Lora, 2012, pág. 7)</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2520A113" w14:textId="18BE8FB8" w:rsidR="007772A4" w:rsidRDefault="007772A4" w:rsidP="00FC2D87">
      <w:pPr>
        <w:spacing w:after="0" w:line="240" w:lineRule="auto"/>
        <w:jc w:val="both"/>
        <w:rPr>
          <w:rFonts w:ascii="Cambria" w:hAnsi="Cambria" w:cs="Arial"/>
          <w:sz w:val="24"/>
          <w:szCs w:val="24"/>
        </w:rPr>
      </w:pPr>
      <w:r w:rsidRPr="00431183">
        <w:rPr>
          <w:rFonts w:ascii="Cambria" w:hAnsi="Cambria" w:cs="Arial"/>
          <w:sz w:val="24"/>
          <w:szCs w:val="24"/>
        </w:rPr>
        <w:t xml:space="preserve"> </w:t>
      </w:r>
      <w:r w:rsidR="006E5E69" w:rsidRPr="00431183">
        <w:rPr>
          <w:rFonts w:ascii="Cambria" w:hAnsi="Cambria" w:cs="Arial"/>
          <w:sz w:val="24"/>
          <w:szCs w:val="24"/>
        </w:rPr>
        <w:tab/>
      </w:r>
      <w:r w:rsidR="003678CB" w:rsidRPr="00431183">
        <w:rPr>
          <w:rFonts w:ascii="Cambria" w:hAnsi="Cambria" w:cs="Arial"/>
          <w:sz w:val="24"/>
          <w:szCs w:val="24"/>
        </w:rPr>
        <w:t>Se plantea otros objetivos como la entrada de nuevos</w:t>
      </w:r>
      <w:r w:rsidRPr="00431183">
        <w:rPr>
          <w:rFonts w:ascii="Cambria" w:hAnsi="Cambria" w:cs="Arial"/>
          <w:sz w:val="24"/>
          <w:szCs w:val="24"/>
        </w:rPr>
        <w:t xml:space="preserve"> agentes económicos a los sistemas fina</w:t>
      </w:r>
      <w:r w:rsidR="003678CB" w:rsidRPr="00431183">
        <w:rPr>
          <w:rFonts w:ascii="Cambria" w:hAnsi="Cambria" w:cs="Arial"/>
          <w:sz w:val="24"/>
          <w:szCs w:val="24"/>
        </w:rPr>
        <w:t xml:space="preserve">ncieros, y el impulso de </w:t>
      </w:r>
      <w:r w:rsidRPr="00431183">
        <w:rPr>
          <w:rFonts w:ascii="Cambria" w:hAnsi="Cambria" w:cs="Arial"/>
          <w:sz w:val="24"/>
          <w:szCs w:val="24"/>
        </w:rPr>
        <w:t>nuevas actividades económicas que les permitieran ser más competitivos obteniend</w:t>
      </w:r>
      <w:r w:rsidR="003678CB" w:rsidRPr="00431183">
        <w:rPr>
          <w:rFonts w:ascii="Cambria" w:hAnsi="Cambria" w:cs="Arial"/>
          <w:sz w:val="24"/>
          <w:szCs w:val="24"/>
        </w:rPr>
        <w:t>o mejores márgenes de utilidad.</w:t>
      </w:r>
      <w:r w:rsidR="000018AA">
        <w:rPr>
          <w:rFonts w:ascii="Cambria" w:hAnsi="Cambria" w:cs="Arial"/>
          <w:sz w:val="24"/>
          <w:szCs w:val="24"/>
        </w:rPr>
        <w:t xml:space="preserve">  </w:t>
      </w:r>
      <w:r w:rsidR="003678CB" w:rsidRPr="00431183">
        <w:rPr>
          <w:rFonts w:ascii="Cambria" w:hAnsi="Cambria" w:cs="Arial"/>
          <w:sz w:val="24"/>
          <w:szCs w:val="24"/>
        </w:rPr>
        <w:t>E</w:t>
      </w:r>
      <w:r w:rsidRPr="00431183">
        <w:rPr>
          <w:rFonts w:ascii="Cambria" w:hAnsi="Cambria" w:cs="Arial"/>
          <w:sz w:val="24"/>
          <w:szCs w:val="24"/>
        </w:rPr>
        <w:t xml:space="preserve">n </w:t>
      </w:r>
      <w:r w:rsidR="003678CB" w:rsidRPr="00431183">
        <w:rPr>
          <w:rFonts w:ascii="Cambria" w:hAnsi="Cambria" w:cs="Arial"/>
          <w:sz w:val="24"/>
          <w:szCs w:val="24"/>
        </w:rPr>
        <w:t xml:space="preserve">el </w:t>
      </w:r>
      <w:r w:rsidR="00CC3C60" w:rsidRPr="00431183">
        <w:rPr>
          <w:rFonts w:ascii="Cambria" w:hAnsi="Cambria" w:cs="Arial"/>
          <w:sz w:val="24"/>
          <w:szCs w:val="24"/>
        </w:rPr>
        <w:t>proceso se</w:t>
      </w:r>
      <w:r w:rsidRPr="00431183">
        <w:rPr>
          <w:rFonts w:ascii="Cambria" w:hAnsi="Cambria" w:cs="Arial"/>
          <w:sz w:val="24"/>
          <w:szCs w:val="24"/>
        </w:rPr>
        <w:t xml:space="preserve"> descuidan a sectores </w:t>
      </w:r>
      <w:r w:rsidR="00CC3C60" w:rsidRPr="00431183">
        <w:rPr>
          <w:rFonts w:ascii="Cambria" w:hAnsi="Cambria" w:cs="Arial"/>
          <w:sz w:val="24"/>
          <w:szCs w:val="24"/>
        </w:rPr>
        <w:t xml:space="preserve">tradicionales que </w:t>
      </w:r>
      <w:r w:rsidR="00C967FB" w:rsidRPr="00431183">
        <w:rPr>
          <w:rFonts w:ascii="Cambria" w:hAnsi="Cambria" w:cs="Arial"/>
          <w:sz w:val="24"/>
          <w:szCs w:val="24"/>
        </w:rPr>
        <w:t>no son</w:t>
      </w:r>
      <w:r w:rsidRPr="00431183">
        <w:rPr>
          <w:rFonts w:ascii="Cambria" w:hAnsi="Cambria" w:cs="Arial"/>
          <w:sz w:val="24"/>
          <w:szCs w:val="24"/>
        </w:rPr>
        <w:t xml:space="preserve"> estratégicamente importantes, lo anterior siembra los cimientos de políticas verticales con beneficios </w:t>
      </w:r>
      <w:r w:rsidRPr="00431183">
        <w:rPr>
          <w:rFonts w:ascii="Cambria" w:hAnsi="Cambria" w:cs="Arial"/>
          <w:sz w:val="24"/>
          <w:szCs w:val="24"/>
        </w:rPr>
        <w:lastRenderedPageBreak/>
        <w:t>relativos y cualitativos, pero a la vez actividades económicas desarrolladas en las áreas rurales que se ven afectadas debido al cambio de objetivos</w:t>
      </w:r>
      <w:r w:rsidR="0093276D" w:rsidRPr="00431183">
        <w:rPr>
          <w:rFonts w:ascii="Cambria" w:hAnsi="Cambria" w:cs="Arial"/>
          <w:sz w:val="24"/>
          <w:szCs w:val="24"/>
        </w:rPr>
        <w:t xml:space="preserve"> </w:t>
      </w:r>
      <w:sdt>
        <w:sdtPr>
          <w:rPr>
            <w:rFonts w:ascii="Cambria" w:hAnsi="Cambria" w:cs="Arial"/>
            <w:sz w:val="24"/>
            <w:szCs w:val="24"/>
          </w:rPr>
          <w:id w:val="1511416206"/>
          <w:citation/>
        </w:sdtPr>
        <w:sdtEndPr/>
        <w:sdtContent>
          <w:r w:rsidR="005C7CB3" w:rsidRPr="00431183">
            <w:rPr>
              <w:rFonts w:ascii="Cambria" w:hAnsi="Cambria" w:cs="Arial"/>
              <w:sz w:val="24"/>
              <w:szCs w:val="24"/>
            </w:rPr>
            <w:fldChar w:fldCharType="begin"/>
          </w:r>
          <w:r w:rsidR="0093276D" w:rsidRPr="00431183">
            <w:rPr>
              <w:rFonts w:ascii="Cambria" w:hAnsi="Cambria" w:cs="Arial"/>
              <w:sz w:val="24"/>
              <w:szCs w:val="24"/>
            </w:rPr>
            <w:instrText xml:space="preserve">CITATION Correa \t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(Correa, 2006)</w:t>
          </w:r>
          <w:r w:rsidR="005C7CB3" w:rsidRPr="00431183">
            <w:rPr>
              <w:rFonts w:ascii="Cambria" w:hAnsi="Cambria" w:cs="Arial"/>
              <w:sz w:val="24"/>
              <w:szCs w:val="24"/>
            </w:rPr>
            <w:fldChar w:fldCharType="end"/>
          </w:r>
        </w:sdtContent>
      </w:sdt>
      <w:r w:rsidR="0093276D" w:rsidRPr="00431183">
        <w:rPr>
          <w:rFonts w:ascii="Cambria" w:hAnsi="Cambria" w:cs="Arial"/>
          <w:sz w:val="24"/>
          <w:szCs w:val="24"/>
        </w:rPr>
        <w:t>.</w:t>
      </w:r>
    </w:p>
    <w:p w14:paraId="6FD0112B" w14:textId="77777777" w:rsidR="000018AA" w:rsidRPr="00431183" w:rsidRDefault="000018AA" w:rsidP="00431183">
      <w:pPr>
        <w:spacing w:after="0" w:line="240" w:lineRule="auto"/>
        <w:jc w:val="both"/>
        <w:rPr>
          <w:rFonts w:ascii="Cambria" w:hAnsi="Cambria" w:cs="Arial"/>
          <w:sz w:val="24"/>
          <w:szCs w:val="24"/>
        </w:rPr>
      </w:pPr>
    </w:p>
    <w:p w14:paraId="1C2F9276" w14:textId="77777777" w:rsidR="00537DF8" w:rsidRDefault="00D174D2" w:rsidP="00FC2D87">
      <w:pPr>
        <w:pStyle w:val="Ttulo2"/>
        <w:spacing w:line="240" w:lineRule="auto"/>
        <w:rPr>
          <w:rFonts w:ascii="Cambria" w:hAnsi="Cambria" w:cs="Arial"/>
          <w:b/>
          <w:color w:val="auto"/>
          <w:sz w:val="24"/>
          <w:szCs w:val="24"/>
        </w:rPr>
      </w:pPr>
      <w:bookmarkStart w:id="60" w:name="_Toc527576943"/>
      <w:r>
        <w:rPr>
          <w:rFonts w:ascii="Cambria" w:hAnsi="Cambria" w:cs="Arial"/>
          <w:b/>
          <w:color w:val="auto"/>
          <w:sz w:val="24"/>
          <w:szCs w:val="24"/>
        </w:rPr>
        <w:t>1.2.7</w:t>
      </w:r>
      <w:r w:rsidR="007772A4" w:rsidRPr="00431183">
        <w:rPr>
          <w:rFonts w:ascii="Cambria" w:hAnsi="Cambria" w:cs="Arial"/>
          <w:b/>
          <w:color w:val="auto"/>
          <w:sz w:val="24"/>
          <w:szCs w:val="24"/>
        </w:rPr>
        <w:t xml:space="preserve"> Antecedentes de Banca para el Desarrollo en Costa Rica</w:t>
      </w:r>
      <w:bookmarkEnd w:id="60"/>
    </w:p>
    <w:p w14:paraId="68128BD0" w14:textId="77777777" w:rsidR="000018AA" w:rsidRPr="00431183" w:rsidRDefault="000018AA" w:rsidP="00431183"/>
    <w:p w14:paraId="2A8A8753" w14:textId="6F6F6EA6" w:rsidR="00537DF8" w:rsidRDefault="00537DF8" w:rsidP="00FC2D87">
      <w:pPr>
        <w:spacing w:after="0" w:line="240" w:lineRule="auto"/>
        <w:ind w:firstLine="708"/>
        <w:jc w:val="both"/>
        <w:rPr>
          <w:rFonts w:ascii="Cambria" w:hAnsi="Cambria" w:cs="Arial"/>
          <w:sz w:val="24"/>
          <w:szCs w:val="24"/>
        </w:rPr>
      </w:pPr>
      <w:r w:rsidRPr="00431183">
        <w:rPr>
          <w:rFonts w:ascii="Cambria" w:hAnsi="Cambria" w:cs="Arial"/>
          <w:sz w:val="24"/>
          <w:szCs w:val="24"/>
        </w:rPr>
        <w:t xml:space="preserve">Los procesos de financiamiento e intermediación financiera en Costa Rica se desarrollaron desde mediados del siglo XIX, con el financiamiento cafetalero y la aparición de los primeros bancos emisores y de intermediación entre 1863 y 1936, hasta la consolidación de operadores globales en el mercado local </w:t>
      </w:r>
      <w:sdt>
        <w:sdtPr>
          <w:rPr>
            <w:rFonts w:ascii="Cambria" w:hAnsi="Cambria" w:cs="Arial"/>
            <w:sz w:val="24"/>
            <w:szCs w:val="24"/>
          </w:rPr>
          <w:id w:val="125745413"/>
          <w:citation/>
        </w:sdtPr>
        <w:sdtEndPr/>
        <w:sdtContent>
          <w:r w:rsidR="005C7CB3" w:rsidRPr="00431183">
            <w:rPr>
              <w:rFonts w:ascii="Cambria" w:hAnsi="Cambria" w:cs="Arial"/>
              <w:sz w:val="24"/>
              <w:szCs w:val="24"/>
            </w:rPr>
            <w:fldChar w:fldCharType="begin"/>
          </w:r>
          <w:r w:rsidR="00F507BE">
            <w:rPr>
              <w:rFonts w:ascii="Cambria" w:hAnsi="Cambria" w:cs="Arial"/>
              <w:sz w:val="24"/>
              <w:szCs w:val="24"/>
            </w:rPr>
            <w:instrText xml:space="preserve">CITATION Cam14 \p 7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(Camacho, 2014, pág. 7)</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1F76500C" w14:textId="77777777" w:rsidR="000018AA" w:rsidRPr="00431183" w:rsidRDefault="000018AA" w:rsidP="00431183">
      <w:pPr>
        <w:spacing w:after="0" w:line="240" w:lineRule="auto"/>
        <w:ind w:firstLine="708"/>
        <w:jc w:val="both"/>
        <w:rPr>
          <w:rFonts w:ascii="Cambria" w:hAnsi="Cambria" w:cs="Arial"/>
          <w:sz w:val="24"/>
          <w:szCs w:val="24"/>
        </w:rPr>
      </w:pPr>
    </w:p>
    <w:p w14:paraId="18E9AE7C" w14:textId="77777777" w:rsidR="00FA4225" w:rsidRDefault="00537DF8" w:rsidP="00431183">
      <w:pPr>
        <w:spacing w:after="0" w:line="240" w:lineRule="auto"/>
        <w:ind w:firstLine="708"/>
        <w:jc w:val="both"/>
        <w:rPr>
          <w:rFonts w:ascii="Cambria" w:hAnsi="Cambria" w:cs="Arial"/>
          <w:sz w:val="24"/>
          <w:szCs w:val="24"/>
        </w:rPr>
      </w:pPr>
      <w:r w:rsidRPr="00431183">
        <w:rPr>
          <w:rFonts w:ascii="Cambria" w:hAnsi="Cambria" w:cs="Arial"/>
          <w:sz w:val="24"/>
          <w:szCs w:val="24"/>
        </w:rPr>
        <w:t xml:space="preserve">El proceso de legislación y regulación formal del sistema financiero relevante data de 1948, con el Decreto Ley 71 del 21 de junio de 1948, conocido como la Ley de Nacionalización Bancaria, el cual estableció el monopolio a favor de las instituciones bancarias del Estado para captar recursos del público, desde entonces y hasta 1984, se establecieron las normas para la operación de diferentes intermediarios financieros, y bancos creados por leyes especiales. </w:t>
      </w:r>
    </w:p>
    <w:p w14:paraId="57D78185" w14:textId="77777777" w:rsidR="00F507BE" w:rsidRPr="00431183" w:rsidRDefault="00F507BE" w:rsidP="00431183">
      <w:pPr>
        <w:spacing w:after="0" w:line="240" w:lineRule="auto"/>
        <w:ind w:firstLine="708"/>
        <w:jc w:val="both"/>
        <w:rPr>
          <w:rFonts w:ascii="Cambria" w:hAnsi="Cambria" w:cs="Arial"/>
          <w:sz w:val="24"/>
          <w:szCs w:val="24"/>
        </w:rPr>
      </w:pPr>
    </w:p>
    <w:p w14:paraId="0190A72F" w14:textId="77777777" w:rsidR="006360F1" w:rsidRDefault="006360F1" w:rsidP="00431183">
      <w:pPr>
        <w:spacing w:after="0" w:line="240" w:lineRule="auto"/>
        <w:ind w:firstLine="708"/>
        <w:jc w:val="both"/>
        <w:rPr>
          <w:rFonts w:ascii="Cambria" w:hAnsi="Cambria" w:cs="Arial"/>
          <w:sz w:val="24"/>
          <w:szCs w:val="24"/>
        </w:rPr>
      </w:pPr>
      <w:r w:rsidRPr="00431183">
        <w:rPr>
          <w:rFonts w:ascii="Cambria" w:hAnsi="Cambria" w:cs="Arial"/>
          <w:sz w:val="24"/>
          <w:szCs w:val="24"/>
        </w:rPr>
        <w:t xml:space="preserve">A </w:t>
      </w:r>
      <w:r w:rsidR="00537DF8" w:rsidRPr="00431183">
        <w:rPr>
          <w:rFonts w:ascii="Cambria" w:hAnsi="Cambria" w:cs="Arial"/>
          <w:sz w:val="24"/>
          <w:szCs w:val="24"/>
        </w:rPr>
        <w:t>partir de 1984, se inicia un proceso de flexibilización en cuanto a la operación del sistema financiero (precios, comisiones, topes de cartera, leyes No. 6950</w:t>
      </w:r>
      <w:r w:rsidR="00B62822" w:rsidRPr="00431183">
        <w:rPr>
          <w:rFonts w:ascii="Cambria" w:hAnsi="Cambria" w:cs="Arial"/>
          <w:sz w:val="24"/>
          <w:szCs w:val="24"/>
        </w:rPr>
        <w:t>,</w:t>
      </w:r>
      <w:r w:rsidR="00537DF8" w:rsidRPr="00431183">
        <w:rPr>
          <w:rFonts w:ascii="Cambria" w:hAnsi="Cambria" w:cs="Arial"/>
          <w:sz w:val="24"/>
          <w:szCs w:val="24"/>
        </w:rPr>
        <w:t xml:space="preserve"> 6965, y normativa del B</w:t>
      </w:r>
      <w:r w:rsidR="00E4777D" w:rsidRPr="00431183">
        <w:rPr>
          <w:rFonts w:ascii="Cambria" w:hAnsi="Cambria" w:cs="Arial"/>
          <w:sz w:val="24"/>
          <w:szCs w:val="24"/>
        </w:rPr>
        <w:t xml:space="preserve">anco </w:t>
      </w:r>
      <w:r w:rsidR="00537DF8" w:rsidRPr="00431183">
        <w:rPr>
          <w:rFonts w:ascii="Cambria" w:hAnsi="Cambria" w:cs="Arial"/>
          <w:sz w:val="24"/>
          <w:szCs w:val="24"/>
        </w:rPr>
        <w:t>C</w:t>
      </w:r>
      <w:r w:rsidR="00E4777D" w:rsidRPr="00431183">
        <w:rPr>
          <w:rFonts w:ascii="Cambria" w:hAnsi="Cambria" w:cs="Arial"/>
          <w:sz w:val="24"/>
          <w:szCs w:val="24"/>
        </w:rPr>
        <w:t xml:space="preserve">entral de </w:t>
      </w:r>
      <w:r w:rsidR="00537DF8" w:rsidRPr="00431183">
        <w:rPr>
          <w:rFonts w:ascii="Cambria" w:hAnsi="Cambria" w:cs="Arial"/>
          <w:sz w:val="24"/>
          <w:szCs w:val="24"/>
        </w:rPr>
        <w:t>C</w:t>
      </w:r>
      <w:r w:rsidR="00E4777D" w:rsidRPr="00431183">
        <w:rPr>
          <w:rFonts w:ascii="Cambria" w:hAnsi="Cambria" w:cs="Arial"/>
          <w:sz w:val="24"/>
          <w:szCs w:val="24"/>
        </w:rPr>
        <w:t xml:space="preserve">osta </w:t>
      </w:r>
      <w:r w:rsidR="00537DF8" w:rsidRPr="00431183">
        <w:rPr>
          <w:rFonts w:ascii="Cambria" w:hAnsi="Cambria" w:cs="Arial"/>
          <w:sz w:val="24"/>
          <w:szCs w:val="24"/>
        </w:rPr>
        <w:t>R</w:t>
      </w:r>
      <w:r w:rsidR="00E4777D" w:rsidRPr="00431183">
        <w:rPr>
          <w:rFonts w:ascii="Cambria" w:hAnsi="Cambria" w:cs="Arial"/>
          <w:sz w:val="24"/>
          <w:szCs w:val="24"/>
        </w:rPr>
        <w:t>ica (BCCR</w:t>
      </w:r>
      <w:r w:rsidR="00537DF8" w:rsidRPr="00431183">
        <w:rPr>
          <w:rFonts w:ascii="Cambria" w:hAnsi="Cambria" w:cs="Arial"/>
          <w:sz w:val="24"/>
          <w:szCs w:val="24"/>
        </w:rPr>
        <w:t>)</w:t>
      </w:r>
      <w:r w:rsidR="00E4777D" w:rsidRPr="00431183">
        <w:rPr>
          <w:rFonts w:ascii="Cambria" w:hAnsi="Cambria" w:cs="Arial"/>
          <w:sz w:val="24"/>
          <w:szCs w:val="24"/>
        </w:rPr>
        <w:t>)</w:t>
      </w:r>
      <w:r w:rsidR="00537DF8" w:rsidRPr="00431183">
        <w:rPr>
          <w:rFonts w:ascii="Cambria" w:hAnsi="Cambria" w:cs="Arial"/>
          <w:sz w:val="24"/>
          <w:szCs w:val="24"/>
        </w:rPr>
        <w:t>, así como en cuanto</w:t>
      </w:r>
      <w:r w:rsidR="00E4777D" w:rsidRPr="00431183">
        <w:rPr>
          <w:rFonts w:ascii="Cambria" w:hAnsi="Cambria" w:cs="Arial"/>
          <w:sz w:val="24"/>
          <w:szCs w:val="24"/>
        </w:rPr>
        <w:t>,</w:t>
      </w:r>
      <w:r w:rsidR="00537DF8" w:rsidRPr="00431183">
        <w:rPr>
          <w:rFonts w:ascii="Cambria" w:hAnsi="Cambria" w:cs="Arial"/>
          <w:sz w:val="24"/>
          <w:szCs w:val="24"/>
        </w:rPr>
        <w:t xml:space="preserve"> al acceso </w:t>
      </w:r>
      <w:r w:rsidR="00E4777D" w:rsidRPr="00431183">
        <w:rPr>
          <w:rFonts w:ascii="Cambria" w:hAnsi="Cambria" w:cs="Arial"/>
          <w:sz w:val="24"/>
          <w:szCs w:val="24"/>
        </w:rPr>
        <w:t xml:space="preserve">y </w:t>
      </w:r>
      <w:r w:rsidR="00537DF8" w:rsidRPr="00431183">
        <w:rPr>
          <w:rFonts w:ascii="Cambria" w:hAnsi="Cambria" w:cs="Arial"/>
          <w:sz w:val="24"/>
          <w:szCs w:val="24"/>
        </w:rPr>
        <w:t xml:space="preserve">uso de fondos provenientes del exterior para la banca privada. Este proceso continúa con la Ley de Modernización del Sistema Financiero en 1988 (No. 7107), y la nueva Ley Orgánica del Banco Central (No. 7558), </w:t>
      </w:r>
      <w:r w:rsidRPr="00431183">
        <w:rPr>
          <w:rFonts w:ascii="Cambria" w:hAnsi="Cambria" w:cs="Arial"/>
          <w:sz w:val="24"/>
          <w:szCs w:val="24"/>
        </w:rPr>
        <w:t>la cual da mayor independencia al BCCR, e introduce importantes medidas de reforma y liberalización en el sistema financiero, entre ellas, el acceso de los bancos privados a los depósitos en cuenta corriente.</w:t>
      </w:r>
    </w:p>
    <w:p w14:paraId="256A5DB7" w14:textId="77777777" w:rsidR="00F507BE" w:rsidRPr="00431183" w:rsidRDefault="00F507BE" w:rsidP="00431183">
      <w:pPr>
        <w:spacing w:after="0" w:line="240" w:lineRule="auto"/>
        <w:ind w:firstLine="708"/>
        <w:jc w:val="both"/>
        <w:rPr>
          <w:rFonts w:ascii="Cambria" w:hAnsi="Cambria" w:cs="Arial"/>
          <w:sz w:val="24"/>
          <w:szCs w:val="24"/>
        </w:rPr>
      </w:pPr>
    </w:p>
    <w:p w14:paraId="7C99EC53" w14:textId="77777777" w:rsidR="006E5E69" w:rsidRPr="00431183" w:rsidRDefault="006360F1" w:rsidP="00431183">
      <w:pPr>
        <w:spacing w:after="0" w:line="240" w:lineRule="auto"/>
        <w:ind w:firstLine="708"/>
        <w:jc w:val="both"/>
        <w:rPr>
          <w:rFonts w:ascii="Cambria" w:hAnsi="Cambria" w:cs="Arial"/>
          <w:sz w:val="24"/>
          <w:szCs w:val="24"/>
        </w:rPr>
      </w:pPr>
      <w:r w:rsidRPr="00431183">
        <w:rPr>
          <w:rFonts w:ascii="Cambria" w:hAnsi="Cambria" w:cs="Arial"/>
          <w:sz w:val="24"/>
          <w:szCs w:val="24"/>
        </w:rPr>
        <w:t>Los cambios más recientes en las últimas dos décadas también incluyen la Ley Reguladora del Mercado de Valores de 1990, y su reforma de 1997</w:t>
      </w:r>
      <w:r w:rsidR="00E4777D" w:rsidRPr="00431183">
        <w:rPr>
          <w:rFonts w:ascii="Cambria" w:hAnsi="Cambria" w:cs="Arial"/>
          <w:sz w:val="24"/>
          <w:szCs w:val="24"/>
        </w:rPr>
        <w:t>,</w:t>
      </w:r>
      <w:r w:rsidRPr="00431183">
        <w:rPr>
          <w:rFonts w:ascii="Cambria" w:hAnsi="Cambria" w:cs="Arial"/>
          <w:sz w:val="24"/>
          <w:szCs w:val="24"/>
        </w:rPr>
        <w:t xml:space="preserve"> la cual busca el desarrollo y profundización de los mercados financieros y el fortalecimiento del ámbito y alcance de la supervisión, así como la Ley Reguladora del Mercado de Seguros (2008), que establece condiciones para el desarrollo y competencia del mercado de seguros. A estas se ha sumado la Ley 8204 (2002), que vela por el control de delitos relacionados con el lavado de dinero y el financiamiento del terrorismo.</w:t>
      </w:r>
    </w:p>
    <w:p w14:paraId="380C365C" w14:textId="2B2471EB" w:rsidR="006360F1" w:rsidRPr="00431183" w:rsidRDefault="006360F1" w:rsidP="00431183">
      <w:pPr>
        <w:spacing w:after="0" w:line="240" w:lineRule="auto"/>
        <w:ind w:firstLine="708"/>
        <w:jc w:val="both"/>
        <w:rPr>
          <w:rFonts w:ascii="Cambria" w:hAnsi="Cambria" w:cs="Arial"/>
          <w:sz w:val="24"/>
          <w:szCs w:val="24"/>
        </w:rPr>
      </w:pPr>
      <w:r w:rsidRPr="00431183">
        <w:rPr>
          <w:rFonts w:ascii="Cambria" w:hAnsi="Cambria" w:cs="Arial"/>
          <w:sz w:val="24"/>
          <w:szCs w:val="24"/>
        </w:rPr>
        <w:t>Es precisamente en el año 2008 cuando se crea, el Sistema de Banca para el Desarrollo (SBD), como un mecanismo para financiar e impulsar proyectos productivos, viables y factibles técnica</w:t>
      </w:r>
      <w:r w:rsidR="00E4777D" w:rsidRPr="00431183">
        <w:rPr>
          <w:rFonts w:ascii="Cambria" w:hAnsi="Cambria" w:cs="Arial"/>
          <w:sz w:val="24"/>
          <w:szCs w:val="24"/>
        </w:rPr>
        <w:t>mente</w:t>
      </w:r>
      <w:r w:rsidRPr="00431183">
        <w:rPr>
          <w:rFonts w:ascii="Cambria" w:hAnsi="Cambria" w:cs="Arial"/>
          <w:sz w:val="24"/>
          <w:szCs w:val="24"/>
        </w:rPr>
        <w:t xml:space="preserve"> y económicamente, acordes con el modelo de desarrollo del país en lo referente a la movilidad social de los grupos objeto de esta ley </w:t>
      </w:r>
      <w:sdt>
        <w:sdtPr>
          <w:rPr>
            <w:rFonts w:ascii="Cambria" w:hAnsi="Cambria" w:cs="Arial"/>
            <w:sz w:val="24"/>
            <w:szCs w:val="24"/>
          </w:rPr>
          <w:id w:val="1850911307"/>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 CITATION Cam14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(Camacho, 2014)</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478E2F94" w14:textId="77777777" w:rsidR="00DD23EF" w:rsidRPr="00F507BE" w:rsidRDefault="00850683" w:rsidP="00F507BE">
      <w:pPr>
        <w:spacing w:after="0" w:line="240" w:lineRule="auto"/>
        <w:ind w:firstLine="708"/>
        <w:jc w:val="both"/>
        <w:rPr>
          <w:rFonts w:ascii="Cambria" w:hAnsi="Cambria" w:cs="Arial"/>
          <w:sz w:val="24"/>
          <w:szCs w:val="24"/>
        </w:rPr>
      </w:pPr>
      <w:r w:rsidRPr="00431183">
        <w:rPr>
          <w:rFonts w:ascii="Cambria" w:hAnsi="Cambria" w:cs="Arial"/>
          <w:sz w:val="24"/>
          <w:szCs w:val="24"/>
        </w:rPr>
        <w:t>El SBD</w:t>
      </w:r>
      <w:r w:rsidR="001F59B9" w:rsidRPr="00431183">
        <w:rPr>
          <w:rFonts w:ascii="Cambria" w:hAnsi="Cambria" w:cs="Arial"/>
          <w:sz w:val="24"/>
          <w:szCs w:val="24"/>
        </w:rPr>
        <w:t xml:space="preserve"> canaliza los recursos a través de operadores financieros acreditados, por lo que no atiende solicitudes de crédito en su oficina. Tiene su fundamento legal en la Ley 9274 o “Ley de Reforma Integral de la Ley 8634, Ley del Sistema de Banca para el Desarrollo, y Reforma de otras Leyes”.</w:t>
      </w:r>
    </w:p>
    <w:p w14:paraId="34C41789" w14:textId="11661B11" w:rsidR="00AE07A1" w:rsidRDefault="00D174D2" w:rsidP="00AF1E1D">
      <w:pPr>
        <w:pStyle w:val="Ttulo1"/>
        <w:spacing w:line="240" w:lineRule="auto"/>
        <w:jc w:val="both"/>
        <w:rPr>
          <w:rFonts w:ascii="Cambria" w:hAnsi="Cambria" w:cs="Arial"/>
          <w:b/>
          <w:color w:val="auto"/>
          <w:sz w:val="24"/>
          <w:szCs w:val="24"/>
        </w:rPr>
      </w:pPr>
      <w:bookmarkStart w:id="61" w:name="_Toc527576944"/>
      <w:r>
        <w:rPr>
          <w:rFonts w:ascii="Cambria" w:hAnsi="Cambria" w:cs="Arial"/>
          <w:b/>
          <w:color w:val="auto"/>
          <w:sz w:val="24"/>
          <w:szCs w:val="24"/>
        </w:rPr>
        <w:lastRenderedPageBreak/>
        <w:t>1.3</w:t>
      </w:r>
      <w:r w:rsidR="0009604A" w:rsidRPr="00431183">
        <w:rPr>
          <w:rFonts w:ascii="Cambria" w:hAnsi="Cambria" w:cs="Arial"/>
          <w:b/>
          <w:color w:val="auto"/>
          <w:sz w:val="24"/>
          <w:szCs w:val="24"/>
        </w:rPr>
        <w:t xml:space="preserve"> </w:t>
      </w:r>
      <w:r w:rsidR="0009604A">
        <w:rPr>
          <w:rFonts w:ascii="Cambria" w:hAnsi="Cambria" w:cs="Arial"/>
          <w:b/>
          <w:color w:val="auto"/>
          <w:sz w:val="24"/>
          <w:szCs w:val="24"/>
        </w:rPr>
        <w:t>J</w:t>
      </w:r>
      <w:r w:rsidR="0009604A" w:rsidRPr="00431183">
        <w:rPr>
          <w:rFonts w:ascii="Cambria" w:hAnsi="Cambria" w:cs="Arial"/>
          <w:b/>
          <w:color w:val="auto"/>
          <w:sz w:val="24"/>
          <w:szCs w:val="24"/>
        </w:rPr>
        <w:t>ustificación</w:t>
      </w:r>
      <w:r w:rsidR="0009604A">
        <w:rPr>
          <w:rFonts w:ascii="Cambria" w:hAnsi="Cambria" w:cs="Arial"/>
          <w:b/>
          <w:color w:val="auto"/>
          <w:sz w:val="24"/>
          <w:szCs w:val="24"/>
        </w:rPr>
        <w:t xml:space="preserve"> y planteamiento del problema</w:t>
      </w:r>
      <w:bookmarkEnd w:id="61"/>
    </w:p>
    <w:p w14:paraId="61C7A348" w14:textId="77777777" w:rsidR="00D174D2" w:rsidRPr="00431183" w:rsidRDefault="00D174D2" w:rsidP="00431183">
      <w:pPr>
        <w:rPr>
          <w:lang w:eastAsia="es-CR"/>
        </w:rPr>
      </w:pPr>
    </w:p>
    <w:p w14:paraId="0E3B4E62" w14:textId="494CB289" w:rsidR="002116DA" w:rsidRDefault="002116DA" w:rsidP="00F507BE">
      <w:pPr>
        <w:spacing w:line="240" w:lineRule="auto"/>
        <w:ind w:firstLine="708"/>
        <w:jc w:val="both"/>
        <w:rPr>
          <w:rFonts w:ascii="Cambria" w:hAnsi="Cambria" w:cs="Arial"/>
          <w:sz w:val="24"/>
          <w:szCs w:val="24"/>
        </w:rPr>
      </w:pPr>
      <w:r>
        <w:rPr>
          <w:rFonts w:ascii="Cambria" w:hAnsi="Cambria" w:cs="Arial"/>
          <w:sz w:val="24"/>
          <w:szCs w:val="24"/>
        </w:rPr>
        <w:t>Actualmente las producciones locales se enfrentan a una serie de disyuntivas</w:t>
      </w:r>
      <w:r w:rsidR="000530F6">
        <w:rPr>
          <w:rFonts w:ascii="Cambria" w:hAnsi="Cambria" w:cs="Arial"/>
          <w:sz w:val="24"/>
          <w:szCs w:val="24"/>
        </w:rPr>
        <w:t xml:space="preserve">, entre ellas a las </w:t>
      </w:r>
      <w:r>
        <w:rPr>
          <w:rFonts w:ascii="Cambria" w:hAnsi="Cambria" w:cs="Arial"/>
          <w:sz w:val="24"/>
          <w:szCs w:val="24"/>
        </w:rPr>
        <w:t xml:space="preserve">asociadas a la producción local  en medio de panoramas de apertura económica, a la necesaria búsqueda elementos diferenciadores </w:t>
      </w:r>
      <w:r w:rsidR="000530F6">
        <w:rPr>
          <w:rFonts w:ascii="Cambria" w:hAnsi="Cambria" w:cs="Arial"/>
          <w:sz w:val="24"/>
          <w:szCs w:val="24"/>
        </w:rPr>
        <w:t xml:space="preserve"> </w:t>
      </w:r>
      <w:r>
        <w:rPr>
          <w:rFonts w:ascii="Cambria" w:hAnsi="Cambria" w:cs="Arial"/>
          <w:sz w:val="24"/>
          <w:szCs w:val="24"/>
        </w:rPr>
        <w:t>que les permita</w:t>
      </w:r>
      <w:r w:rsidR="000530F6">
        <w:rPr>
          <w:rFonts w:ascii="Cambria" w:hAnsi="Cambria" w:cs="Arial"/>
          <w:sz w:val="24"/>
          <w:szCs w:val="24"/>
        </w:rPr>
        <w:t xml:space="preserve"> desenvolverse en los mercados actuales, como también la búsqueda de nuevos mercados para la comercialización. </w:t>
      </w:r>
      <w:r>
        <w:rPr>
          <w:rFonts w:ascii="Cambria" w:hAnsi="Cambria" w:cs="Arial"/>
          <w:sz w:val="24"/>
          <w:szCs w:val="24"/>
        </w:rPr>
        <w:t xml:space="preserve"> </w:t>
      </w:r>
    </w:p>
    <w:p w14:paraId="42CFEA0E" w14:textId="4FBC49F8" w:rsidR="00F507BE" w:rsidRPr="00431183" w:rsidRDefault="00F507BE" w:rsidP="00F507BE">
      <w:pPr>
        <w:spacing w:line="240" w:lineRule="auto"/>
        <w:ind w:firstLine="708"/>
        <w:jc w:val="both"/>
        <w:rPr>
          <w:rFonts w:ascii="Cambria" w:hAnsi="Cambria" w:cs="Arial"/>
          <w:sz w:val="24"/>
          <w:szCs w:val="24"/>
        </w:rPr>
      </w:pPr>
      <w:r w:rsidRPr="00431183">
        <w:rPr>
          <w:rFonts w:ascii="Cambria" w:hAnsi="Cambria" w:cs="Arial"/>
          <w:sz w:val="24"/>
          <w:szCs w:val="24"/>
        </w:rPr>
        <w:t xml:space="preserve">El crecimiento económico y desarrollo, por lo general </w:t>
      </w:r>
      <w:r w:rsidR="008A692F">
        <w:rPr>
          <w:rFonts w:ascii="Cambria" w:hAnsi="Cambria" w:cs="Arial"/>
          <w:sz w:val="24"/>
          <w:szCs w:val="24"/>
        </w:rPr>
        <w:t>es</w:t>
      </w:r>
      <w:r w:rsidRPr="00431183">
        <w:rPr>
          <w:rFonts w:ascii="Cambria" w:hAnsi="Cambria" w:cs="Arial"/>
          <w:sz w:val="24"/>
          <w:szCs w:val="24"/>
        </w:rPr>
        <w:t xml:space="preserve"> asociado a macro-variables</w:t>
      </w:r>
      <w:r w:rsidR="008A692F">
        <w:rPr>
          <w:rFonts w:ascii="Cambria" w:hAnsi="Cambria" w:cs="Arial"/>
          <w:sz w:val="24"/>
          <w:szCs w:val="24"/>
        </w:rPr>
        <w:t>; junto con sus objetivos</w:t>
      </w:r>
      <w:r w:rsidRPr="00431183">
        <w:rPr>
          <w:rFonts w:ascii="Cambria" w:hAnsi="Cambria" w:cs="Arial"/>
          <w:sz w:val="24"/>
          <w:szCs w:val="24"/>
        </w:rPr>
        <w:t xml:space="preserve"> estabilida</w:t>
      </w:r>
      <w:r w:rsidR="008A692F">
        <w:rPr>
          <w:rFonts w:ascii="Cambria" w:hAnsi="Cambria" w:cs="Arial"/>
          <w:sz w:val="24"/>
          <w:szCs w:val="24"/>
        </w:rPr>
        <w:t>d</w:t>
      </w:r>
      <w:r w:rsidRPr="00431183">
        <w:rPr>
          <w:rFonts w:ascii="Cambria" w:hAnsi="Cambria" w:cs="Arial"/>
          <w:sz w:val="24"/>
          <w:szCs w:val="24"/>
        </w:rPr>
        <w:t>, por</w:t>
      </w:r>
      <w:r>
        <w:rPr>
          <w:rFonts w:ascii="Cambria" w:hAnsi="Cambria" w:cs="Arial"/>
          <w:sz w:val="24"/>
          <w:szCs w:val="24"/>
        </w:rPr>
        <w:t xml:space="preserve"> ende, una de las congruencias que se definen al momento de formular </w:t>
      </w:r>
      <w:r w:rsidRPr="00431183">
        <w:rPr>
          <w:rFonts w:ascii="Cambria" w:hAnsi="Cambria" w:cs="Arial"/>
          <w:sz w:val="24"/>
          <w:szCs w:val="24"/>
        </w:rPr>
        <w:t>la política económica</w:t>
      </w:r>
      <w:r w:rsidR="002116DA">
        <w:rPr>
          <w:rFonts w:ascii="Cambria" w:hAnsi="Cambria" w:cs="Arial"/>
          <w:sz w:val="24"/>
          <w:szCs w:val="24"/>
        </w:rPr>
        <w:t>,</w:t>
      </w:r>
      <w:r>
        <w:rPr>
          <w:rFonts w:ascii="Cambria" w:hAnsi="Cambria" w:cs="Arial"/>
          <w:sz w:val="24"/>
          <w:szCs w:val="24"/>
        </w:rPr>
        <w:t xml:space="preserve"> es asignar objetivos </w:t>
      </w:r>
      <w:r w:rsidR="002116DA">
        <w:rPr>
          <w:rFonts w:ascii="Cambria" w:hAnsi="Cambria" w:cs="Arial"/>
          <w:sz w:val="24"/>
          <w:szCs w:val="24"/>
        </w:rPr>
        <w:t>para</w:t>
      </w:r>
      <w:r w:rsidRPr="00431183">
        <w:rPr>
          <w:rFonts w:ascii="Cambria" w:hAnsi="Cambria" w:cs="Arial"/>
          <w:sz w:val="24"/>
          <w:szCs w:val="24"/>
        </w:rPr>
        <w:t xml:space="preserve"> minimizar las volatilidades</w:t>
      </w:r>
      <w:r w:rsidR="000530F6">
        <w:rPr>
          <w:rFonts w:ascii="Cambria" w:hAnsi="Cambria" w:cs="Arial"/>
          <w:sz w:val="24"/>
          <w:szCs w:val="24"/>
        </w:rPr>
        <w:t xml:space="preserve">. </w:t>
      </w:r>
      <w:r w:rsidRPr="00431183">
        <w:rPr>
          <w:rFonts w:ascii="Cambria" w:hAnsi="Cambria" w:cs="Arial"/>
          <w:sz w:val="24"/>
          <w:szCs w:val="24"/>
        </w:rPr>
        <w:t xml:space="preserve"> Sin embargo, estos no necesariamente son afines con los intereses económicos de diferentes grupos o agentes económicos locales, al no percibir los beneficios de la “estabilidad” </w:t>
      </w:r>
      <w:sdt>
        <w:sdtPr>
          <w:rPr>
            <w:rFonts w:ascii="Cambria" w:hAnsi="Cambria" w:cs="Arial"/>
            <w:sz w:val="24"/>
            <w:szCs w:val="24"/>
          </w:rPr>
          <w:id w:val="1341963901"/>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Lor12 \p 7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(Lora, 2012, pág. 7)</w:t>
          </w:r>
          <w:r w:rsidR="005C7CB3" w:rsidRPr="00431183">
            <w:rPr>
              <w:rFonts w:ascii="Cambria" w:hAnsi="Cambria" w:cs="Arial"/>
              <w:sz w:val="24"/>
              <w:szCs w:val="24"/>
            </w:rPr>
            <w:fldChar w:fldCharType="end"/>
          </w:r>
        </w:sdtContent>
      </w:sdt>
      <w:r w:rsidRPr="00431183">
        <w:rPr>
          <w:rFonts w:ascii="Cambria" w:hAnsi="Cambria" w:cs="Arial"/>
          <w:sz w:val="24"/>
          <w:szCs w:val="24"/>
        </w:rPr>
        <w:t>.</w:t>
      </w:r>
      <w:r w:rsidR="004A3CD2">
        <w:rPr>
          <w:rFonts w:ascii="Cambria" w:hAnsi="Cambria" w:cs="Arial"/>
          <w:sz w:val="24"/>
          <w:szCs w:val="24"/>
        </w:rPr>
        <w:t xml:space="preserve"> </w:t>
      </w:r>
    </w:p>
    <w:p w14:paraId="3D530051" w14:textId="206FD2BD" w:rsidR="00F507BE" w:rsidRPr="00431183" w:rsidRDefault="000530F6" w:rsidP="00F507BE">
      <w:pPr>
        <w:spacing w:line="240" w:lineRule="auto"/>
        <w:ind w:firstLine="708"/>
        <w:jc w:val="both"/>
        <w:rPr>
          <w:rFonts w:ascii="Cambria" w:hAnsi="Cambria" w:cs="Arial"/>
          <w:sz w:val="24"/>
          <w:szCs w:val="24"/>
        </w:rPr>
      </w:pPr>
      <w:r>
        <w:rPr>
          <w:rFonts w:ascii="Cambria" w:hAnsi="Cambria" w:cs="Arial"/>
          <w:sz w:val="24"/>
          <w:szCs w:val="24"/>
        </w:rPr>
        <w:t>C</w:t>
      </w:r>
      <w:r w:rsidR="00F507BE" w:rsidRPr="00431183">
        <w:rPr>
          <w:rFonts w:ascii="Cambria" w:hAnsi="Cambria" w:cs="Arial"/>
          <w:sz w:val="24"/>
          <w:szCs w:val="24"/>
        </w:rPr>
        <w:t xml:space="preserve">uando una serie de grupos y/o organizaciones locales diseñan mecanismos de diferenciación en sus estrategias productivas para obtener mayores rendimientos en términos de valor agregado, </w:t>
      </w:r>
      <w:r w:rsidR="00F507BE">
        <w:rPr>
          <w:rFonts w:ascii="Cambria" w:hAnsi="Cambria" w:cs="Arial"/>
          <w:sz w:val="24"/>
          <w:szCs w:val="24"/>
        </w:rPr>
        <w:t xml:space="preserve">surgen </w:t>
      </w:r>
      <w:r w:rsidR="00F507BE" w:rsidRPr="00431183">
        <w:rPr>
          <w:rFonts w:ascii="Cambria" w:hAnsi="Cambria" w:cs="Arial"/>
          <w:sz w:val="24"/>
          <w:szCs w:val="24"/>
        </w:rPr>
        <w:t>planteamiento</w:t>
      </w:r>
      <w:r w:rsidR="00F507BE">
        <w:rPr>
          <w:rFonts w:ascii="Cambria" w:hAnsi="Cambria" w:cs="Arial"/>
          <w:sz w:val="24"/>
          <w:szCs w:val="24"/>
        </w:rPr>
        <w:t>s</w:t>
      </w:r>
      <w:r w:rsidR="00F507BE" w:rsidRPr="00431183">
        <w:rPr>
          <w:rFonts w:ascii="Cambria" w:hAnsi="Cambria" w:cs="Arial"/>
          <w:sz w:val="24"/>
          <w:szCs w:val="24"/>
        </w:rPr>
        <w:t xml:space="preserve"> holístico</w:t>
      </w:r>
      <w:r w:rsidR="00F507BE">
        <w:rPr>
          <w:rFonts w:ascii="Cambria" w:hAnsi="Cambria" w:cs="Arial"/>
          <w:sz w:val="24"/>
          <w:szCs w:val="24"/>
        </w:rPr>
        <w:t>s para explicar la forma o formas exitosas y que generen impactos, lo anterior, ha</w:t>
      </w:r>
      <w:r w:rsidR="00F507BE" w:rsidRPr="00431183">
        <w:rPr>
          <w:rFonts w:ascii="Cambria" w:hAnsi="Cambria" w:cs="Arial"/>
          <w:sz w:val="24"/>
          <w:szCs w:val="24"/>
        </w:rPr>
        <w:t xml:space="preserve"> implicado realizar abordajes</w:t>
      </w:r>
      <w:r w:rsidR="00F507BE">
        <w:rPr>
          <w:rFonts w:ascii="Cambria" w:hAnsi="Cambria" w:cs="Arial"/>
          <w:sz w:val="24"/>
          <w:szCs w:val="24"/>
        </w:rPr>
        <w:t xml:space="preserve"> interpretativos para explicar las </w:t>
      </w:r>
      <w:r w:rsidR="00F507BE" w:rsidRPr="00431183">
        <w:rPr>
          <w:rFonts w:ascii="Cambria" w:hAnsi="Cambria" w:cs="Arial"/>
          <w:sz w:val="24"/>
          <w:szCs w:val="24"/>
        </w:rPr>
        <w:t xml:space="preserve">transformaciones de las bases productivas, complementados con procesos de internacionalización de estas bases. </w:t>
      </w:r>
      <w:sdt>
        <w:sdtPr>
          <w:rPr>
            <w:rFonts w:ascii="Cambria" w:hAnsi="Cambria" w:cs="Arial"/>
            <w:sz w:val="24"/>
            <w:szCs w:val="24"/>
          </w:rPr>
          <w:id w:val="1117028108"/>
          <w:citation/>
        </w:sdtPr>
        <w:sdtEndPr/>
        <w:sdtContent>
          <w:r w:rsidR="005C7CB3" w:rsidRPr="00431183">
            <w:rPr>
              <w:rFonts w:ascii="Cambria" w:hAnsi="Cambria" w:cs="Arial"/>
              <w:sz w:val="24"/>
              <w:szCs w:val="24"/>
            </w:rPr>
            <w:fldChar w:fldCharType="begin"/>
          </w:r>
          <w:r w:rsidR="00F507BE" w:rsidRPr="00431183">
            <w:rPr>
              <w:rFonts w:ascii="Cambria" w:hAnsi="Cambria" w:cs="Arial"/>
              <w:sz w:val="24"/>
              <w:szCs w:val="24"/>
            </w:rPr>
            <w:instrText xml:space="preserve"> CITATION Pit15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(Pita, Gonzales, &amp; Elnar, 2015)</w:t>
          </w:r>
          <w:r w:rsidR="005C7CB3" w:rsidRPr="00431183">
            <w:rPr>
              <w:rFonts w:ascii="Cambria" w:hAnsi="Cambria" w:cs="Arial"/>
              <w:sz w:val="24"/>
              <w:szCs w:val="24"/>
            </w:rPr>
            <w:fldChar w:fldCharType="end"/>
          </w:r>
        </w:sdtContent>
      </w:sdt>
      <w:r w:rsidR="00F507BE" w:rsidRPr="00431183">
        <w:rPr>
          <w:rFonts w:ascii="Cambria" w:hAnsi="Cambria" w:cs="Arial"/>
          <w:sz w:val="24"/>
          <w:szCs w:val="24"/>
        </w:rPr>
        <w:t>.</w:t>
      </w:r>
    </w:p>
    <w:p w14:paraId="343FE61D" w14:textId="32E1A19C" w:rsidR="00F507BE" w:rsidRDefault="00F507BE" w:rsidP="00F507BE">
      <w:pPr>
        <w:spacing w:line="240" w:lineRule="auto"/>
        <w:jc w:val="both"/>
        <w:rPr>
          <w:rFonts w:ascii="Cambria" w:hAnsi="Cambria" w:cs="Arial"/>
          <w:sz w:val="24"/>
          <w:szCs w:val="24"/>
        </w:rPr>
      </w:pPr>
      <w:r w:rsidRPr="00431183">
        <w:rPr>
          <w:rFonts w:ascii="Cambria" w:hAnsi="Cambria" w:cs="Arial"/>
          <w:sz w:val="24"/>
          <w:szCs w:val="24"/>
        </w:rPr>
        <w:t xml:space="preserve"> </w:t>
      </w:r>
      <w:r w:rsidRPr="00431183">
        <w:rPr>
          <w:rFonts w:ascii="Cambria" w:hAnsi="Cambria" w:cs="Arial"/>
          <w:sz w:val="24"/>
          <w:szCs w:val="24"/>
        </w:rPr>
        <w:tab/>
      </w:r>
      <w:r w:rsidR="000530F6">
        <w:rPr>
          <w:rFonts w:ascii="Cambria" w:hAnsi="Cambria" w:cs="Arial"/>
          <w:sz w:val="24"/>
          <w:szCs w:val="24"/>
        </w:rPr>
        <w:t xml:space="preserve">El </w:t>
      </w:r>
      <w:r>
        <w:rPr>
          <w:rFonts w:ascii="Cambria" w:hAnsi="Cambria" w:cs="Arial"/>
          <w:sz w:val="24"/>
          <w:szCs w:val="24"/>
        </w:rPr>
        <w:t xml:space="preserve">impulsar </w:t>
      </w:r>
      <w:r w:rsidR="00DC64E1">
        <w:rPr>
          <w:rFonts w:ascii="Cambria" w:hAnsi="Cambria" w:cs="Arial"/>
          <w:sz w:val="24"/>
          <w:szCs w:val="24"/>
        </w:rPr>
        <w:t>instrumentos jurídicos como la</w:t>
      </w:r>
      <w:r>
        <w:rPr>
          <w:rFonts w:ascii="Cambria" w:hAnsi="Cambria" w:cs="Arial"/>
          <w:sz w:val="24"/>
          <w:szCs w:val="24"/>
        </w:rPr>
        <w:t xml:space="preserve"> Denominación de Origen</w:t>
      </w:r>
      <w:r w:rsidRPr="00431183">
        <w:rPr>
          <w:rFonts w:ascii="Cambria" w:hAnsi="Cambria" w:cs="Arial"/>
          <w:sz w:val="24"/>
          <w:szCs w:val="24"/>
        </w:rPr>
        <w:t xml:space="preserve"> para un producto específico, implica </w:t>
      </w:r>
      <w:r>
        <w:rPr>
          <w:rFonts w:ascii="Cambria" w:hAnsi="Cambria" w:cs="Arial"/>
          <w:sz w:val="24"/>
          <w:szCs w:val="24"/>
        </w:rPr>
        <w:t>fomentar la base para la elaboración de una serie de</w:t>
      </w:r>
      <w:r w:rsidRPr="00431183">
        <w:rPr>
          <w:rFonts w:ascii="Cambria" w:hAnsi="Cambria" w:cs="Arial"/>
          <w:sz w:val="24"/>
          <w:szCs w:val="24"/>
        </w:rPr>
        <w:t xml:space="preserve"> estrategias relacionadas </w:t>
      </w:r>
      <w:r w:rsidR="004A3CD2">
        <w:rPr>
          <w:rFonts w:ascii="Cambria" w:hAnsi="Cambria" w:cs="Arial"/>
          <w:sz w:val="24"/>
          <w:szCs w:val="24"/>
        </w:rPr>
        <w:t xml:space="preserve">con </w:t>
      </w:r>
      <w:r>
        <w:rPr>
          <w:rFonts w:ascii="Cambria" w:hAnsi="Cambria" w:cs="Arial"/>
          <w:sz w:val="24"/>
          <w:szCs w:val="24"/>
        </w:rPr>
        <w:t xml:space="preserve">buscar un mayor </w:t>
      </w:r>
      <w:r w:rsidRPr="00431183">
        <w:rPr>
          <w:rFonts w:ascii="Cambria" w:hAnsi="Cambria" w:cs="Arial"/>
          <w:sz w:val="24"/>
          <w:szCs w:val="24"/>
        </w:rPr>
        <w:t>valor agregado</w:t>
      </w:r>
      <w:r>
        <w:rPr>
          <w:rFonts w:ascii="Cambria" w:hAnsi="Cambria" w:cs="Arial"/>
          <w:sz w:val="24"/>
          <w:szCs w:val="24"/>
        </w:rPr>
        <w:t xml:space="preserve"> en las actividades de negociación debido al factor de diferenciación que brinda el uso del instrumento</w:t>
      </w:r>
      <w:r w:rsidR="000530F6">
        <w:rPr>
          <w:rFonts w:ascii="Cambria" w:hAnsi="Cambria" w:cs="Arial"/>
          <w:sz w:val="24"/>
          <w:szCs w:val="24"/>
        </w:rPr>
        <w:t xml:space="preserve">, de caso contrario, aunque instituciones locales apuesten por la diferenciación </w:t>
      </w:r>
      <w:r w:rsidR="00DC64E1">
        <w:rPr>
          <w:rFonts w:ascii="Cambria" w:hAnsi="Cambria" w:cs="Arial"/>
          <w:sz w:val="24"/>
          <w:szCs w:val="24"/>
        </w:rPr>
        <w:t>si no existe una estrategia que haga viable el instrumento jurídico</w:t>
      </w:r>
      <w:r w:rsidR="00875EBA">
        <w:rPr>
          <w:rFonts w:ascii="Cambria" w:hAnsi="Cambria" w:cs="Arial"/>
          <w:sz w:val="24"/>
          <w:szCs w:val="24"/>
        </w:rPr>
        <w:t xml:space="preserve">, puede generar un carga más para una producción especifica. </w:t>
      </w:r>
    </w:p>
    <w:p w14:paraId="126BB357" w14:textId="7F299559" w:rsidR="00F507BE" w:rsidRPr="00431183" w:rsidRDefault="00F507BE" w:rsidP="00F507BE">
      <w:pPr>
        <w:spacing w:line="240" w:lineRule="auto"/>
        <w:jc w:val="both"/>
        <w:rPr>
          <w:rFonts w:ascii="Cambria" w:hAnsi="Cambria" w:cs="Arial"/>
          <w:sz w:val="24"/>
          <w:szCs w:val="24"/>
        </w:rPr>
      </w:pPr>
      <w:r>
        <w:rPr>
          <w:rFonts w:ascii="Cambria" w:hAnsi="Cambria" w:cs="Arial"/>
          <w:sz w:val="24"/>
          <w:szCs w:val="24"/>
        </w:rPr>
        <w:t xml:space="preserve">  </w:t>
      </w:r>
      <w:r>
        <w:rPr>
          <w:rFonts w:ascii="Cambria" w:hAnsi="Cambria" w:cs="Arial"/>
          <w:sz w:val="24"/>
          <w:szCs w:val="24"/>
        </w:rPr>
        <w:tab/>
      </w:r>
      <w:r w:rsidR="00875EBA">
        <w:rPr>
          <w:rFonts w:ascii="Cambria" w:hAnsi="Cambria" w:cs="Arial"/>
          <w:sz w:val="24"/>
          <w:szCs w:val="24"/>
        </w:rPr>
        <w:t>Ante el panorama anterior,</w:t>
      </w:r>
      <w:r>
        <w:rPr>
          <w:rFonts w:ascii="Cambria" w:hAnsi="Cambria" w:cs="Arial"/>
          <w:sz w:val="24"/>
          <w:szCs w:val="24"/>
        </w:rPr>
        <w:t xml:space="preserve"> ha llevado a que se inicie</w:t>
      </w:r>
      <w:r w:rsidR="004A3CD2">
        <w:rPr>
          <w:rFonts w:ascii="Cambria" w:hAnsi="Cambria" w:cs="Arial"/>
          <w:sz w:val="24"/>
          <w:szCs w:val="24"/>
        </w:rPr>
        <w:t xml:space="preserve"> la</w:t>
      </w:r>
      <w:r>
        <w:rPr>
          <w:rFonts w:ascii="Cambria" w:hAnsi="Cambria" w:cs="Arial"/>
          <w:sz w:val="24"/>
          <w:szCs w:val="24"/>
        </w:rPr>
        <w:t xml:space="preserve"> utiliza</w:t>
      </w:r>
      <w:r w:rsidR="004A3CD2">
        <w:rPr>
          <w:rFonts w:ascii="Cambria" w:hAnsi="Cambria" w:cs="Arial"/>
          <w:sz w:val="24"/>
          <w:szCs w:val="24"/>
        </w:rPr>
        <w:t>ción de</w:t>
      </w:r>
      <w:r>
        <w:rPr>
          <w:rFonts w:ascii="Cambria" w:hAnsi="Cambria" w:cs="Arial"/>
          <w:sz w:val="24"/>
          <w:szCs w:val="24"/>
        </w:rPr>
        <w:t xml:space="preserve"> instrumentos </w:t>
      </w:r>
      <w:r w:rsidRPr="00431183">
        <w:rPr>
          <w:rFonts w:ascii="Cambria" w:hAnsi="Cambria" w:cs="Arial"/>
          <w:sz w:val="24"/>
          <w:szCs w:val="24"/>
        </w:rPr>
        <w:t>no económic</w:t>
      </w:r>
      <w:r>
        <w:rPr>
          <w:rFonts w:ascii="Cambria" w:hAnsi="Cambria" w:cs="Arial"/>
          <w:sz w:val="24"/>
          <w:szCs w:val="24"/>
        </w:rPr>
        <w:t>os para impulsar proyectos productivos,</w:t>
      </w:r>
      <w:r w:rsidR="00875EBA">
        <w:rPr>
          <w:rFonts w:ascii="Cambria" w:hAnsi="Cambria" w:cs="Arial"/>
          <w:sz w:val="24"/>
          <w:szCs w:val="24"/>
        </w:rPr>
        <w:t xml:space="preserve"> pero sin dejar de lado su viabilidad productiva,</w:t>
      </w:r>
      <w:r>
        <w:rPr>
          <w:rFonts w:ascii="Cambria" w:hAnsi="Cambria" w:cs="Arial"/>
          <w:sz w:val="24"/>
          <w:szCs w:val="24"/>
        </w:rPr>
        <w:t xml:space="preserve"> en este caso, sobresale</w:t>
      </w:r>
      <w:r w:rsidRPr="00431183">
        <w:rPr>
          <w:rFonts w:ascii="Cambria" w:hAnsi="Cambria" w:cs="Arial"/>
          <w:sz w:val="24"/>
          <w:szCs w:val="24"/>
        </w:rPr>
        <w:t xml:space="preserve"> el uso de instrumentos jurídicos</w:t>
      </w:r>
      <w:r w:rsidR="00875EBA">
        <w:rPr>
          <w:rFonts w:ascii="Cambria" w:hAnsi="Cambria" w:cs="Arial"/>
          <w:sz w:val="24"/>
          <w:szCs w:val="24"/>
        </w:rPr>
        <w:t xml:space="preserve"> como la denominación de Origen Tarrazú</w:t>
      </w:r>
      <w:r>
        <w:rPr>
          <w:rFonts w:ascii="Cambria" w:hAnsi="Cambria" w:cs="Arial"/>
          <w:sz w:val="24"/>
          <w:szCs w:val="24"/>
        </w:rPr>
        <w:t xml:space="preserve"> para reglamentar una actividad tradicional e impulsar una diferenciación para buscar</w:t>
      </w:r>
      <w:r w:rsidRPr="00431183">
        <w:rPr>
          <w:rFonts w:ascii="Cambria" w:hAnsi="Cambria" w:cs="Arial"/>
          <w:sz w:val="24"/>
          <w:szCs w:val="24"/>
        </w:rPr>
        <w:t xml:space="preserve"> una serie de efectos positivos para las organizaciones </w:t>
      </w:r>
      <w:r>
        <w:rPr>
          <w:rFonts w:ascii="Cambria" w:hAnsi="Cambria" w:cs="Arial"/>
          <w:sz w:val="24"/>
          <w:szCs w:val="24"/>
        </w:rPr>
        <w:t>y</w:t>
      </w:r>
      <w:r w:rsidRPr="00431183">
        <w:rPr>
          <w:rFonts w:ascii="Cambria" w:hAnsi="Cambria" w:cs="Arial"/>
          <w:sz w:val="24"/>
          <w:szCs w:val="24"/>
        </w:rPr>
        <w:t xml:space="preserve"> </w:t>
      </w:r>
      <w:r>
        <w:rPr>
          <w:rFonts w:ascii="Cambria" w:hAnsi="Cambria" w:cs="Arial"/>
          <w:sz w:val="24"/>
          <w:szCs w:val="24"/>
        </w:rPr>
        <w:t>agentes económicos, concluyendo con</w:t>
      </w:r>
      <w:r w:rsidRPr="00431183">
        <w:rPr>
          <w:rFonts w:ascii="Cambria" w:hAnsi="Cambria" w:cs="Arial"/>
          <w:sz w:val="24"/>
          <w:szCs w:val="24"/>
        </w:rPr>
        <w:t xml:space="preserve"> una dotación de otros valores</w:t>
      </w:r>
      <w:r>
        <w:rPr>
          <w:rStyle w:val="Refdenotaalpie"/>
          <w:rFonts w:ascii="Cambria" w:hAnsi="Cambria" w:cs="Arial"/>
          <w:sz w:val="24"/>
          <w:szCs w:val="24"/>
        </w:rPr>
        <w:footnoteReference w:id="2"/>
      </w:r>
      <w:r w:rsidRPr="00431183">
        <w:rPr>
          <w:rFonts w:ascii="Cambria" w:hAnsi="Cambria" w:cs="Arial"/>
          <w:sz w:val="24"/>
          <w:szCs w:val="24"/>
        </w:rPr>
        <w:t xml:space="preserve"> a la producción.</w:t>
      </w:r>
    </w:p>
    <w:p w14:paraId="48CBCB0D" w14:textId="4D034891" w:rsidR="00F507BE" w:rsidRDefault="00875EBA" w:rsidP="00F507BE">
      <w:pPr>
        <w:spacing w:line="240" w:lineRule="auto"/>
        <w:ind w:firstLine="708"/>
        <w:jc w:val="both"/>
        <w:rPr>
          <w:rFonts w:ascii="Cambria" w:hAnsi="Cambria" w:cs="Arial"/>
          <w:sz w:val="24"/>
          <w:szCs w:val="24"/>
        </w:rPr>
      </w:pPr>
      <w:r>
        <w:rPr>
          <w:rFonts w:ascii="Cambria" w:hAnsi="Cambria" w:cs="Arial"/>
          <w:sz w:val="24"/>
          <w:szCs w:val="24"/>
        </w:rPr>
        <w:t>Surge la necesidad de realizar un</w:t>
      </w:r>
      <w:r w:rsidR="00F507BE" w:rsidRPr="00431183">
        <w:rPr>
          <w:rFonts w:ascii="Cambria" w:hAnsi="Cambria" w:cs="Arial"/>
          <w:sz w:val="24"/>
          <w:szCs w:val="24"/>
        </w:rPr>
        <w:t xml:space="preserve"> análisis</w:t>
      </w:r>
      <w:r w:rsidR="00F507BE">
        <w:rPr>
          <w:rFonts w:ascii="Cambria" w:hAnsi="Cambria" w:cs="Arial"/>
          <w:sz w:val="24"/>
          <w:szCs w:val="24"/>
        </w:rPr>
        <w:t xml:space="preserve"> en dos vías: una primer relacionad</w:t>
      </w:r>
      <w:r>
        <w:rPr>
          <w:rFonts w:ascii="Cambria" w:hAnsi="Cambria" w:cs="Arial"/>
          <w:sz w:val="24"/>
          <w:szCs w:val="24"/>
        </w:rPr>
        <w:t>a</w:t>
      </w:r>
      <w:r w:rsidR="00F507BE">
        <w:rPr>
          <w:rFonts w:ascii="Cambria" w:hAnsi="Cambria" w:cs="Arial"/>
          <w:sz w:val="24"/>
          <w:szCs w:val="24"/>
        </w:rPr>
        <w:t xml:space="preserve"> a </w:t>
      </w:r>
      <w:r w:rsidR="00F507BE" w:rsidRPr="00431183">
        <w:rPr>
          <w:rFonts w:ascii="Cambria" w:hAnsi="Cambria" w:cs="Arial"/>
          <w:sz w:val="24"/>
          <w:szCs w:val="24"/>
        </w:rPr>
        <w:t xml:space="preserve">nuevas actividades económicas </w:t>
      </w:r>
      <w:r w:rsidR="00F507BE">
        <w:rPr>
          <w:rFonts w:ascii="Cambria" w:hAnsi="Cambria" w:cs="Arial"/>
          <w:sz w:val="24"/>
          <w:szCs w:val="24"/>
        </w:rPr>
        <w:t>asociadas</w:t>
      </w:r>
      <w:r w:rsidR="00F507BE" w:rsidRPr="00431183">
        <w:rPr>
          <w:rFonts w:ascii="Cambria" w:hAnsi="Cambria" w:cs="Arial"/>
          <w:sz w:val="24"/>
          <w:szCs w:val="24"/>
        </w:rPr>
        <w:t xml:space="preserve"> con la D</w:t>
      </w:r>
      <w:r>
        <w:rPr>
          <w:rFonts w:ascii="Cambria" w:hAnsi="Cambria" w:cs="Arial"/>
          <w:sz w:val="24"/>
          <w:szCs w:val="24"/>
        </w:rPr>
        <w:t xml:space="preserve">enominación de </w:t>
      </w:r>
      <w:r w:rsidR="00F507BE" w:rsidRPr="00431183">
        <w:rPr>
          <w:rFonts w:ascii="Cambria" w:hAnsi="Cambria" w:cs="Arial"/>
          <w:sz w:val="24"/>
          <w:szCs w:val="24"/>
        </w:rPr>
        <w:t>O</w:t>
      </w:r>
      <w:r>
        <w:rPr>
          <w:rFonts w:ascii="Cambria" w:hAnsi="Cambria" w:cs="Arial"/>
          <w:sz w:val="24"/>
          <w:szCs w:val="24"/>
        </w:rPr>
        <w:t>rigen</w:t>
      </w:r>
      <w:r w:rsidR="00F507BE" w:rsidRPr="00431183">
        <w:rPr>
          <w:rFonts w:ascii="Cambria" w:hAnsi="Cambria" w:cs="Arial"/>
          <w:sz w:val="24"/>
          <w:szCs w:val="24"/>
        </w:rPr>
        <w:t xml:space="preserve"> Tarrazú</w:t>
      </w:r>
      <w:r w:rsidR="00F507BE">
        <w:rPr>
          <w:rFonts w:ascii="Cambria" w:hAnsi="Cambria" w:cs="Arial"/>
          <w:sz w:val="24"/>
          <w:szCs w:val="24"/>
        </w:rPr>
        <w:t xml:space="preserve"> en la producción de café, donde sobresalen</w:t>
      </w:r>
      <w:r w:rsidR="00F507BE" w:rsidRPr="00431183">
        <w:rPr>
          <w:rFonts w:ascii="Cambria" w:hAnsi="Cambria" w:cs="Arial"/>
          <w:sz w:val="24"/>
          <w:szCs w:val="24"/>
        </w:rPr>
        <w:t xml:space="preserve"> </w:t>
      </w:r>
      <w:r w:rsidR="00F507BE">
        <w:rPr>
          <w:rFonts w:ascii="Cambria" w:hAnsi="Cambria" w:cs="Arial"/>
          <w:sz w:val="24"/>
          <w:szCs w:val="24"/>
        </w:rPr>
        <w:t>las implicaciones en el</w:t>
      </w:r>
      <w:r w:rsidR="00F507BE" w:rsidRPr="00431183">
        <w:rPr>
          <w:rFonts w:ascii="Cambria" w:hAnsi="Cambria" w:cs="Arial"/>
          <w:sz w:val="24"/>
          <w:szCs w:val="24"/>
        </w:rPr>
        <w:t xml:space="preserve"> beneficiado, procesamiento, entre otras</w:t>
      </w:r>
      <w:r w:rsidR="00F507BE">
        <w:rPr>
          <w:rFonts w:ascii="Cambria" w:hAnsi="Cambria" w:cs="Arial"/>
          <w:sz w:val="24"/>
          <w:szCs w:val="24"/>
        </w:rPr>
        <w:t xml:space="preserve"> actividades</w:t>
      </w:r>
      <w:r w:rsidR="00F507BE" w:rsidRPr="00431183">
        <w:rPr>
          <w:rFonts w:ascii="Cambria" w:hAnsi="Cambria" w:cs="Arial"/>
          <w:sz w:val="24"/>
          <w:szCs w:val="24"/>
        </w:rPr>
        <w:t xml:space="preserve">, que actualmente es realizada de manera tímida en los cantones de León Cortés, Dota y Tarrazú, </w:t>
      </w:r>
      <w:r w:rsidR="00F507BE">
        <w:rPr>
          <w:rFonts w:ascii="Cambria" w:hAnsi="Cambria" w:cs="Arial"/>
          <w:sz w:val="24"/>
          <w:szCs w:val="24"/>
        </w:rPr>
        <w:t xml:space="preserve">debido a que son actividades que las realizan pocos actores locales, finalmente una segunda vía que busca en analizar el </w:t>
      </w:r>
      <w:r w:rsidR="00F507BE">
        <w:rPr>
          <w:rFonts w:ascii="Cambria" w:hAnsi="Cambria" w:cs="Arial"/>
          <w:sz w:val="24"/>
          <w:szCs w:val="24"/>
        </w:rPr>
        <w:lastRenderedPageBreak/>
        <w:t xml:space="preserve">componente se diferencia con la puesta en marcha de una denominación de origen aporta a la producción respectivamente.  </w:t>
      </w:r>
    </w:p>
    <w:p w14:paraId="4D397F46" w14:textId="1203B639" w:rsidR="00F507BE" w:rsidRPr="00431183" w:rsidRDefault="00F507BE" w:rsidP="00F507BE">
      <w:pPr>
        <w:spacing w:line="240" w:lineRule="auto"/>
        <w:ind w:firstLine="708"/>
        <w:jc w:val="both"/>
        <w:rPr>
          <w:rFonts w:ascii="Cambria" w:hAnsi="Cambria" w:cs="Arial"/>
          <w:sz w:val="24"/>
          <w:szCs w:val="24"/>
        </w:rPr>
      </w:pPr>
      <w:r w:rsidRPr="00875EBA">
        <w:rPr>
          <w:rFonts w:ascii="Cambria" w:hAnsi="Cambria" w:cs="Arial"/>
          <w:sz w:val="24"/>
          <w:szCs w:val="24"/>
        </w:rPr>
        <w:t xml:space="preserve">Por </w:t>
      </w:r>
      <w:r w:rsidR="00875EBA" w:rsidRPr="00875EBA">
        <w:rPr>
          <w:rFonts w:ascii="Cambria" w:hAnsi="Cambria" w:cs="Arial"/>
          <w:sz w:val="24"/>
          <w:szCs w:val="24"/>
        </w:rPr>
        <w:t xml:space="preserve">lo tanto, </w:t>
      </w:r>
      <w:r w:rsidRPr="00875EBA">
        <w:rPr>
          <w:rFonts w:ascii="Cambria" w:hAnsi="Cambria" w:cs="Arial"/>
          <w:sz w:val="24"/>
          <w:szCs w:val="24"/>
        </w:rPr>
        <w:t>determinar las implicaciones económicas de una denominación de origen y como</w:t>
      </w:r>
      <w:r>
        <w:rPr>
          <w:rFonts w:ascii="Cambria" w:hAnsi="Cambria" w:cs="Arial"/>
          <w:sz w:val="24"/>
          <w:szCs w:val="24"/>
        </w:rPr>
        <w:t xml:space="preserve"> se </w:t>
      </w:r>
      <w:r w:rsidRPr="00431183">
        <w:rPr>
          <w:rFonts w:ascii="Cambria" w:hAnsi="Cambria" w:cs="Arial"/>
          <w:sz w:val="24"/>
          <w:szCs w:val="24"/>
        </w:rPr>
        <w:t>reconfigura</w:t>
      </w:r>
      <w:r>
        <w:rPr>
          <w:rFonts w:ascii="Cambria" w:hAnsi="Cambria" w:cs="Arial"/>
          <w:sz w:val="24"/>
          <w:szCs w:val="24"/>
        </w:rPr>
        <w:t>n los procesos</w:t>
      </w:r>
      <w:r w:rsidRPr="00431183">
        <w:rPr>
          <w:rFonts w:ascii="Cambria" w:hAnsi="Cambria" w:cs="Arial"/>
          <w:sz w:val="24"/>
          <w:szCs w:val="24"/>
        </w:rPr>
        <w:t xml:space="preserve"> </w:t>
      </w:r>
      <w:r>
        <w:rPr>
          <w:rFonts w:ascii="Cambria" w:hAnsi="Cambria" w:cs="Arial"/>
          <w:sz w:val="24"/>
          <w:szCs w:val="24"/>
        </w:rPr>
        <w:t xml:space="preserve"> productivos asociados a una actividad económica</w:t>
      </w:r>
      <w:r w:rsidRPr="00431183">
        <w:rPr>
          <w:rFonts w:ascii="Cambria" w:hAnsi="Cambria" w:cs="Arial"/>
          <w:sz w:val="24"/>
          <w:szCs w:val="24"/>
        </w:rPr>
        <w:t xml:space="preserve"> </w:t>
      </w:r>
      <w:r>
        <w:rPr>
          <w:rFonts w:ascii="Cambria" w:hAnsi="Cambria" w:cs="Arial"/>
          <w:sz w:val="24"/>
          <w:szCs w:val="24"/>
        </w:rPr>
        <w:t xml:space="preserve"> es </w:t>
      </w:r>
      <w:r w:rsidRPr="00431183">
        <w:rPr>
          <w:rFonts w:ascii="Cambria" w:hAnsi="Cambria" w:cs="Arial"/>
          <w:sz w:val="24"/>
          <w:szCs w:val="24"/>
        </w:rPr>
        <w:t>de importancia en el presente trabajo investigativo, debido a la asignación de nuevas responsabilidades en las fases productivas y económicas para los caficultores, además</w:t>
      </w:r>
      <w:r>
        <w:rPr>
          <w:rFonts w:ascii="Cambria" w:hAnsi="Cambria" w:cs="Arial"/>
          <w:sz w:val="24"/>
          <w:szCs w:val="24"/>
        </w:rPr>
        <w:t>,</w:t>
      </w:r>
      <w:r w:rsidRPr="00431183">
        <w:rPr>
          <w:rFonts w:ascii="Cambria" w:hAnsi="Cambria" w:cs="Arial"/>
          <w:sz w:val="24"/>
          <w:szCs w:val="24"/>
        </w:rPr>
        <w:t xml:space="preserve"> porque se puede</w:t>
      </w:r>
      <w:r>
        <w:rPr>
          <w:rFonts w:ascii="Cambria" w:hAnsi="Cambria" w:cs="Arial"/>
          <w:sz w:val="24"/>
          <w:szCs w:val="24"/>
        </w:rPr>
        <w:t>n</w:t>
      </w:r>
      <w:r w:rsidRPr="00431183">
        <w:rPr>
          <w:rFonts w:ascii="Cambria" w:hAnsi="Cambria" w:cs="Arial"/>
          <w:sz w:val="24"/>
          <w:szCs w:val="24"/>
        </w:rPr>
        <w:t xml:space="preserve"> cuantificar las inversiones relacionadas a las nuevas dinámicas productivas, y como una serie de instrumentos financieros con un enfoque para el desarrollo pueden dotar de recursos los nuevos procesos contribuyen a dimensionar la </w:t>
      </w:r>
      <w:r>
        <w:rPr>
          <w:rFonts w:ascii="Cambria" w:hAnsi="Cambria" w:cs="Arial"/>
          <w:sz w:val="24"/>
          <w:szCs w:val="24"/>
        </w:rPr>
        <w:t>D</w:t>
      </w:r>
      <w:r w:rsidRPr="00431183">
        <w:rPr>
          <w:rFonts w:ascii="Cambria" w:hAnsi="Cambria" w:cs="Arial"/>
          <w:sz w:val="24"/>
          <w:szCs w:val="24"/>
        </w:rPr>
        <w:t>O.</w:t>
      </w:r>
    </w:p>
    <w:p w14:paraId="31D47A32" w14:textId="69B880CC" w:rsidR="00F507BE" w:rsidRPr="00431183" w:rsidRDefault="00F507BE" w:rsidP="00F507BE">
      <w:pPr>
        <w:spacing w:line="240" w:lineRule="auto"/>
        <w:ind w:firstLine="708"/>
        <w:jc w:val="both"/>
        <w:rPr>
          <w:rFonts w:ascii="Cambria" w:hAnsi="Cambria" w:cs="Arial"/>
          <w:sz w:val="24"/>
          <w:szCs w:val="24"/>
        </w:rPr>
      </w:pPr>
      <w:r w:rsidRPr="00875EBA">
        <w:rPr>
          <w:rFonts w:ascii="Cambria" w:hAnsi="Cambria" w:cs="Arial"/>
          <w:sz w:val="24"/>
          <w:szCs w:val="24"/>
        </w:rPr>
        <w:t>Ante las nuevas necesidades productivas que demanda la denominación de café Tarrazú, algunos productos del sistema financiero de Costa Rica como la Banca para el Desarrollo, podrían contribuir en la dotación de recursos económicos, donde no necesariamente, estos flujos de recursos están asociadas a las antiguas actividades económicas de característica primaria, lo que permite un intercambio o transferencia de activos-pasivos, constituyéndose como un actor más</w:t>
      </w:r>
      <w:r w:rsidR="00A31404" w:rsidRPr="00875EBA">
        <w:rPr>
          <w:rFonts w:ascii="Cambria" w:hAnsi="Cambria" w:cs="Arial"/>
          <w:sz w:val="24"/>
          <w:szCs w:val="24"/>
        </w:rPr>
        <w:t>,</w:t>
      </w:r>
      <w:r w:rsidRPr="00875EBA">
        <w:rPr>
          <w:rFonts w:ascii="Cambria" w:hAnsi="Cambria" w:cs="Arial"/>
          <w:sz w:val="24"/>
          <w:szCs w:val="24"/>
        </w:rPr>
        <w:t xml:space="preserve"> dentro de las actividades económicas rurales.</w:t>
      </w:r>
    </w:p>
    <w:p w14:paraId="3F609ADE" w14:textId="3372707D" w:rsidR="00F507BE" w:rsidRPr="00431183" w:rsidRDefault="00F507BE" w:rsidP="00F507BE">
      <w:pPr>
        <w:spacing w:line="240" w:lineRule="auto"/>
        <w:ind w:firstLine="708"/>
        <w:jc w:val="both"/>
        <w:rPr>
          <w:rFonts w:ascii="Cambria" w:hAnsi="Cambria" w:cs="Arial"/>
          <w:sz w:val="24"/>
          <w:szCs w:val="24"/>
        </w:rPr>
      </w:pPr>
      <w:r w:rsidRPr="00431183">
        <w:rPr>
          <w:rFonts w:ascii="Cambria" w:hAnsi="Cambria" w:cs="Arial"/>
          <w:sz w:val="24"/>
          <w:szCs w:val="24"/>
        </w:rPr>
        <w:t>Para el caso de los productores, con el programa de Banca para el Desarrollo se plantea la posibilidad de analizar c</w:t>
      </w:r>
      <w:r w:rsidR="00514B59">
        <w:rPr>
          <w:rFonts w:ascii="Cambria" w:hAnsi="Cambria" w:cs="Arial"/>
          <w:sz w:val="24"/>
          <w:szCs w:val="24"/>
        </w:rPr>
        <w:t>ó</w:t>
      </w:r>
      <w:r w:rsidRPr="00431183">
        <w:rPr>
          <w:rFonts w:ascii="Cambria" w:hAnsi="Cambria" w:cs="Arial"/>
          <w:sz w:val="24"/>
          <w:szCs w:val="24"/>
        </w:rPr>
        <w:t>mo este puede fungir como instrumento dotador de recursos para la inversión e implementación de la DO, y sobre todo construir una serie de relaciones referente si el actual diseño del programa puede favorecer al desarrollo no solo del proyecto de la denominación, si no que otros proyectos en diferentes regiones de Costa Rica.</w:t>
      </w:r>
    </w:p>
    <w:p w14:paraId="78221428" w14:textId="7D50F4F1" w:rsidR="00F507BE" w:rsidRPr="00431183" w:rsidRDefault="00F507BE" w:rsidP="00F507BE">
      <w:pPr>
        <w:spacing w:line="240" w:lineRule="auto"/>
        <w:ind w:firstLine="708"/>
        <w:jc w:val="both"/>
        <w:rPr>
          <w:rFonts w:ascii="Cambria" w:hAnsi="Cambria" w:cs="Arial"/>
          <w:sz w:val="24"/>
          <w:szCs w:val="24"/>
        </w:rPr>
      </w:pPr>
      <w:r w:rsidRPr="00431183">
        <w:rPr>
          <w:rFonts w:ascii="Cambria" w:hAnsi="Cambria" w:cs="Arial"/>
          <w:sz w:val="24"/>
          <w:szCs w:val="24"/>
        </w:rPr>
        <w:t>Es mediante un contexto de desarrollo desigual y heterogéneo presente en diferentes regiones de Costa Rica, que el analizar un instrumento legal de diferenciación de la producción acompañada con instrumentos financieros establecidos</w:t>
      </w:r>
      <w:r>
        <w:rPr>
          <w:rFonts w:ascii="Cambria" w:hAnsi="Cambria" w:cs="Arial"/>
          <w:sz w:val="24"/>
          <w:szCs w:val="24"/>
        </w:rPr>
        <w:t xml:space="preserve"> por la legislación,</w:t>
      </w:r>
      <w:r w:rsidRPr="00431183">
        <w:rPr>
          <w:rFonts w:ascii="Cambria" w:hAnsi="Cambria" w:cs="Arial"/>
          <w:sz w:val="24"/>
          <w:szCs w:val="24"/>
        </w:rPr>
        <w:t xml:space="preserve"> pueden aproximar nuevas formas de crecimiento económico con efectos positivos en el desarrollo debido a su enfoque “hacia adentro</w:t>
      </w:r>
      <w:r w:rsidRPr="00431183">
        <w:rPr>
          <w:rStyle w:val="Refdenotaalpie"/>
          <w:rFonts w:ascii="Cambria" w:hAnsi="Cambria" w:cs="Arial"/>
          <w:sz w:val="24"/>
          <w:szCs w:val="24"/>
        </w:rPr>
        <w:footnoteReference w:id="3"/>
      </w:r>
      <w:r w:rsidRPr="00431183">
        <w:rPr>
          <w:rFonts w:ascii="Cambria" w:hAnsi="Cambria" w:cs="Arial"/>
          <w:sz w:val="24"/>
          <w:szCs w:val="24"/>
        </w:rPr>
        <w:t xml:space="preserve">”, el cual tiene que ser entendido como una intervención activa de los diferentes actores y agentes que realizan acciones para activar potencialidades para la acumulación de capital </w:t>
      </w:r>
      <w:sdt>
        <w:sdtPr>
          <w:rPr>
            <w:rFonts w:ascii="Cambria" w:hAnsi="Cambria" w:cs="Arial"/>
            <w:sz w:val="24"/>
            <w:szCs w:val="24"/>
          </w:rPr>
          <w:id w:val="-1886015576"/>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 CITATION Qui13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(Quispe &amp; Ayaviri, 2013)</w:t>
          </w:r>
          <w:r w:rsidR="005C7CB3" w:rsidRPr="00431183">
            <w:rPr>
              <w:rFonts w:ascii="Cambria" w:hAnsi="Cambria" w:cs="Arial"/>
              <w:sz w:val="24"/>
              <w:szCs w:val="24"/>
            </w:rPr>
            <w:fldChar w:fldCharType="end"/>
          </w:r>
        </w:sdtContent>
      </w:sdt>
      <w:r w:rsidRPr="00431183">
        <w:rPr>
          <w:rFonts w:ascii="Cambria" w:hAnsi="Cambria" w:cs="Arial"/>
          <w:sz w:val="24"/>
          <w:szCs w:val="24"/>
        </w:rPr>
        <w:t xml:space="preserve">.  </w:t>
      </w:r>
    </w:p>
    <w:p w14:paraId="4E6C36BF" w14:textId="497037FB" w:rsidR="00F507BE" w:rsidRPr="00431183" w:rsidRDefault="00F507BE" w:rsidP="00F507BE">
      <w:pPr>
        <w:spacing w:line="240" w:lineRule="auto"/>
        <w:ind w:firstLine="708"/>
        <w:jc w:val="both"/>
        <w:rPr>
          <w:rFonts w:ascii="Cambria" w:hAnsi="Cambria" w:cs="Arial"/>
          <w:sz w:val="24"/>
          <w:szCs w:val="24"/>
        </w:rPr>
      </w:pPr>
      <w:r w:rsidRPr="00431183">
        <w:rPr>
          <w:rFonts w:ascii="Cambria" w:hAnsi="Cambria" w:cs="Arial"/>
          <w:sz w:val="24"/>
          <w:szCs w:val="24"/>
        </w:rPr>
        <w:t xml:space="preserve">Por ende, al analizar </w:t>
      </w:r>
      <w:r w:rsidR="00875EBA" w:rsidRPr="00AF1E1D">
        <w:rPr>
          <w:rFonts w:ascii="Cambria" w:hAnsi="Cambria" w:cs="Arial"/>
          <w:sz w:val="24"/>
          <w:szCs w:val="24"/>
        </w:rPr>
        <w:t xml:space="preserve">las contribuciones </w:t>
      </w:r>
      <w:r w:rsidRPr="00431183">
        <w:rPr>
          <w:rFonts w:ascii="Cambria" w:hAnsi="Cambria" w:cs="Arial"/>
          <w:sz w:val="24"/>
          <w:szCs w:val="24"/>
        </w:rPr>
        <w:t xml:space="preserve"> del sistema financiero de Costa Rica, ejemplificado en el Sistema de Banca para el Desarrollo, se pueden comprender cuáles </w:t>
      </w:r>
      <w:r w:rsidR="00875EBA" w:rsidRPr="00AF1E1D">
        <w:rPr>
          <w:rFonts w:ascii="Cambria" w:hAnsi="Cambria" w:cs="Arial"/>
          <w:sz w:val="24"/>
          <w:szCs w:val="24"/>
        </w:rPr>
        <w:t>actividades son</w:t>
      </w:r>
      <w:r w:rsidRPr="00431183">
        <w:rPr>
          <w:rFonts w:ascii="Cambria" w:hAnsi="Cambria" w:cs="Arial"/>
          <w:sz w:val="24"/>
          <w:szCs w:val="24"/>
        </w:rPr>
        <w:t xml:space="preserve"> fundamentales</w:t>
      </w:r>
      <w:r w:rsidR="00875EBA">
        <w:rPr>
          <w:rFonts w:ascii="Cambria" w:hAnsi="Cambria" w:cs="Arial"/>
          <w:sz w:val="24"/>
          <w:szCs w:val="24"/>
        </w:rPr>
        <w:t xml:space="preserve"> para hacer operativa una Denominación de Origen Tarrazú</w:t>
      </w:r>
      <w:r w:rsidRPr="00431183">
        <w:rPr>
          <w:rFonts w:ascii="Cambria" w:hAnsi="Cambria" w:cs="Arial"/>
          <w:sz w:val="24"/>
          <w:szCs w:val="24"/>
        </w:rPr>
        <w:t xml:space="preserve"> debido a los nuevos alcances y responsabilidades que se establecen con dicha estructura legal.</w:t>
      </w:r>
    </w:p>
    <w:p w14:paraId="287D0CBD" w14:textId="71207923" w:rsidR="00F507BE" w:rsidRPr="00431183" w:rsidRDefault="00F507BE" w:rsidP="00F507BE">
      <w:pPr>
        <w:spacing w:line="240" w:lineRule="auto"/>
        <w:ind w:firstLine="708"/>
        <w:jc w:val="both"/>
        <w:rPr>
          <w:rFonts w:ascii="Cambria" w:hAnsi="Cambria" w:cs="Arial"/>
          <w:sz w:val="24"/>
          <w:szCs w:val="24"/>
        </w:rPr>
      </w:pPr>
      <w:r w:rsidRPr="00431183">
        <w:rPr>
          <w:rFonts w:ascii="Cambria" w:hAnsi="Cambria" w:cs="Arial"/>
          <w:sz w:val="24"/>
          <w:szCs w:val="24"/>
        </w:rPr>
        <w:t xml:space="preserve">Cuando se plantea el término de nuevas responsabilidades que brinda la </w:t>
      </w:r>
      <w:r w:rsidR="00B631BB" w:rsidRPr="00431183">
        <w:rPr>
          <w:rFonts w:ascii="Cambria" w:hAnsi="Cambria" w:cs="Arial"/>
          <w:sz w:val="24"/>
          <w:szCs w:val="24"/>
        </w:rPr>
        <w:t>D</w:t>
      </w:r>
      <w:r w:rsidR="00B631BB">
        <w:rPr>
          <w:rFonts w:ascii="Cambria" w:hAnsi="Cambria" w:cs="Arial"/>
          <w:sz w:val="24"/>
          <w:szCs w:val="24"/>
        </w:rPr>
        <w:t xml:space="preserve">enominación de </w:t>
      </w:r>
      <w:r w:rsidRPr="00431183">
        <w:rPr>
          <w:rFonts w:ascii="Cambria" w:hAnsi="Cambria" w:cs="Arial"/>
          <w:sz w:val="24"/>
          <w:szCs w:val="24"/>
        </w:rPr>
        <w:t>O</w:t>
      </w:r>
      <w:r w:rsidR="00B631BB">
        <w:rPr>
          <w:rFonts w:ascii="Cambria" w:hAnsi="Cambria" w:cs="Arial"/>
          <w:sz w:val="24"/>
          <w:szCs w:val="24"/>
        </w:rPr>
        <w:t>rigen Tarrazú</w:t>
      </w:r>
      <w:r w:rsidRPr="00431183">
        <w:rPr>
          <w:rFonts w:ascii="Cambria" w:hAnsi="Cambria" w:cs="Arial"/>
          <w:sz w:val="24"/>
          <w:szCs w:val="24"/>
        </w:rPr>
        <w:t xml:space="preserve">, se inicia con la premisa de instrumento de negociación y validación de una característica de la producción local, entendido como </w:t>
      </w:r>
      <w:r w:rsidRPr="00431183">
        <w:rPr>
          <w:rFonts w:ascii="Cambria" w:hAnsi="Cambria" w:cs="Arial"/>
          <w:sz w:val="24"/>
          <w:szCs w:val="24"/>
        </w:rPr>
        <w:lastRenderedPageBreak/>
        <w:t>café de alta calidad, además para validar ante los mercados una originalidad</w:t>
      </w:r>
      <w:r w:rsidRPr="00431183">
        <w:rPr>
          <w:rStyle w:val="Refdenotaalpie"/>
          <w:rFonts w:ascii="Cambria" w:hAnsi="Cambria" w:cs="Arial"/>
          <w:sz w:val="24"/>
          <w:szCs w:val="24"/>
        </w:rPr>
        <w:footnoteReference w:id="4"/>
      </w:r>
      <w:r w:rsidRPr="00431183">
        <w:rPr>
          <w:rFonts w:ascii="Cambria" w:hAnsi="Cambria" w:cs="Arial"/>
          <w:sz w:val="24"/>
          <w:szCs w:val="24"/>
        </w:rPr>
        <w:t xml:space="preserve"> que es mal usada por otros agentes económicos. </w:t>
      </w:r>
    </w:p>
    <w:p w14:paraId="605E6FD9" w14:textId="77777777" w:rsidR="00F507BE" w:rsidRPr="00431183" w:rsidRDefault="00F507BE" w:rsidP="00F507BE">
      <w:pPr>
        <w:spacing w:line="240" w:lineRule="auto"/>
        <w:ind w:firstLine="708"/>
        <w:jc w:val="both"/>
        <w:rPr>
          <w:rFonts w:ascii="Cambria" w:hAnsi="Cambria" w:cs="Arial"/>
          <w:sz w:val="24"/>
          <w:szCs w:val="24"/>
        </w:rPr>
      </w:pPr>
      <w:r w:rsidRPr="00431183">
        <w:rPr>
          <w:rFonts w:ascii="Cambria" w:hAnsi="Cambria" w:cs="Arial"/>
          <w:sz w:val="24"/>
          <w:szCs w:val="24"/>
        </w:rPr>
        <w:t xml:space="preserve">La importancia de este estudio recae en especial porque en Costa Rica únicamente se ha establecido una DO, Tarrazú sería la segunda impulsada desde los mismos caficultores que buscan diferenciar la exportación de café, potenciando características como la calidad del producto, reconocimiento internacional, entre otros, e iniciar con procesos de transformación autónomos y locales, que implican una nueva fase de transformación, dinámicas internas que buscan fortalecer un posición de la producción de café. </w:t>
      </w:r>
    </w:p>
    <w:p w14:paraId="21F5B2B9" w14:textId="77777777" w:rsidR="00395C09" w:rsidRPr="00431183" w:rsidRDefault="00395C09" w:rsidP="00431183">
      <w:pPr>
        <w:spacing w:line="240" w:lineRule="auto"/>
        <w:jc w:val="both"/>
        <w:rPr>
          <w:rFonts w:ascii="Cambria" w:hAnsi="Cambria" w:cs="Arial"/>
          <w:sz w:val="24"/>
          <w:szCs w:val="24"/>
        </w:rPr>
      </w:pPr>
    </w:p>
    <w:p w14:paraId="69D62358" w14:textId="05D43592" w:rsidR="00395C09" w:rsidRDefault="00D174D2" w:rsidP="00D174D2">
      <w:pPr>
        <w:pStyle w:val="Ttulo1"/>
        <w:spacing w:line="240" w:lineRule="auto"/>
        <w:rPr>
          <w:rFonts w:ascii="Cambria" w:hAnsi="Cambria" w:cs="Arial"/>
          <w:b/>
          <w:color w:val="auto"/>
          <w:sz w:val="24"/>
          <w:szCs w:val="24"/>
        </w:rPr>
      </w:pPr>
      <w:bookmarkStart w:id="62" w:name="_Toc527576945"/>
      <w:r>
        <w:rPr>
          <w:rFonts w:ascii="Cambria" w:hAnsi="Cambria" w:cs="Arial"/>
          <w:b/>
          <w:color w:val="auto"/>
          <w:sz w:val="24"/>
          <w:szCs w:val="24"/>
        </w:rPr>
        <w:t>1.4.1</w:t>
      </w:r>
      <w:r w:rsidR="0009604A" w:rsidRPr="00431183">
        <w:rPr>
          <w:rFonts w:ascii="Cambria" w:hAnsi="Cambria" w:cs="Arial"/>
          <w:b/>
          <w:color w:val="auto"/>
          <w:sz w:val="24"/>
          <w:szCs w:val="24"/>
        </w:rPr>
        <w:t xml:space="preserve"> </w:t>
      </w:r>
      <w:r w:rsidR="0009604A">
        <w:rPr>
          <w:rFonts w:ascii="Cambria" w:hAnsi="Cambria" w:cs="Arial"/>
          <w:b/>
          <w:color w:val="auto"/>
          <w:sz w:val="24"/>
          <w:szCs w:val="24"/>
        </w:rPr>
        <w:t>P</w:t>
      </w:r>
      <w:r w:rsidR="0009604A" w:rsidRPr="00431183">
        <w:rPr>
          <w:rFonts w:ascii="Cambria" w:hAnsi="Cambria" w:cs="Arial"/>
          <w:b/>
          <w:color w:val="auto"/>
          <w:sz w:val="24"/>
          <w:szCs w:val="24"/>
        </w:rPr>
        <w:t>lanteamiento del problema</w:t>
      </w:r>
      <w:bookmarkEnd w:id="62"/>
    </w:p>
    <w:p w14:paraId="5716D364" w14:textId="77777777" w:rsidR="00D174D2" w:rsidRPr="00431183" w:rsidRDefault="00D174D2" w:rsidP="00431183">
      <w:pPr>
        <w:rPr>
          <w:lang w:eastAsia="es-CR"/>
        </w:rPr>
      </w:pPr>
    </w:p>
    <w:p w14:paraId="21B876CD" w14:textId="59233C6F" w:rsidR="00833E2F" w:rsidRDefault="00F507BE" w:rsidP="00F507BE">
      <w:pPr>
        <w:spacing w:after="0" w:line="240" w:lineRule="auto"/>
        <w:ind w:firstLine="708"/>
        <w:jc w:val="both"/>
        <w:rPr>
          <w:rFonts w:ascii="Cambria" w:hAnsi="Cambria" w:cs="Arial"/>
          <w:sz w:val="24"/>
          <w:szCs w:val="24"/>
        </w:rPr>
      </w:pPr>
      <w:r w:rsidRPr="00431183">
        <w:rPr>
          <w:rFonts w:ascii="Cambria" w:hAnsi="Cambria" w:cs="Arial"/>
          <w:sz w:val="24"/>
          <w:szCs w:val="24"/>
        </w:rPr>
        <w:t>En Costa Rica cuando se analiza dinámicas productivas o bases productivas en áreas locales</w:t>
      </w:r>
      <w:r>
        <w:rPr>
          <w:rFonts w:ascii="Cambria" w:hAnsi="Cambria" w:cs="Arial"/>
          <w:sz w:val="24"/>
          <w:szCs w:val="24"/>
        </w:rPr>
        <w:t xml:space="preserve"> </w:t>
      </w:r>
      <w:r w:rsidR="00B631BB">
        <w:rPr>
          <w:rFonts w:ascii="Cambria" w:hAnsi="Cambria" w:cs="Arial"/>
          <w:sz w:val="24"/>
          <w:szCs w:val="24"/>
        </w:rPr>
        <w:t xml:space="preserve">con características de ser </w:t>
      </w:r>
      <w:r>
        <w:rPr>
          <w:rFonts w:ascii="Cambria" w:hAnsi="Cambria" w:cs="Arial"/>
          <w:sz w:val="24"/>
          <w:szCs w:val="24"/>
        </w:rPr>
        <w:t>rurales</w:t>
      </w:r>
      <w:r w:rsidRPr="00431183">
        <w:rPr>
          <w:rFonts w:ascii="Cambria" w:hAnsi="Cambria" w:cs="Arial"/>
          <w:sz w:val="24"/>
          <w:szCs w:val="24"/>
        </w:rPr>
        <w:t xml:space="preserve">, existe una mal interpretación </w:t>
      </w:r>
      <w:r w:rsidR="00833E2F">
        <w:rPr>
          <w:rFonts w:ascii="Cambria" w:hAnsi="Cambria" w:cs="Arial"/>
          <w:sz w:val="24"/>
          <w:szCs w:val="24"/>
        </w:rPr>
        <w:t>de sus fuentes de desarrollo al asociarlas con la</w:t>
      </w:r>
      <w:r w:rsidRPr="00431183">
        <w:rPr>
          <w:rFonts w:ascii="Cambria" w:hAnsi="Cambria" w:cs="Arial"/>
          <w:sz w:val="24"/>
          <w:szCs w:val="24"/>
        </w:rPr>
        <w:t xml:space="preserve"> visión clásica de campo-ciudad</w:t>
      </w:r>
      <w:r w:rsidR="00833E2F">
        <w:rPr>
          <w:rFonts w:ascii="Cambria" w:hAnsi="Cambria" w:cs="Arial"/>
          <w:sz w:val="24"/>
          <w:szCs w:val="24"/>
        </w:rPr>
        <w:t xml:space="preserve"> tal como lo menciona Rodríguez y Saborío (2008): </w:t>
      </w:r>
    </w:p>
    <w:p w14:paraId="3CB25749" w14:textId="77777777" w:rsidR="00833E2F" w:rsidRPr="00833E2F" w:rsidRDefault="00833E2F" w:rsidP="00F507BE">
      <w:pPr>
        <w:spacing w:after="0" w:line="240" w:lineRule="auto"/>
        <w:ind w:firstLine="708"/>
        <w:jc w:val="both"/>
        <w:rPr>
          <w:rFonts w:ascii="Cambria" w:hAnsi="Cambria" w:cs="Arial"/>
          <w:sz w:val="24"/>
          <w:szCs w:val="24"/>
          <w:lang w:val="es-ES"/>
        </w:rPr>
      </w:pPr>
    </w:p>
    <w:p w14:paraId="20CB69EE" w14:textId="18BCE9B8" w:rsidR="00833E2F" w:rsidRDefault="00F507BE" w:rsidP="00F507BE">
      <w:pPr>
        <w:spacing w:after="0" w:line="240" w:lineRule="auto"/>
        <w:ind w:firstLine="708"/>
        <w:jc w:val="both"/>
        <w:rPr>
          <w:rFonts w:ascii="Cambria" w:hAnsi="Cambria" w:cs="Arial"/>
          <w:i/>
          <w:sz w:val="24"/>
          <w:szCs w:val="24"/>
        </w:rPr>
      </w:pPr>
      <w:r w:rsidRPr="00833E2F">
        <w:rPr>
          <w:rFonts w:ascii="Cambria" w:hAnsi="Cambria" w:cs="Arial"/>
          <w:i/>
          <w:sz w:val="24"/>
          <w:szCs w:val="24"/>
        </w:rPr>
        <w:t>“Sin embargo, la dicotomía rural-urbano sigue siendo el marco de referencia de los sistemas de información en que se apoya la toma de decisiones para el desarrollo local (…), constituye una limitación para la creación y puesta en práctica de políticas públicas e iniciativas de desarrollo”</w:t>
      </w:r>
      <w:r w:rsidR="00514B59">
        <w:rPr>
          <w:rFonts w:ascii="Cambria" w:hAnsi="Cambria" w:cs="Arial"/>
          <w:i/>
          <w:sz w:val="24"/>
          <w:szCs w:val="24"/>
        </w:rPr>
        <w:t xml:space="preserve"> </w:t>
      </w:r>
    </w:p>
    <w:p w14:paraId="45BA0250" w14:textId="77777777" w:rsidR="00B631BB" w:rsidRDefault="00B631BB" w:rsidP="00F507BE">
      <w:pPr>
        <w:spacing w:after="0" w:line="240" w:lineRule="auto"/>
        <w:ind w:firstLine="708"/>
        <w:jc w:val="both"/>
        <w:rPr>
          <w:rFonts w:ascii="Cambria" w:hAnsi="Cambria" w:cs="Arial"/>
          <w:i/>
          <w:sz w:val="24"/>
          <w:szCs w:val="24"/>
        </w:rPr>
      </w:pPr>
    </w:p>
    <w:p w14:paraId="36ABA435" w14:textId="581DD364" w:rsidR="00F507BE" w:rsidRDefault="00833E2F" w:rsidP="00F507BE">
      <w:pPr>
        <w:spacing w:after="0" w:line="240" w:lineRule="auto"/>
        <w:ind w:firstLine="708"/>
        <w:jc w:val="both"/>
        <w:rPr>
          <w:rFonts w:ascii="Cambria" w:hAnsi="Cambria" w:cs="Arial"/>
          <w:sz w:val="24"/>
          <w:szCs w:val="24"/>
        </w:rPr>
      </w:pPr>
      <w:r>
        <w:rPr>
          <w:rFonts w:ascii="Cambria" w:hAnsi="Cambria" w:cs="Arial"/>
          <w:sz w:val="24"/>
          <w:szCs w:val="24"/>
        </w:rPr>
        <w:t>En especial porque se analizan actividades primarias</w:t>
      </w:r>
      <w:r w:rsidR="008D42B4">
        <w:rPr>
          <w:rFonts w:ascii="Cambria" w:hAnsi="Cambria" w:cs="Arial"/>
          <w:sz w:val="24"/>
          <w:szCs w:val="24"/>
        </w:rPr>
        <w:t xml:space="preserve"> asociadas a escaso valor agregado, sin contemplar actividades económicas paralelas o intrínsecas que generan efectos positivos sobre una actividad específica, el cual, en Costa Rica no se libra de esa concepción. </w:t>
      </w:r>
      <w:r w:rsidR="00F507BE" w:rsidRPr="00833E2F">
        <w:rPr>
          <w:rFonts w:ascii="Cambria" w:hAnsi="Cambria" w:cs="Arial"/>
          <w:i/>
          <w:sz w:val="24"/>
          <w:szCs w:val="24"/>
        </w:rPr>
        <w:t xml:space="preserve"> </w:t>
      </w:r>
      <w:sdt>
        <w:sdtPr>
          <w:rPr>
            <w:rFonts w:ascii="Cambria" w:hAnsi="Cambria" w:cs="Arial"/>
            <w:sz w:val="24"/>
            <w:szCs w:val="24"/>
          </w:rPr>
          <w:id w:val="-1777090920"/>
          <w:citation/>
        </w:sdtPr>
        <w:sdtEndPr/>
        <w:sdtContent>
          <w:r w:rsidR="005C7CB3" w:rsidRPr="00431183">
            <w:rPr>
              <w:rFonts w:ascii="Cambria" w:hAnsi="Cambria" w:cs="Arial"/>
              <w:sz w:val="24"/>
              <w:szCs w:val="24"/>
            </w:rPr>
            <w:fldChar w:fldCharType="begin"/>
          </w:r>
          <w:r w:rsidR="00F507BE" w:rsidRPr="00431183">
            <w:rPr>
              <w:rFonts w:ascii="Cambria" w:hAnsi="Cambria" w:cs="Arial"/>
              <w:sz w:val="24"/>
              <w:szCs w:val="24"/>
            </w:rPr>
            <w:instrText xml:space="preserve">CITATION Rod08 \p 23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(Rodríguez &amp; Saborío, 2008, pág. 23)</w:t>
          </w:r>
          <w:r w:rsidR="005C7CB3" w:rsidRPr="00431183">
            <w:rPr>
              <w:rFonts w:ascii="Cambria" w:hAnsi="Cambria" w:cs="Arial"/>
              <w:sz w:val="24"/>
              <w:szCs w:val="24"/>
            </w:rPr>
            <w:fldChar w:fldCharType="end"/>
          </w:r>
        </w:sdtContent>
      </w:sdt>
      <w:r w:rsidR="00F507BE" w:rsidRPr="00431183">
        <w:rPr>
          <w:rFonts w:ascii="Cambria" w:hAnsi="Cambria" w:cs="Arial"/>
          <w:sz w:val="24"/>
          <w:szCs w:val="24"/>
        </w:rPr>
        <w:t xml:space="preserve">. </w:t>
      </w:r>
    </w:p>
    <w:p w14:paraId="71C74970" w14:textId="77777777" w:rsidR="00F507BE" w:rsidRPr="00431183" w:rsidRDefault="00F507BE" w:rsidP="00F507BE">
      <w:pPr>
        <w:spacing w:after="0" w:line="240" w:lineRule="auto"/>
        <w:ind w:firstLine="708"/>
        <w:jc w:val="both"/>
        <w:rPr>
          <w:rFonts w:ascii="Cambria" w:hAnsi="Cambria" w:cs="Arial"/>
          <w:sz w:val="24"/>
          <w:szCs w:val="24"/>
        </w:rPr>
      </w:pPr>
    </w:p>
    <w:p w14:paraId="055932C5" w14:textId="06203B3E" w:rsidR="00F507BE" w:rsidRDefault="008D42B4" w:rsidP="00F507BE">
      <w:pPr>
        <w:spacing w:after="0" w:line="240" w:lineRule="auto"/>
        <w:ind w:firstLine="708"/>
        <w:jc w:val="both"/>
        <w:rPr>
          <w:rFonts w:ascii="Cambria" w:hAnsi="Cambria" w:cs="Arial"/>
          <w:sz w:val="24"/>
          <w:szCs w:val="24"/>
        </w:rPr>
      </w:pPr>
      <w:r>
        <w:rPr>
          <w:rFonts w:ascii="Cambria" w:hAnsi="Cambria" w:cs="Arial"/>
          <w:sz w:val="24"/>
          <w:szCs w:val="24"/>
        </w:rPr>
        <w:t>E</w:t>
      </w:r>
      <w:r w:rsidR="00F507BE" w:rsidRPr="00431183">
        <w:rPr>
          <w:rFonts w:ascii="Cambria" w:hAnsi="Cambria" w:cs="Arial"/>
          <w:sz w:val="24"/>
          <w:szCs w:val="24"/>
        </w:rPr>
        <w:t>n Costa Rica se tiene una perspectiva de lo rural asociado a temas de agricultura primaria de escaso valor agregado</w:t>
      </w:r>
      <w:r w:rsidR="009B4452">
        <w:rPr>
          <w:rFonts w:ascii="Cambria" w:hAnsi="Cambria" w:cs="Arial"/>
          <w:sz w:val="24"/>
          <w:szCs w:val="24"/>
        </w:rPr>
        <w:t>,</w:t>
      </w:r>
      <w:r w:rsidR="00B631BB">
        <w:rPr>
          <w:rFonts w:ascii="Cambria" w:hAnsi="Cambria" w:cs="Arial"/>
          <w:sz w:val="24"/>
          <w:szCs w:val="24"/>
        </w:rPr>
        <w:t xml:space="preserve"> no se introduce los análisis locales, ni regionales de una producción específica, el cual,</w:t>
      </w:r>
      <w:r w:rsidR="009B4452">
        <w:rPr>
          <w:rFonts w:ascii="Cambria" w:hAnsi="Cambria" w:cs="Arial"/>
          <w:sz w:val="24"/>
          <w:szCs w:val="24"/>
        </w:rPr>
        <w:t xml:space="preserve"> según la </w:t>
      </w:r>
      <w:r w:rsidR="005A1D3D">
        <w:rPr>
          <w:rFonts w:ascii="Cambria" w:hAnsi="Cambria" w:cs="Arial"/>
          <w:sz w:val="24"/>
          <w:szCs w:val="24"/>
        </w:rPr>
        <w:t>Secretaria Ejecutiva de Planificación Sectorial y Agropecuaria el sector ha experimentado una serie de cambios sobre su producción</w:t>
      </w:r>
      <w:r w:rsidR="00F507BE" w:rsidRPr="00431183">
        <w:rPr>
          <w:rFonts w:ascii="Cambria" w:hAnsi="Cambria" w:cs="Arial"/>
          <w:sz w:val="24"/>
          <w:szCs w:val="24"/>
        </w:rPr>
        <w:t>,</w:t>
      </w:r>
      <w:r w:rsidR="005A1D3D">
        <w:rPr>
          <w:rFonts w:ascii="Cambria" w:hAnsi="Cambria" w:cs="Arial"/>
          <w:sz w:val="24"/>
          <w:szCs w:val="24"/>
        </w:rPr>
        <w:t xml:space="preserve"> con el recto de iniciar una transformación sobre </w:t>
      </w:r>
      <w:r w:rsidR="00F507BE" w:rsidRPr="00431183">
        <w:rPr>
          <w:rFonts w:ascii="Cambria" w:hAnsi="Cambria" w:cs="Arial"/>
          <w:sz w:val="24"/>
          <w:szCs w:val="24"/>
        </w:rPr>
        <w:t>actividades económicas tradicionales</w:t>
      </w:r>
      <w:r w:rsidR="005A1D3D">
        <w:rPr>
          <w:rFonts w:ascii="Cambria" w:hAnsi="Cambria" w:cs="Arial"/>
          <w:sz w:val="24"/>
          <w:szCs w:val="24"/>
        </w:rPr>
        <w:t>, debido a que existe una</w:t>
      </w:r>
      <w:r w:rsidR="00F507BE" w:rsidRPr="00431183">
        <w:rPr>
          <w:rFonts w:ascii="Cambria" w:hAnsi="Cambria" w:cs="Arial"/>
          <w:sz w:val="24"/>
          <w:szCs w:val="24"/>
        </w:rPr>
        <w:t xml:space="preserve"> incapac</w:t>
      </w:r>
      <w:r w:rsidR="005A1D3D">
        <w:rPr>
          <w:rFonts w:ascii="Cambria" w:hAnsi="Cambria" w:cs="Arial"/>
          <w:sz w:val="24"/>
          <w:szCs w:val="24"/>
        </w:rPr>
        <w:t>idad para una correcta formulación de</w:t>
      </w:r>
      <w:r w:rsidR="00F507BE" w:rsidRPr="00431183">
        <w:rPr>
          <w:rFonts w:ascii="Cambria" w:hAnsi="Cambria" w:cs="Arial"/>
          <w:sz w:val="24"/>
          <w:szCs w:val="24"/>
        </w:rPr>
        <w:t xml:space="preserve"> estrategias de diferenciación</w:t>
      </w:r>
      <w:r w:rsidR="005A1D3D">
        <w:rPr>
          <w:rFonts w:ascii="Cambria" w:hAnsi="Cambria" w:cs="Arial"/>
          <w:sz w:val="24"/>
          <w:szCs w:val="24"/>
        </w:rPr>
        <w:t xml:space="preserve">, en casos donde existen </w:t>
      </w:r>
      <w:r w:rsidR="00F507BE" w:rsidRPr="00431183">
        <w:rPr>
          <w:rFonts w:ascii="Cambria" w:hAnsi="Cambria" w:cs="Arial"/>
          <w:sz w:val="24"/>
          <w:szCs w:val="24"/>
        </w:rPr>
        <w:t xml:space="preserve"> características específicas de su producción</w:t>
      </w:r>
      <w:r w:rsidR="00F507BE">
        <w:rPr>
          <w:rFonts w:ascii="Cambria" w:hAnsi="Cambria" w:cs="Arial"/>
          <w:sz w:val="24"/>
          <w:szCs w:val="24"/>
        </w:rPr>
        <w:t xml:space="preserve"> que se ubican en las periferias de regiones donde se desarrollan actividades económicas de mayor valor agregado. </w:t>
      </w:r>
    </w:p>
    <w:p w14:paraId="49FD6464" w14:textId="77777777" w:rsidR="005A1D3D" w:rsidRDefault="005A1D3D" w:rsidP="00F507BE">
      <w:pPr>
        <w:spacing w:after="0" w:line="240" w:lineRule="auto"/>
        <w:ind w:firstLine="708"/>
        <w:jc w:val="both"/>
        <w:rPr>
          <w:rFonts w:ascii="Cambria" w:hAnsi="Cambria" w:cs="Arial"/>
          <w:sz w:val="24"/>
          <w:szCs w:val="24"/>
        </w:rPr>
      </w:pPr>
    </w:p>
    <w:p w14:paraId="1EEF6678" w14:textId="2022CD83" w:rsidR="00F33572" w:rsidRDefault="005A1D3D" w:rsidP="002D1224">
      <w:pPr>
        <w:spacing w:after="0" w:line="240" w:lineRule="auto"/>
        <w:ind w:firstLine="708"/>
        <w:jc w:val="both"/>
        <w:rPr>
          <w:rFonts w:ascii="Cambria" w:hAnsi="Cambria" w:cs="Arial"/>
          <w:sz w:val="24"/>
          <w:szCs w:val="24"/>
        </w:rPr>
      </w:pPr>
      <w:r>
        <w:rPr>
          <w:rFonts w:ascii="Cambria" w:hAnsi="Cambria" w:cs="Arial"/>
          <w:sz w:val="24"/>
          <w:szCs w:val="24"/>
        </w:rPr>
        <w:t>No obstante, en medio de un contexto de apertura</w:t>
      </w:r>
      <w:r w:rsidR="002D1224">
        <w:rPr>
          <w:rFonts w:ascii="Cambria" w:hAnsi="Cambria" w:cs="Arial"/>
          <w:sz w:val="24"/>
          <w:szCs w:val="24"/>
        </w:rPr>
        <w:t>,</w:t>
      </w:r>
      <w:r>
        <w:rPr>
          <w:rFonts w:ascii="Cambria" w:hAnsi="Cambria" w:cs="Arial"/>
          <w:sz w:val="24"/>
          <w:szCs w:val="24"/>
        </w:rPr>
        <w:t xml:space="preserve"> grupos locales de productores de actividades tradicionales formula</w:t>
      </w:r>
      <w:r w:rsidR="002D1224">
        <w:rPr>
          <w:rFonts w:ascii="Cambria" w:hAnsi="Cambria" w:cs="Arial"/>
          <w:sz w:val="24"/>
          <w:szCs w:val="24"/>
        </w:rPr>
        <w:t>n</w:t>
      </w:r>
      <w:r>
        <w:rPr>
          <w:rFonts w:ascii="Cambria" w:hAnsi="Cambria" w:cs="Arial"/>
          <w:sz w:val="24"/>
          <w:szCs w:val="24"/>
        </w:rPr>
        <w:t xml:space="preserve"> una serie de alternativas para proteger la producción local, sumado a otros programas inmersos en otros sectores económicos que pueden contribuir con la dotación de recursos.</w:t>
      </w:r>
      <w:r w:rsidR="002D1224">
        <w:rPr>
          <w:rFonts w:ascii="Cambria" w:hAnsi="Cambria" w:cs="Arial"/>
          <w:sz w:val="24"/>
          <w:szCs w:val="24"/>
        </w:rPr>
        <w:t xml:space="preserve"> en este sentido</w:t>
      </w:r>
      <w:r w:rsidR="00F33572">
        <w:rPr>
          <w:rFonts w:ascii="Cambria" w:hAnsi="Cambria" w:cs="Arial"/>
          <w:sz w:val="24"/>
          <w:szCs w:val="24"/>
        </w:rPr>
        <w:t>,</w:t>
      </w:r>
      <w:r>
        <w:rPr>
          <w:rFonts w:ascii="Cambria" w:hAnsi="Cambria" w:cs="Arial"/>
          <w:sz w:val="24"/>
          <w:szCs w:val="24"/>
        </w:rPr>
        <w:t xml:space="preserve"> </w:t>
      </w:r>
      <w:r w:rsidR="002D1224">
        <w:rPr>
          <w:rFonts w:ascii="Cambria" w:hAnsi="Cambria" w:cs="Arial"/>
          <w:sz w:val="24"/>
          <w:szCs w:val="24"/>
        </w:rPr>
        <w:t xml:space="preserve">una </w:t>
      </w:r>
      <w:r w:rsidR="00F507BE" w:rsidRPr="00431183">
        <w:rPr>
          <w:rFonts w:ascii="Cambria" w:hAnsi="Cambria" w:cs="Arial"/>
          <w:sz w:val="24"/>
          <w:szCs w:val="24"/>
        </w:rPr>
        <w:lastRenderedPageBreak/>
        <w:t>D</w:t>
      </w:r>
      <w:r w:rsidR="00B631BB">
        <w:rPr>
          <w:rFonts w:ascii="Cambria" w:hAnsi="Cambria" w:cs="Arial"/>
          <w:sz w:val="24"/>
          <w:szCs w:val="24"/>
        </w:rPr>
        <w:t xml:space="preserve">enominación de </w:t>
      </w:r>
      <w:r w:rsidR="00F507BE" w:rsidRPr="00431183">
        <w:rPr>
          <w:rFonts w:ascii="Cambria" w:hAnsi="Cambria" w:cs="Arial"/>
          <w:sz w:val="24"/>
          <w:szCs w:val="24"/>
        </w:rPr>
        <w:t>O</w:t>
      </w:r>
      <w:r w:rsidR="00B631BB">
        <w:rPr>
          <w:rFonts w:ascii="Cambria" w:hAnsi="Cambria" w:cs="Arial"/>
          <w:sz w:val="24"/>
          <w:szCs w:val="24"/>
        </w:rPr>
        <w:t>rigen</w:t>
      </w:r>
      <w:r w:rsidR="00F507BE" w:rsidRPr="00431183">
        <w:rPr>
          <w:rFonts w:ascii="Cambria" w:hAnsi="Cambria" w:cs="Arial"/>
          <w:sz w:val="24"/>
          <w:szCs w:val="24"/>
        </w:rPr>
        <w:t xml:space="preserve"> como la de Tarrazú, </w:t>
      </w:r>
      <w:r>
        <w:rPr>
          <w:rFonts w:ascii="Cambria" w:hAnsi="Cambria" w:cs="Arial"/>
          <w:sz w:val="24"/>
          <w:szCs w:val="24"/>
        </w:rPr>
        <w:t>es un</w:t>
      </w:r>
      <w:r w:rsidR="00F507BE" w:rsidRPr="00431183">
        <w:rPr>
          <w:rFonts w:ascii="Cambria" w:hAnsi="Cambria" w:cs="Arial"/>
          <w:sz w:val="24"/>
          <w:szCs w:val="24"/>
        </w:rPr>
        <w:t xml:space="preserve"> distintivo legal para dar valor agregado a una producción local</w:t>
      </w:r>
      <w:r w:rsidR="00F33572">
        <w:rPr>
          <w:rFonts w:ascii="Cambria" w:hAnsi="Cambria" w:cs="Arial"/>
          <w:sz w:val="24"/>
          <w:szCs w:val="24"/>
        </w:rPr>
        <w:t xml:space="preserve">.  Lo </w:t>
      </w:r>
      <w:r w:rsidR="002D1224">
        <w:rPr>
          <w:rFonts w:ascii="Cambria" w:hAnsi="Cambria" w:cs="Arial"/>
          <w:sz w:val="24"/>
          <w:szCs w:val="24"/>
        </w:rPr>
        <w:t>que implicaría</w:t>
      </w:r>
      <w:r w:rsidR="00B631BB">
        <w:rPr>
          <w:rFonts w:ascii="Cambria" w:hAnsi="Cambria" w:cs="Arial"/>
          <w:sz w:val="24"/>
          <w:szCs w:val="24"/>
        </w:rPr>
        <w:t xml:space="preserve"> </w:t>
      </w:r>
      <w:r w:rsidR="00F33572">
        <w:rPr>
          <w:rFonts w:ascii="Cambria" w:hAnsi="Cambria" w:cs="Arial"/>
          <w:sz w:val="24"/>
          <w:szCs w:val="24"/>
        </w:rPr>
        <w:t>llevar a cabo otras actividades económicas adicionales a las tradicionales como</w:t>
      </w:r>
      <w:r w:rsidR="00B631BB">
        <w:rPr>
          <w:rFonts w:ascii="Cambria" w:hAnsi="Cambria" w:cs="Arial"/>
          <w:sz w:val="24"/>
          <w:szCs w:val="24"/>
        </w:rPr>
        <w:t xml:space="preserve"> </w:t>
      </w:r>
      <w:r w:rsidR="00F33572">
        <w:rPr>
          <w:rFonts w:ascii="Cambria" w:hAnsi="Cambria" w:cs="Arial"/>
          <w:sz w:val="24"/>
          <w:szCs w:val="24"/>
        </w:rPr>
        <w:t>el</w:t>
      </w:r>
      <w:r w:rsidR="00F507BE" w:rsidRPr="00431183">
        <w:rPr>
          <w:rFonts w:ascii="Cambria" w:hAnsi="Cambria" w:cs="Arial"/>
          <w:sz w:val="24"/>
          <w:szCs w:val="24"/>
        </w:rPr>
        <w:t xml:space="preserve"> procesamiento y exportación,</w:t>
      </w:r>
      <w:r w:rsidR="00F33572">
        <w:rPr>
          <w:rFonts w:ascii="Cambria" w:hAnsi="Cambria" w:cs="Arial"/>
          <w:sz w:val="24"/>
          <w:szCs w:val="24"/>
        </w:rPr>
        <w:t xml:space="preserve"> </w:t>
      </w:r>
      <w:r w:rsidR="002D1224">
        <w:rPr>
          <w:rFonts w:ascii="Cambria" w:hAnsi="Cambria" w:cs="Arial"/>
          <w:sz w:val="24"/>
          <w:szCs w:val="24"/>
        </w:rPr>
        <w:t xml:space="preserve">para ello, se vuelve necesario contar con recursos monetarios que en muchos casos los productores no son capaces de aportar, es aquí donde cobra relevancia la Banca para el Desarrollo. </w:t>
      </w:r>
      <w:r w:rsidR="00F33572">
        <w:rPr>
          <w:rFonts w:ascii="Cambria" w:hAnsi="Cambria" w:cs="Arial"/>
          <w:sz w:val="24"/>
          <w:szCs w:val="24"/>
        </w:rPr>
        <w:t xml:space="preserve"> </w:t>
      </w:r>
    </w:p>
    <w:p w14:paraId="2CE3DAED" w14:textId="09437BDA" w:rsidR="00F33572" w:rsidRDefault="00F507BE">
      <w:pPr>
        <w:spacing w:after="0" w:line="240" w:lineRule="auto"/>
        <w:ind w:firstLine="708"/>
        <w:jc w:val="both"/>
        <w:rPr>
          <w:rFonts w:ascii="Cambria" w:hAnsi="Cambria" w:cs="Arial"/>
          <w:sz w:val="24"/>
          <w:szCs w:val="24"/>
        </w:rPr>
      </w:pPr>
      <w:r w:rsidRPr="00431183">
        <w:rPr>
          <w:rFonts w:ascii="Cambria" w:hAnsi="Cambria" w:cs="Arial"/>
          <w:sz w:val="24"/>
          <w:szCs w:val="24"/>
        </w:rPr>
        <w:t xml:space="preserve"> </w:t>
      </w:r>
      <w:r w:rsidR="00F33572">
        <w:rPr>
          <w:rFonts w:ascii="Cambria" w:hAnsi="Cambria" w:cs="Arial"/>
          <w:sz w:val="24"/>
          <w:szCs w:val="24"/>
        </w:rPr>
        <w:t>A</w:t>
      </w:r>
      <w:r w:rsidR="00F33572" w:rsidRPr="00431183">
        <w:rPr>
          <w:rFonts w:ascii="Cambria" w:hAnsi="Cambria" w:cs="Arial"/>
          <w:sz w:val="24"/>
          <w:szCs w:val="24"/>
        </w:rPr>
        <w:t>demás,</w:t>
      </w:r>
      <w:r w:rsidRPr="00431183">
        <w:rPr>
          <w:rFonts w:ascii="Cambria" w:hAnsi="Cambria" w:cs="Arial"/>
          <w:sz w:val="24"/>
          <w:szCs w:val="24"/>
        </w:rPr>
        <w:t xml:space="preserve"> </w:t>
      </w:r>
      <w:r w:rsidR="00B631BB">
        <w:rPr>
          <w:rFonts w:ascii="Cambria" w:hAnsi="Cambria" w:cs="Arial"/>
          <w:sz w:val="24"/>
          <w:szCs w:val="24"/>
        </w:rPr>
        <w:t>una</w:t>
      </w:r>
      <w:r w:rsidR="00F33572">
        <w:rPr>
          <w:rFonts w:ascii="Cambria" w:hAnsi="Cambria" w:cs="Arial"/>
          <w:sz w:val="24"/>
          <w:szCs w:val="24"/>
        </w:rPr>
        <w:t xml:space="preserve"> implicación de usar </w:t>
      </w:r>
      <w:r w:rsidR="00B631BB">
        <w:rPr>
          <w:rFonts w:ascii="Cambria" w:hAnsi="Cambria" w:cs="Arial"/>
          <w:sz w:val="24"/>
          <w:szCs w:val="24"/>
        </w:rPr>
        <w:t>la</w:t>
      </w:r>
      <w:r w:rsidR="00F33572">
        <w:rPr>
          <w:rFonts w:ascii="Cambria" w:hAnsi="Cambria" w:cs="Arial"/>
          <w:sz w:val="24"/>
          <w:szCs w:val="24"/>
        </w:rPr>
        <w:t xml:space="preserve"> D</w:t>
      </w:r>
      <w:r w:rsidR="00B631BB">
        <w:rPr>
          <w:rFonts w:ascii="Cambria" w:hAnsi="Cambria" w:cs="Arial"/>
          <w:sz w:val="24"/>
          <w:szCs w:val="24"/>
        </w:rPr>
        <w:t xml:space="preserve">enominación de </w:t>
      </w:r>
      <w:r w:rsidR="00F33572">
        <w:rPr>
          <w:rFonts w:ascii="Cambria" w:hAnsi="Cambria" w:cs="Arial"/>
          <w:sz w:val="24"/>
          <w:szCs w:val="24"/>
        </w:rPr>
        <w:t>O</w:t>
      </w:r>
      <w:r w:rsidR="00B631BB">
        <w:rPr>
          <w:rFonts w:ascii="Cambria" w:hAnsi="Cambria" w:cs="Arial"/>
          <w:sz w:val="24"/>
          <w:szCs w:val="24"/>
        </w:rPr>
        <w:t>rigen</w:t>
      </w:r>
      <w:r w:rsidR="00F33572">
        <w:rPr>
          <w:rFonts w:ascii="Cambria" w:hAnsi="Cambria" w:cs="Arial"/>
          <w:sz w:val="24"/>
          <w:szCs w:val="24"/>
        </w:rPr>
        <w:t xml:space="preserve"> Tarraz</w:t>
      </w:r>
      <w:r w:rsidR="002D1224">
        <w:rPr>
          <w:rFonts w:ascii="Cambria" w:hAnsi="Cambria" w:cs="Arial"/>
          <w:sz w:val="24"/>
          <w:szCs w:val="24"/>
        </w:rPr>
        <w:t>ú</w:t>
      </w:r>
      <w:r w:rsidR="00F33572">
        <w:rPr>
          <w:rFonts w:ascii="Cambria" w:hAnsi="Cambria" w:cs="Arial"/>
          <w:sz w:val="24"/>
          <w:szCs w:val="24"/>
        </w:rPr>
        <w:t xml:space="preserve">, es lo referente a la formulación de </w:t>
      </w:r>
      <w:r w:rsidRPr="00431183">
        <w:rPr>
          <w:rFonts w:ascii="Cambria" w:hAnsi="Cambria" w:cs="Arial"/>
          <w:sz w:val="24"/>
          <w:szCs w:val="24"/>
        </w:rPr>
        <w:t>estrategia</w:t>
      </w:r>
      <w:r w:rsidR="00F33572">
        <w:rPr>
          <w:rFonts w:ascii="Cambria" w:hAnsi="Cambria" w:cs="Arial"/>
          <w:sz w:val="24"/>
          <w:szCs w:val="24"/>
        </w:rPr>
        <w:t>s para</w:t>
      </w:r>
      <w:r w:rsidRPr="00431183">
        <w:rPr>
          <w:rFonts w:ascii="Cambria" w:hAnsi="Cambria" w:cs="Arial"/>
          <w:sz w:val="24"/>
          <w:szCs w:val="24"/>
        </w:rPr>
        <w:t xml:space="preserve"> ingresar a mercados diferenciados de café y romper con la dependencia de la volatilidad de </w:t>
      </w:r>
      <w:r w:rsidR="002D1224">
        <w:rPr>
          <w:rFonts w:ascii="Cambria" w:hAnsi="Cambria" w:cs="Arial"/>
          <w:sz w:val="24"/>
          <w:szCs w:val="24"/>
        </w:rPr>
        <w:t>sus</w:t>
      </w:r>
      <w:r w:rsidR="002D1224" w:rsidRPr="00431183">
        <w:rPr>
          <w:rFonts w:ascii="Cambria" w:hAnsi="Cambria" w:cs="Arial"/>
          <w:sz w:val="24"/>
          <w:szCs w:val="24"/>
        </w:rPr>
        <w:t xml:space="preserve"> </w:t>
      </w:r>
      <w:r w:rsidRPr="00431183">
        <w:rPr>
          <w:rFonts w:ascii="Cambria" w:hAnsi="Cambria" w:cs="Arial"/>
          <w:sz w:val="24"/>
          <w:szCs w:val="24"/>
        </w:rPr>
        <w:t>precios internacionales</w:t>
      </w:r>
      <w:r>
        <w:rPr>
          <w:rFonts w:ascii="Cambria" w:hAnsi="Cambria" w:cs="Arial"/>
          <w:sz w:val="24"/>
          <w:szCs w:val="24"/>
        </w:rPr>
        <w:t xml:space="preserve">, por ende, </w:t>
      </w:r>
      <w:r w:rsidR="00F33572">
        <w:rPr>
          <w:rFonts w:ascii="Cambria" w:hAnsi="Cambria" w:cs="Arial"/>
          <w:sz w:val="24"/>
          <w:szCs w:val="24"/>
        </w:rPr>
        <w:t xml:space="preserve">es necesario </w:t>
      </w:r>
      <w:r w:rsidR="002D1224">
        <w:rPr>
          <w:rFonts w:ascii="Cambria" w:hAnsi="Cambria" w:cs="Arial"/>
          <w:sz w:val="24"/>
          <w:szCs w:val="24"/>
        </w:rPr>
        <w:t xml:space="preserve">tener claridad de cuáles </w:t>
      </w:r>
      <w:r w:rsidR="00F33572">
        <w:rPr>
          <w:rFonts w:ascii="Cambria" w:hAnsi="Cambria" w:cs="Arial"/>
          <w:sz w:val="24"/>
          <w:szCs w:val="24"/>
        </w:rPr>
        <w:t>otras inversiones tendría</w:t>
      </w:r>
      <w:r w:rsidR="002D1224">
        <w:rPr>
          <w:rFonts w:ascii="Cambria" w:hAnsi="Cambria" w:cs="Arial"/>
          <w:sz w:val="24"/>
          <w:szCs w:val="24"/>
        </w:rPr>
        <w:t>n</w:t>
      </w:r>
      <w:r w:rsidR="00F33572">
        <w:rPr>
          <w:rFonts w:ascii="Cambria" w:hAnsi="Cambria" w:cs="Arial"/>
          <w:sz w:val="24"/>
          <w:szCs w:val="24"/>
        </w:rPr>
        <w:t xml:space="preserve"> que asumir </w:t>
      </w:r>
      <w:r w:rsidR="002D1224">
        <w:rPr>
          <w:rFonts w:ascii="Cambria" w:hAnsi="Cambria" w:cs="Arial"/>
          <w:sz w:val="24"/>
          <w:szCs w:val="24"/>
        </w:rPr>
        <w:t xml:space="preserve">los </w:t>
      </w:r>
      <w:r w:rsidR="00F33572">
        <w:rPr>
          <w:rFonts w:ascii="Cambria" w:hAnsi="Cambria" w:cs="Arial"/>
          <w:sz w:val="24"/>
          <w:szCs w:val="24"/>
        </w:rPr>
        <w:t>productor</w:t>
      </w:r>
      <w:r w:rsidR="002D1224">
        <w:rPr>
          <w:rFonts w:ascii="Cambria" w:hAnsi="Cambria" w:cs="Arial"/>
          <w:sz w:val="24"/>
          <w:szCs w:val="24"/>
        </w:rPr>
        <w:t>es</w:t>
      </w:r>
      <w:r w:rsidR="00F33572">
        <w:rPr>
          <w:rFonts w:ascii="Cambria" w:hAnsi="Cambria" w:cs="Arial"/>
          <w:sz w:val="24"/>
          <w:szCs w:val="24"/>
        </w:rPr>
        <w:t>.</w:t>
      </w:r>
    </w:p>
    <w:p w14:paraId="43D3999B" w14:textId="502AF63C" w:rsidR="00F33572" w:rsidRPr="00431183" w:rsidRDefault="002D1224">
      <w:pPr>
        <w:spacing w:after="0" w:line="240" w:lineRule="auto"/>
        <w:ind w:firstLine="708"/>
        <w:jc w:val="both"/>
        <w:rPr>
          <w:rFonts w:ascii="Cambria" w:hAnsi="Cambria" w:cs="Arial"/>
          <w:sz w:val="24"/>
          <w:szCs w:val="24"/>
        </w:rPr>
      </w:pPr>
      <w:r>
        <w:rPr>
          <w:rFonts w:ascii="Cambria" w:hAnsi="Cambria" w:cs="Arial"/>
          <w:sz w:val="24"/>
          <w:szCs w:val="24"/>
        </w:rPr>
        <w:t>Por su parte, la Banca para el Desarrollo se plant</w:t>
      </w:r>
      <w:r w:rsidR="00B631BB">
        <w:rPr>
          <w:rFonts w:ascii="Cambria" w:hAnsi="Cambria" w:cs="Arial"/>
          <w:sz w:val="24"/>
          <w:szCs w:val="24"/>
        </w:rPr>
        <w:t>a</w:t>
      </w:r>
      <w:r>
        <w:rPr>
          <w:rFonts w:ascii="Cambria" w:hAnsi="Cambria" w:cs="Arial"/>
          <w:sz w:val="24"/>
          <w:szCs w:val="24"/>
        </w:rPr>
        <w:t xml:space="preserve"> </w:t>
      </w:r>
      <w:r w:rsidR="00B0099A">
        <w:rPr>
          <w:rFonts w:ascii="Cambria" w:hAnsi="Cambria" w:cs="Arial"/>
          <w:sz w:val="24"/>
          <w:szCs w:val="24"/>
        </w:rPr>
        <w:t xml:space="preserve">una serie de </w:t>
      </w:r>
      <w:r w:rsidR="00F33572">
        <w:rPr>
          <w:rFonts w:ascii="Cambria" w:hAnsi="Cambria" w:cs="Arial"/>
          <w:sz w:val="24"/>
          <w:szCs w:val="24"/>
        </w:rPr>
        <w:t>objetivos relacionados</w:t>
      </w:r>
      <w:r w:rsidR="00B631BB">
        <w:rPr>
          <w:rFonts w:ascii="Cambria" w:hAnsi="Cambria" w:cs="Arial"/>
          <w:sz w:val="24"/>
          <w:szCs w:val="24"/>
        </w:rPr>
        <w:t xml:space="preserve"> </w:t>
      </w:r>
      <w:r w:rsidR="00CD0602">
        <w:rPr>
          <w:rFonts w:ascii="Cambria" w:hAnsi="Cambria" w:cs="Arial"/>
          <w:sz w:val="24"/>
          <w:szCs w:val="24"/>
        </w:rPr>
        <w:t xml:space="preserve">con el </w:t>
      </w:r>
      <w:r w:rsidR="00F33572">
        <w:rPr>
          <w:rFonts w:ascii="Cambria" w:hAnsi="Cambria" w:cs="Arial"/>
          <w:sz w:val="24"/>
          <w:szCs w:val="24"/>
        </w:rPr>
        <w:t>desarrollo de actividades económicas</w:t>
      </w:r>
      <w:r w:rsidR="00B0099A">
        <w:rPr>
          <w:rFonts w:ascii="Cambria" w:hAnsi="Cambria" w:cs="Arial"/>
          <w:sz w:val="24"/>
          <w:szCs w:val="24"/>
        </w:rPr>
        <w:t xml:space="preserve"> en </w:t>
      </w:r>
      <w:r w:rsidR="00CD0602">
        <w:rPr>
          <w:rFonts w:ascii="Cambria" w:hAnsi="Cambria" w:cs="Arial"/>
          <w:sz w:val="24"/>
          <w:szCs w:val="24"/>
        </w:rPr>
        <w:t xml:space="preserve">los </w:t>
      </w:r>
      <w:r w:rsidR="00B0099A">
        <w:rPr>
          <w:rFonts w:ascii="Cambria" w:hAnsi="Cambria" w:cs="Arial"/>
          <w:sz w:val="24"/>
          <w:szCs w:val="24"/>
        </w:rPr>
        <w:t xml:space="preserve">sectores </w:t>
      </w:r>
      <w:r w:rsidR="00CD0602">
        <w:rPr>
          <w:rFonts w:ascii="Cambria" w:hAnsi="Cambria" w:cs="Arial"/>
          <w:sz w:val="24"/>
          <w:szCs w:val="24"/>
        </w:rPr>
        <w:t xml:space="preserve">productivos,  </w:t>
      </w:r>
      <w:r w:rsidR="00B0099A">
        <w:rPr>
          <w:rFonts w:ascii="Cambria" w:hAnsi="Cambria" w:cs="Arial"/>
          <w:sz w:val="24"/>
          <w:szCs w:val="24"/>
        </w:rPr>
        <w:t xml:space="preserve">entre ellos </w:t>
      </w:r>
      <w:r w:rsidR="00F33572">
        <w:rPr>
          <w:rFonts w:ascii="Cambria" w:hAnsi="Cambria" w:cs="Arial"/>
          <w:sz w:val="24"/>
          <w:szCs w:val="24"/>
        </w:rPr>
        <w:t>el agr</w:t>
      </w:r>
      <w:r w:rsidR="00CD0602">
        <w:rPr>
          <w:rFonts w:ascii="Cambria" w:hAnsi="Cambria" w:cs="Arial"/>
          <w:sz w:val="24"/>
          <w:szCs w:val="24"/>
        </w:rPr>
        <w:t>ícola</w:t>
      </w:r>
      <w:r w:rsidR="00F33572">
        <w:rPr>
          <w:rFonts w:ascii="Cambria" w:hAnsi="Cambria" w:cs="Arial"/>
          <w:sz w:val="24"/>
          <w:szCs w:val="24"/>
        </w:rPr>
        <w:t>,</w:t>
      </w:r>
      <w:r w:rsidR="00B0099A">
        <w:rPr>
          <w:rFonts w:ascii="Cambria" w:hAnsi="Cambria" w:cs="Arial"/>
          <w:sz w:val="24"/>
          <w:szCs w:val="24"/>
        </w:rPr>
        <w:t xml:space="preserve"> siendo este una alternativa para ser utilizado como</w:t>
      </w:r>
      <w:r w:rsidR="00F33572">
        <w:rPr>
          <w:rFonts w:ascii="Cambria" w:hAnsi="Cambria" w:cs="Arial"/>
          <w:sz w:val="24"/>
          <w:szCs w:val="24"/>
        </w:rPr>
        <w:t xml:space="preserve"> </w:t>
      </w:r>
      <w:r w:rsidR="00B0099A">
        <w:rPr>
          <w:rFonts w:ascii="Cambria" w:hAnsi="Cambria" w:cs="Arial"/>
          <w:sz w:val="24"/>
          <w:szCs w:val="24"/>
        </w:rPr>
        <w:t>una</w:t>
      </w:r>
      <w:r w:rsidR="00F507BE">
        <w:rPr>
          <w:rFonts w:ascii="Cambria" w:hAnsi="Cambria" w:cs="Arial"/>
          <w:sz w:val="24"/>
          <w:szCs w:val="24"/>
        </w:rPr>
        <w:t xml:space="preserve"> fuente de</w:t>
      </w:r>
      <w:r w:rsidR="00F33572">
        <w:rPr>
          <w:rFonts w:ascii="Cambria" w:hAnsi="Cambria" w:cs="Arial"/>
          <w:sz w:val="24"/>
          <w:szCs w:val="24"/>
        </w:rPr>
        <w:t xml:space="preserve"> </w:t>
      </w:r>
      <w:r w:rsidR="00F507BE" w:rsidRPr="00431183">
        <w:rPr>
          <w:rFonts w:ascii="Cambria" w:hAnsi="Cambria" w:cs="Arial"/>
          <w:sz w:val="24"/>
          <w:szCs w:val="24"/>
        </w:rPr>
        <w:t>recursos</w:t>
      </w:r>
      <w:r w:rsidR="00F33572">
        <w:rPr>
          <w:rFonts w:ascii="Cambria" w:hAnsi="Cambria" w:cs="Arial"/>
          <w:sz w:val="24"/>
          <w:szCs w:val="24"/>
        </w:rPr>
        <w:t xml:space="preserve"> para impulsar</w:t>
      </w:r>
      <w:r w:rsidR="00F507BE" w:rsidRPr="00431183">
        <w:rPr>
          <w:rFonts w:ascii="Cambria" w:hAnsi="Cambria" w:cs="Arial"/>
          <w:sz w:val="24"/>
          <w:szCs w:val="24"/>
        </w:rPr>
        <w:t xml:space="preserve"> estrategia</w:t>
      </w:r>
      <w:r w:rsidR="00F33572">
        <w:rPr>
          <w:rFonts w:ascii="Cambria" w:hAnsi="Cambria" w:cs="Arial"/>
          <w:sz w:val="24"/>
          <w:szCs w:val="24"/>
        </w:rPr>
        <w:t>s</w:t>
      </w:r>
      <w:r w:rsidR="00F507BE" w:rsidRPr="00431183">
        <w:rPr>
          <w:rFonts w:ascii="Cambria" w:hAnsi="Cambria" w:cs="Arial"/>
          <w:sz w:val="24"/>
          <w:szCs w:val="24"/>
        </w:rPr>
        <w:t xml:space="preserve"> de diferenciación</w:t>
      </w:r>
      <w:r w:rsidR="00F33572">
        <w:rPr>
          <w:rFonts w:ascii="Cambria" w:hAnsi="Cambria" w:cs="Arial"/>
          <w:sz w:val="24"/>
          <w:szCs w:val="24"/>
        </w:rPr>
        <w:t xml:space="preserve">, </w:t>
      </w:r>
      <w:r w:rsidR="009B383A">
        <w:rPr>
          <w:rFonts w:ascii="Cambria" w:hAnsi="Cambria" w:cs="Arial"/>
          <w:sz w:val="24"/>
          <w:szCs w:val="24"/>
        </w:rPr>
        <w:t xml:space="preserve">cambio tecnológico, impulso de nuevos productos, </w:t>
      </w:r>
      <w:r w:rsidR="00F33572">
        <w:rPr>
          <w:rFonts w:ascii="Cambria" w:hAnsi="Cambria" w:cs="Arial"/>
          <w:sz w:val="24"/>
          <w:szCs w:val="24"/>
        </w:rPr>
        <w:t xml:space="preserve">además, analizar que otras contribuciones se pueden obtener de vincular un programa financiero con una actividad económica del sector real de la economía. </w:t>
      </w:r>
    </w:p>
    <w:p w14:paraId="27B89D76" w14:textId="77777777" w:rsidR="009B383A" w:rsidRDefault="00F507BE" w:rsidP="00F507BE">
      <w:pPr>
        <w:spacing w:after="0" w:line="240" w:lineRule="auto"/>
        <w:ind w:firstLine="708"/>
        <w:jc w:val="both"/>
        <w:rPr>
          <w:rFonts w:ascii="Cambria" w:hAnsi="Cambria" w:cs="Arial"/>
          <w:sz w:val="24"/>
          <w:szCs w:val="24"/>
          <w:lang w:val="es-ES"/>
        </w:rPr>
      </w:pPr>
      <w:r w:rsidRPr="00431183">
        <w:rPr>
          <w:rFonts w:ascii="Cambria" w:hAnsi="Cambria" w:cs="Arial"/>
          <w:sz w:val="24"/>
          <w:szCs w:val="24"/>
        </w:rPr>
        <w:t xml:space="preserve">Además, existe una necesidad por parte de los agentes locales de apostar por una diferenciación productiva, debido a una serie de características locales disponibles en la </w:t>
      </w:r>
      <w:r w:rsidR="00CD0361" w:rsidRPr="00431183">
        <w:rPr>
          <w:rFonts w:ascii="Cambria" w:hAnsi="Cambria" w:cs="Arial"/>
          <w:sz w:val="24"/>
          <w:szCs w:val="24"/>
        </w:rPr>
        <w:t xml:space="preserve">región, </w:t>
      </w:r>
      <w:r w:rsidR="00CD0361">
        <w:rPr>
          <w:rFonts w:ascii="Cambria" w:hAnsi="Cambria" w:cs="Arial"/>
          <w:sz w:val="24"/>
          <w:szCs w:val="24"/>
        </w:rPr>
        <w:t>que</w:t>
      </w:r>
      <w:r w:rsidR="009B383A">
        <w:rPr>
          <w:rFonts w:ascii="Cambria" w:hAnsi="Cambria" w:cs="Arial"/>
          <w:sz w:val="24"/>
          <w:szCs w:val="24"/>
        </w:rPr>
        <w:t xml:space="preserve"> no se han materializado en mejoras relativas al momento de negociar la producción</w:t>
      </w:r>
      <w:r w:rsidR="00CD0361">
        <w:rPr>
          <w:rFonts w:ascii="Cambria" w:hAnsi="Cambria" w:cs="Arial"/>
          <w:sz w:val="24"/>
          <w:szCs w:val="24"/>
          <w:lang w:val="es-ES"/>
        </w:rPr>
        <w:t xml:space="preserve">, es decir, no existen análisis sobre el valor que obtiene una producción al utilizar distintivos que reafirman una característica especifica. </w:t>
      </w:r>
    </w:p>
    <w:p w14:paraId="707D7CA6" w14:textId="77777777" w:rsidR="00CD0361" w:rsidRPr="009B383A" w:rsidRDefault="00CD0361" w:rsidP="00F507BE">
      <w:pPr>
        <w:spacing w:after="0" w:line="240" w:lineRule="auto"/>
        <w:ind w:firstLine="708"/>
        <w:jc w:val="both"/>
        <w:rPr>
          <w:rFonts w:ascii="Cambria" w:hAnsi="Cambria" w:cs="Arial"/>
          <w:sz w:val="24"/>
          <w:szCs w:val="24"/>
          <w:lang w:val="es-ES"/>
        </w:rPr>
      </w:pPr>
    </w:p>
    <w:p w14:paraId="1923E2C5" w14:textId="77777777" w:rsidR="00F507BE" w:rsidRPr="00431183" w:rsidRDefault="00CD0361" w:rsidP="00F507BE">
      <w:pPr>
        <w:spacing w:after="0" w:line="240" w:lineRule="auto"/>
        <w:ind w:firstLine="708"/>
        <w:jc w:val="both"/>
        <w:rPr>
          <w:rFonts w:ascii="Cambria" w:hAnsi="Cambria" w:cs="Arial"/>
          <w:sz w:val="24"/>
          <w:szCs w:val="24"/>
        </w:rPr>
      </w:pPr>
      <w:r>
        <w:rPr>
          <w:rFonts w:ascii="Cambria" w:hAnsi="Cambria" w:cs="Arial"/>
          <w:sz w:val="24"/>
          <w:szCs w:val="24"/>
        </w:rPr>
        <w:t>P</w:t>
      </w:r>
      <w:r w:rsidR="00F507BE" w:rsidRPr="00431183">
        <w:rPr>
          <w:rFonts w:ascii="Cambria" w:hAnsi="Cambria" w:cs="Arial"/>
          <w:sz w:val="24"/>
          <w:szCs w:val="24"/>
        </w:rPr>
        <w:t xml:space="preserve">or tanto, la interrogante que se plantea en la presente investigación es: </w:t>
      </w:r>
    </w:p>
    <w:p w14:paraId="10BF59CA" w14:textId="1B353710" w:rsidR="00F507BE" w:rsidRDefault="00F507BE" w:rsidP="00F507BE">
      <w:pPr>
        <w:spacing w:after="0" w:line="240" w:lineRule="auto"/>
        <w:jc w:val="both"/>
        <w:rPr>
          <w:rFonts w:ascii="Cambria" w:hAnsi="Cambria" w:cs="Arial"/>
          <w:sz w:val="24"/>
          <w:szCs w:val="24"/>
        </w:rPr>
      </w:pPr>
      <w:r w:rsidRPr="00431183">
        <w:rPr>
          <w:rFonts w:ascii="Cambria" w:hAnsi="Cambria" w:cs="Arial"/>
          <w:sz w:val="24"/>
          <w:szCs w:val="24"/>
        </w:rPr>
        <w:t>¿Cuáles podrían ser l</w:t>
      </w:r>
      <w:r w:rsidR="00B631BB">
        <w:rPr>
          <w:rFonts w:ascii="Cambria" w:hAnsi="Cambria" w:cs="Arial"/>
          <w:sz w:val="24"/>
          <w:szCs w:val="24"/>
        </w:rPr>
        <w:t>as contribuciones</w:t>
      </w:r>
      <w:r w:rsidRPr="00431183">
        <w:rPr>
          <w:rFonts w:ascii="Cambria" w:hAnsi="Cambria" w:cs="Arial"/>
          <w:sz w:val="24"/>
          <w:szCs w:val="24"/>
        </w:rPr>
        <w:t xml:space="preserve"> de la Banca para el Desarrollo hacia la consolidación de la Denominación de Origen de café Tarrazú en la Zona de los Santos, Costa Rica? </w:t>
      </w:r>
    </w:p>
    <w:p w14:paraId="17E45308" w14:textId="77777777" w:rsidR="00CD0361" w:rsidRPr="00431183" w:rsidRDefault="00CD0361" w:rsidP="00F507BE">
      <w:pPr>
        <w:spacing w:after="0" w:line="240" w:lineRule="auto"/>
        <w:jc w:val="both"/>
        <w:rPr>
          <w:rFonts w:ascii="Cambria" w:hAnsi="Cambria" w:cs="Arial"/>
          <w:sz w:val="24"/>
          <w:szCs w:val="24"/>
        </w:rPr>
      </w:pPr>
    </w:p>
    <w:p w14:paraId="2D5219AC" w14:textId="77777777" w:rsidR="00F507BE" w:rsidRPr="00431183" w:rsidRDefault="00F507BE" w:rsidP="00F507BE">
      <w:pPr>
        <w:spacing w:after="0" w:line="240" w:lineRule="auto"/>
        <w:jc w:val="both"/>
        <w:rPr>
          <w:rFonts w:ascii="Cambria" w:hAnsi="Cambria" w:cs="Arial"/>
          <w:sz w:val="24"/>
          <w:szCs w:val="24"/>
        </w:rPr>
      </w:pPr>
      <w:r w:rsidRPr="00431183">
        <w:rPr>
          <w:rFonts w:ascii="Cambria" w:hAnsi="Cambria" w:cs="Arial"/>
          <w:sz w:val="24"/>
          <w:szCs w:val="24"/>
        </w:rPr>
        <w:t>Y las sub-preguntas son las siguientes:</w:t>
      </w:r>
    </w:p>
    <w:p w14:paraId="41AFA510" w14:textId="77777777" w:rsidR="00F507BE" w:rsidRPr="00431183" w:rsidRDefault="00F507BE" w:rsidP="00F507BE">
      <w:pPr>
        <w:spacing w:after="0" w:line="240" w:lineRule="auto"/>
        <w:jc w:val="both"/>
        <w:rPr>
          <w:rFonts w:ascii="Cambria" w:hAnsi="Cambria" w:cs="Arial"/>
          <w:sz w:val="24"/>
          <w:szCs w:val="24"/>
        </w:rPr>
      </w:pPr>
      <w:r w:rsidRPr="00431183">
        <w:rPr>
          <w:rFonts w:ascii="Cambria" w:hAnsi="Cambria" w:cs="Arial"/>
          <w:sz w:val="24"/>
          <w:szCs w:val="24"/>
        </w:rPr>
        <w:t>¿Cuál es la condición socioeconómica actual de los productores de café como eventuales beneficiarios de la Denominación de Origen?</w:t>
      </w:r>
    </w:p>
    <w:p w14:paraId="0A5C3EE4" w14:textId="77777777" w:rsidR="00F507BE" w:rsidRPr="00431183" w:rsidRDefault="00F507BE" w:rsidP="00F507BE">
      <w:pPr>
        <w:spacing w:after="0" w:line="240" w:lineRule="auto"/>
        <w:jc w:val="both"/>
        <w:rPr>
          <w:rFonts w:ascii="Cambria" w:hAnsi="Cambria" w:cs="Arial"/>
          <w:sz w:val="24"/>
          <w:szCs w:val="24"/>
        </w:rPr>
      </w:pPr>
      <w:r w:rsidRPr="00431183">
        <w:rPr>
          <w:rFonts w:ascii="Cambria" w:hAnsi="Cambria" w:cs="Arial"/>
          <w:sz w:val="24"/>
          <w:szCs w:val="24"/>
        </w:rPr>
        <w:t>¿Cuáles son los principales aportes financieros que ofrece el Sistema de Banca para el Desarrollo para impulsar una Denominación de Origen?</w:t>
      </w:r>
    </w:p>
    <w:p w14:paraId="0FE56FC5" w14:textId="77777777" w:rsidR="00F507BE" w:rsidRPr="00431183" w:rsidRDefault="00F507BE" w:rsidP="00F507BE">
      <w:pPr>
        <w:spacing w:after="0" w:line="240" w:lineRule="auto"/>
        <w:jc w:val="both"/>
        <w:rPr>
          <w:rFonts w:ascii="Cambria" w:hAnsi="Cambria" w:cs="Arial"/>
          <w:sz w:val="24"/>
          <w:szCs w:val="24"/>
        </w:rPr>
      </w:pPr>
      <w:r w:rsidRPr="00431183">
        <w:rPr>
          <w:rFonts w:ascii="Cambria" w:hAnsi="Cambria" w:cs="Arial"/>
          <w:sz w:val="24"/>
          <w:szCs w:val="24"/>
        </w:rPr>
        <w:t>¿Cuál será la volarización que adquirirá la Denominación de Origen si se utiliza Banca para el Desarrollo?</w:t>
      </w:r>
    </w:p>
    <w:p w14:paraId="6FFDA238" w14:textId="7B3F8BB4" w:rsidR="00F507BE" w:rsidRDefault="00F507BE" w:rsidP="00F507BE">
      <w:pPr>
        <w:spacing w:after="0" w:line="240" w:lineRule="auto"/>
        <w:jc w:val="both"/>
        <w:rPr>
          <w:rFonts w:ascii="Cambria" w:hAnsi="Cambria" w:cs="Arial"/>
          <w:sz w:val="24"/>
          <w:szCs w:val="24"/>
        </w:rPr>
      </w:pPr>
      <w:r w:rsidRPr="00431183">
        <w:rPr>
          <w:rFonts w:ascii="Cambria" w:hAnsi="Cambria" w:cs="Arial"/>
          <w:sz w:val="24"/>
          <w:szCs w:val="24"/>
        </w:rPr>
        <w:t>¿Cuáles son los beneficios de los caficultores de la Zona de los Santos al utilizar la Denominación de Origen y Sistema de Banca para el Desarrollo?</w:t>
      </w:r>
    </w:p>
    <w:p w14:paraId="4FDF6A48" w14:textId="41D6997A" w:rsidR="00CD0602" w:rsidRDefault="00CD0602" w:rsidP="00F507BE">
      <w:pPr>
        <w:spacing w:after="0" w:line="240" w:lineRule="auto"/>
        <w:jc w:val="both"/>
        <w:rPr>
          <w:rFonts w:ascii="Cambria" w:hAnsi="Cambria" w:cs="Arial"/>
          <w:sz w:val="24"/>
          <w:szCs w:val="24"/>
        </w:rPr>
      </w:pPr>
    </w:p>
    <w:p w14:paraId="1A32D317" w14:textId="2AD8D334" w:rsidR="00B631BB" w:rsidRDefault="00B631BB" w:rsidP="00F507BE">
      <w:pPr>
        <w:spacing w:after="0" w:line="240" w:lineRule="auto"/>
        <w:jc w:val="both"/>
        <w:rPr>
          <w:rFonts w:ascii="Cambria" w:hAnsi="Cambria" w:cs="Arial"/>
          <w:sz w:val="24"/>
          <w:szCs w:val="24"/>
        </w:rPr>
      </w:pPr>
    </w:p>
    <w:p w14:paraId="5B2B2E0F" w14:textId="2292C9D2" w:rsidR="00B631BB" w:rsidRDefault="00B631BB" w:rsidP="00F507BE">
      <w:pPr>
        <w:spacing w:after="0" w:line="240" w:lineRule="auto"/>
        <w:jc w:val="both"/>
        <w:rPr>
          <w:rFonts w:ascii="Cambria" w:hAnsi="Cambria" w:cs="Arial"/>
          <w:sz w:val="24"/>
          <w:szCs w:val="24"/>
        </w:rPr>
      </w:pPr>
    </w:p>
    <w:p w14:paraId="745544FE" w14:textId="0644BDF6" w:rsidR="00B631BB" w:rsidRDefault="00B631BB" w:rsidP="00F507BE">
      <w:pPr>
        <w:spacing w:after="0" w:line="240" w:lineRule="auto"/>
        <w:jc w:val="both"/>
        <w:rPr>
          <w:rFonts w:ascii="Cambria" w:hAnsi="Cambria" w:cs="Arial"/>
          <w:sz w:val="24"/>
          <w:szCs w:val="24"/>
        </w:rPr>
      </w:pPr>
    </w:p>
    <w:p w14:paraId="1638393F" w14:textId="77777777" w:rsidR="00B631BB" w:rsidRPr="00431183" w:rsidRDefault="00B631BB" w:rsidP="00F507BE">
      <w:pPr>
        <w:spacing w:after="0" w:line="240" w:lineRule="auto"/>
        <w:jc w:val="both"/>
        <w:rPr>
          <w:rFonts w:ascii="Cambria" w:hAnsi="Cambria" w:cs="Arial"/>
          <w:sz w:val="24"/>
          <w:szCs w:val="24"/>
        </w:rPr>
      </w:pPr>
    </w:p>
    <w:p w14:paraId="70452D63" w14:textId="77777777" w:rsidR="00707D07" w:rsidRPr="00431183" w:rsidRDefault="00707D07" w:rsidP="00431183">
      <w:pPr>
        <w:spacing w:after="0" w:line="240" w:lineRule="auto"/>
        <w:jc w:val="both"/>
        <w:rPr>
          <w:rFonts w:ascii="Cambria" w:hAnsi="Cambria" w:cs="Arial"/>
          <w:b/>
          <w:sz w:val="24"/>
          <w:szCs w:val="24"/>
        </w:rPr>
      </w:pPr>
    </w:p>
    <w:p w14:paraId="28EB104C" w14:textId="0B29A9C9" w:rsidR="00E433C9" w:rsidRDefault="00D174D2" w:rsidP="00AF1E1D">
      <w:pPr>
        <w:pStyle w:val="Ttulo1"/>
        <w:spacing w:line="240" w:lineRule="auto"/>
        <w:rPr>
          <w:rFonts w:ascii="Cambria" w:hAnsi="Cambria" w:cs="Arial"/>
          <w:b/>
          <w:color w:val="auto"/>
          <w:sz w:val="24"/>
          <w:szCs w:val="24"/>
        </w:rPr>
      </w:pPr>
      <w:bookmarkStart w:id="63" w:name="_Toc527576946"/>
      <w:r>
        <w:rPr>
          <w:rFonts w:ascii="Cambria" w:hAnsi="Cambria" w:cs="Arial"/>
          <w:b/>
          <w:color w:val="auto"/>
          <w:sz w:val="24"/>
          <w:szCs w:val="24"/>
        </w:rPr>
        <w:lastRenderedPageBreak/>
        <w:t>1.4</w:t>
      </w:r>
      <w:r w:rsidR="0009604A" w:rsidRPr="00431183">
        <w:rPr>
          <w:rFonts w:ascii="Cambria" w:hAnsi="Cambria" w:cs="Arial"/>
          <w:b/>
          <w:color w:val="auto"/>
          <w:sz w:val="24"/>
          <w:szCs w:val="24"/>
        </w:rPr>
        <w:t xml:space="preserve"> </w:t>
      </w:r>
      <w:r w:rsidR="0009604A">
        <w:rPr>
          <w:rFonts w:ascii="Cambria" w:hAnsi="Cambria" w:cs="Arial"/>
          <w:b/>
          <w:color w:val="auto"/>
          <w:sz w:val="24"/>
          <w:szCs w:val="24"/>
        </w:rPr>
        <w:t>O</w:t>
      </w:r>
      <w:r w:rsidR="0009604A" w:rsidRPr="00431183">
        <w:rPr>
          <w:rFonts w:ascii="Cambria" w:hAnsi="Cambria" w:cs="Arial"/>
          <w:b/>
          <w:color w:val="auto"/>
          <w:sz w:val="24"/>
          <w:szCs w:val="24"/>
        </w:rPr>
        <w:t>bjetivo</w:t>
      </w:r>
      <w:r w:rsidR="0009604A">
        <w:rPr>
          <w:rFonts w:ascii="Cambria" w:hAnsi="Cambria" w:cs="Arial"/>
          <w:b/>
          <w:color w:val="auto"/>
          <w:sz w:val="24"/>
          <w:szCs w:val="24"/>
        </w:rPr>
        <w:t>s de investigación</w:t>
      </w:r>
      <w:bookmarkEnd w:id="63"/>
    </w:p>
    <w:p w14:paraId="5CDD0BA6" w14:textId="77777777" w:rsidR="00D174D2" w:rsidRPr="00431183" w:rsidRDefault="00D174D2" w:rsidP="00431183">
      <w:pPr>
        <w:rPr>
          <w:lang w:eastAsia="es-CR"/>
        </w:rPr>
      </w:pPr>
    </w:p>
    <w:p w14:paraId="2714C98E" w14:textId="77777777" w:rsidR="00D174D2" w:rsidRDefault="00D174D2" w:rsidP="00D174D2">
      <w:pPr>
        <w:pStyle w:val="Ttulo2"/>
        <w:spacing w:line="240" w:lineRule="auto"/>
        <w:rPr>
          <w:rFonts w:ascii="Cambria" w:hAnsi="Cambria" w:cs="Arial"/>
          <w:b/>
          <w:color w:val="auto"/>
          <w:sz w:val="24"/>
          <w:szCs w:val="24"/>
        </w:rPr>
      </w:pPr>
      <w:bookmarkStart w:id="64" w:name="_Toc527576947"/>
      <w:r w:rsidRPr="00431183">
        <w:rPr>
          <w:rFonts w:ascii="Cambria" w:hAnsi="Cambria" w:cs="Arial"/>
          <w:b/>
          <w:color w:val="auto"/>
          <w:sz w:val="24"/>
          <w:szCs w:val="24"/>
        </w:rPr>
        <w:t>1.4.1 Objetivo General</w:t>
      </w:r>
      <w:bookmarkEnd w:id="64"/>
      <w:r w:rsidRPr="00431183">
        <w:rPr>
          <w:rFonts w:ascii="Cambria" w:hAnsi="Cambria" w:cs="Arial"/>
          <w:b/>
          <w:color w:val="auto"/>
          <w:sz w:val="24"/>
          <w:szCs w:val="24"/>
        </w:rPr>
        <w:t xml:space="preserve"> </w:t>
      </w:r>
    </w:p>
    <w:p w14:paraId="638515CA" w14:textId="77777777" w:rsidR="00D174D2" w:rsidRPr="00431183" w:rsidRDefault="00D174D2" w:rsidP="00431183"/>
    <w:p w14:paraId="03A1D1FC" w14:textId="77777777" w:rsidR="00707D07" w:rsidRDefault="0017531B" w:rsidP="00FC2D87">
      <w:pPr>
        <w:spacing w:after="0" w:line="240" w:lineRule="auto"/>
        <w:jc w:val="both"/>
        <w:rPr>
          <w:rFonts w:ascii="Cambria" w:hAnsi="Cambria" w:cs="Arial"/>
          <w:sz w:val="24"/>
          <w:szCs w:val="24"/>
        </w:rPr>
      </w:pPr>
      <w:r w:rsidRPr="00431183">
        <w:rPr>
          <w:rFonts w:ascii="Cambria" w:hAnsi="Cambria" w:cs="Arial"/>
          <w:sz w:val="24"/>
          <w:szCs w:val="24"/>
        </w:rPr>
        <w:t xml:space="preserve">Analizar las contribuciones de </w:t>
      </w:r>
      <w:r w:rsidR="00904FF0" w:rsidRPr="00431183">
        <w:rPr>
          <w:rFonts w:ascii="Cambria" w:hAnsi="Cambria" w:cs="Arial"/>
          <w:sz w:val="24"/>
          <w:szCs w:val="24"/>
        </w:rPr>
        <w:t xml:space="preserve">la Banca para el Desarrollo en la consolidación de </w:t>
      </w:r>
      <w:r w:rsidR="00E433C9" w:rsidRPr="00431183">
        <w:rPr>
          <w:rFonts w:ascii="Cambria" w:hAnsi="Cambria" w:cs="Arial"/>
          <w:sz w:val="24"/>
          <w:szCs w:val="24"/>
        </w:rPr>
        <w:t>la Denominación</w:t>
      </w:r>
      <w:r w:rsidR="00904FF0" w:rsidRPr="00431183">
        <w:rPr>
          <w:rFonts w:ascii="Cambria" w:hAnsi="Cambria" w:cs="Arial"/>
          <w:sz w:val="24"/>
          <w:szCs w:val="24"/>
        </w:rPr>
        <w:t xml:space="preserve"> de Origen de Café Tarrazú, en la zona de los Santos, Costa </w:t>
      </w:r>
      <w:r w:rsidR="00E433C9" w:rsidRPr="00431183">
        <w:rPr>
          <w:rFonts w:ascii="Cambria" w:hAnsi="Cambria" w:cs="Arial"/>
          <w:sz w:val="24"/>
          <w:szCs w:val="24"/>
        </w:rPr>
        <w:t>Rica.</w:t>
      </w:r>
    </w:p>
    <w:p w14:paraId="72015DBA" w14:textId="77777777" w:rsidR="00D174D2" w:rsidRPr="00431183" w:rsidRDefault="00D174D2" w:rsidP="00431183">
      <w:pPr>
        <w:spacing w:after="0" w:line="240" w:lineRule="auto"/>
        <w:jc w:val="both"/>
        <w:rPr>
          <w:rFonts w:ascii="Cambria" w:hAnsi="Cambria" w:cs="Arial"/>
          <w:sz w:val="24"/>
          <w:szCs w:val="24"/>
        </w:rPr>
      </w:pPr>
    </w:p>
    <w:p w14:paraId="397596B7" w14:textId="77777777" w:rsidR="003516FA" w:rsidRPr="00431183" w:rsidRDefault="00D174D2" w:rsidP="00431183">
      <w:pPr>
        <w:pStyle w:val="Ttulo2"/>
        <w:spacing w:line="240" w:lineRule="auto"/>
        <w:rPr>
          <w:rFonts w:ascii="Cambria" w:hAnsi="Cambria" w:cs="Arial"/>
          <w:b/>
          <w:color w:val="auto"/>
          <w:sz w:val="24"/>
          <w:szCs w:val="24"/>
        </w:rPr>
      </w:pPr>
      <w:bookmarkStart w:id="65" w:name="_Toc527576948"/>
      <w:r>
        <w:rPr>
          <w:rFonts w:ascii="Cambria" w:hAnsi="Cambria" w:cs="Arial"/>
          <w:b/>
          <w:color w:val="auto"/>
          <w:sz w:val="24"/>
          <w:szCs w:val="24"/>
        </w:rPr>
        <w:t xml:space="preserve">1.4.2 </w:t>
      </w:r>
      <w:r w:rsidR="00E433C9" w:rsidRPr="00431183">
        <w:rPr>
          <w:rFonts w:ascii="Cambria" w:hAnsi="Cambria" w:cs="Arial"/>
          <w:b/>
          <w:color w:val="auto"/>
          <w:sz w:val="24"/>
          <w:szCs w:val="24"/>
        </w:rPr>
        <w:t xml:space="preserve"> </w:t>
      </w:r>
      <w:r w:rsidR="00EE738A" w:rsidRPr="00431183">
        <w:rPr>
          <w:rFonts w:ascii="Cambria" w:hAnsi="Cambria" w:cs="Arial"/>
          <w:b/>
          <w:color w:val="auto"/>
          <w:sz w:val="24"/>
          <w:szCs w:val="24"/>
        </w:rPr>
        <w:t xml:space="preserve">Objetivos </w:t>
      </w:r>
      <w:r w:rsidR="00FB1FEF" w:rsidRPr="00431183">
        <w:rPr>
          <w:rFonts w:ascii="Cambria" w:hAnsi="Cambria" w:cs="Arial"/>
          <w:b/>
          <w:color w:val="auto"/>
          <w:sz w:val="24"/>
          <w:szCs w:val="24"/>
        </w:rPr>
        <w:t>Específicos</w:t>
      </w:r>
      <w:bookmarkEnd w:id="65"/>
    </w:p>
    <w:p w14:paraId="6F23C4EB" w14:textId="77777777" w:rsidR="00E433C9" w:rsidRPr="00431183" w:rsidRDefault="003516FA" w:rsidP="00431183">
      <w:pPr>
        <w:pStyle w:val="Prrafodelista"/>
        <w:numPr>
          <w:ilvl w:val="0"/>
          <w:numId w:val="1"/>
        </w:numPr>
        <w:spacing w:after="0" w:line="240" w:lineRule="auto"/>
        <w:jc w:val="both"/>
        <w:rPr>
          <w:rFonts w:ascii="Cambria" w:hAnsi="Cambria"/>
          <w:sz w:val="24"/>
          <w:szCs w:val="24"/>
        </w:rPr>
      </w:pPr>
      <w:r w:rsidRPr="00431183">
        <w:rPr>
          <w:rFonts w:ascii="Cambria" w:hAnsi="Cambria" w:cs="Arial"/>
          <w:sz w:val="24"/>
          <w:szCs w:val="24"/>
        </w:rPr>
        <w:t xml:space="preserve">Conocer la situación socioeconómica </w:t>
      </w:r>
      <w:r w:rsidR="00043805" w:rsidRPr="00431183">
        <w:rPr>
          <w:rFonts w:ascii="Cambria" w:hAnsi="Cambria" w:cs="Arial"/>
          <w:sz w:val="24"/>
          <w:szCs w:val="24"/>
        </w:rPr>
        <w:t xml:space="preserve">de los </w:t>
      </w:r>
      <w:r w:rsidR="004006CC" w:rsidRPr="00431183">
        <w:rPr>
          <w:rFonts w:ascii="Cambria" w:hAnsi="Cambria" w:cs="Arial"/>
          <w:sz w:val="24"/>
          <w:szCs w:val="24"/>
        </w:rPr>
        <w:t xml:space="preserve">productores de café </w:t>
      </w:r>
      <w:r w:rsidRPr="00431183">
        <w:rPr>
          <w:rFonts w:ascii="Cambria" w:hAnsi="Cambria" w:cs="Arial"/>
          <w:sz w:val="24"/>
          <w:szCs w:val="24"/>
        </w:rPr>
        <w:t xml:space="preserve">de la Zona de los Santos </w:t>
      </w:r>
      <w:r w:rsidR="004006CC" w:rsidRPr="00431183">
        <w:rPr>
          <w:rFonts w:ascii="Cambria" w:hAnsi="Cambria" w:cs="Arial"/>
          <w:sz w:val="24"/>
          <w:szCs w:val="24"/>
        </w:rPr>
        <w:t>como posibles beneficiarios de la Denominación de Origen Tarrazú</w:t>
      </w:r>
      <w:r w:rsidRPr="00431183">
        <w:rPr>
          <w:rFonts w:ascii="Cambria" w:hAnsi="Cambria" w:cs="Arial"/>
          <w:sz w:val="24"/>
          <w:szCs w:val="24"/>
        </w:rPr>
        <w:t xml:space="preserve">. </w:t>
      </w:r>
    </w:p>
    <w:p w14:paraId="4A464E6D" w14:textId="77777777" w:rsidR="00EE738A" w:rsidRPr="00431183" w:rsidRDefault="00696BBF" w:rsidP="00431183">
      <w:pPr>
        <w:pStyle w:val="Prrafodelista"/>
        <w:numPr>
          <w:ilvl w:val="0"/>
          <w:numId w:val="1"/>
        </w:numPr>
        <w:spacing w:after="0" w:line="240" w:lineRule="auto"/>
        <w:jc w:val="both"/>
        <w:rPr>
          <w:rFonts w:ascii="Cambria" w:hAnsi="Cambria" w:cs="Arial"/>
          <w:sz w:val="24"/>
          <w:szCs w:val="24"/>
        </w:rPr>
      </w:pPr>
      <w:r w:rsidRPr="00431183">
        <w:rPr>
          <w:rFonts w:ascii="Cambria" w:hAnsi="Cambria" w:cs="Arial"/>
          <w:sz w:val="24"/>
          <w:szCs w:val="24"/>
        </w:rPr>
        <w:t>Identificar l</w:t>
      </w:r>
      <w:r w:rsidR="00FB60D6" w:rsidRPr="00431183">
        <w:rPr>
          <w:rFonts w:ascii="Cambria" w:hAnsi="Cambria" w:cs="Arial"/>
          <w:sz w:val="24"/>
          <w:szCs w:val="24"/>
        </w:rPr>
        <w:t>os principales aportes de los</w:t>
      </w:r>
      <w:r w:rsidR="004006CC" w:rsidRPr="00431183">
        <w:rPr>
          <w:rFonts w:ascii="Cambria" w:hAnsi="Cambria" w:cs="Arial"/>
          <w:sz w:val="24"/>
          <w:szCs w:val="24"/>
        </w:rPr>
        <w:t xml:space="preserve"> </w:t>
      </w:r>
      <w:r w:rsidR="00191DB0" w:rsidRPr="00431183">
        <w:rPr>
          <w:rFonts w:ascii="Cambria" w:hAnsi="Cambria" w:cs="Arial"/>
          <w:sz w:val="24"/>
          <w:szCs w:val="24"/>
        </w:rPr>
        <w:t>instrumentos financieros</w:t>
      </w:r>
      <w:r w:rsidR="004006CC" w:rsidRPr="00431183">
        <w:rPr>
          <w:rFonts w:ascii="Cambria" w:hAnsi="Cambria" w:cs="Arial"/>
          <w:sz w:val="24"/>
          <w:szCs w:val="24"/>
        </w:rPr>
        <w:t xml:space="preserve"> ofrecidos</w:t>
      </w:r>
      <w:r w:rsidR="00191DB0" w:rsidRPr="00431183">
        <w:rPr>
          <w:rFonts w:ascii="Cambria" w:hAnsi="Cambria" w:cs="Arial"/>
          <w:sz w:val="24"/>
          <w:szCs w:val="24"/>
        </w:rPr>
        <w:t xml:space="preserve"> </w:t>
      </w:r>
      <w:r w:rsidR="004006CC" w:rsidRPr="00431183">
        <w:rPr>
          <w:rFonts w:ascii="Cambria" w:hAnsi="Cambria" w:cs="Arial"/>
          <w:sz w:val="24"/>
          <w:szCs w:val="24"/>
        </w:rPr>
        <w:t>por</w:t>
      </w:r>
      <w:r w:rsidR="00191DB0" w:rsidRPr="00431183">
        <w:rPr>
          <w:rFonts w:ascii="Cambria" w:hAnsi="Cambria" w:cs="Arial"/>
          <w:sz w:val="24"/>
          <w:szCs w:val="24"/>
        </w:rPr>
        <w:t xml:space="preserve"> banca para el desarrollo </w:t>
      </w:r>
      <w:r w:rsidR="00EE738A" w:rsidRPr="00431183">
        <w:rPr>
          <w:rFonts w:ascii="Cambria" w:hAnsi="Cambria" w:cs="Arial"/>
          <w:sz w:val="24"/>
          <w:szCs w:val="24"/>
        </w:rPr>
        <w:t>en la dotación de recursos</w:t>
      </w:r>
      <w:r w:rsidR="004006CC" w:rsidRPr="00431183">
        <w:rPr>
          <w:rFonts w:ascii="Cambria" w:hAnsi="Cambria" w:cs="Arial"/>
          <w:sz w:val="24"/>
          <w:szCs w:val="24"/>
        </w:rPr>
        <w:t xml:space="preserve"> financieros</w:t>
      </w:r>
      <w:r w:rsidR="00EE738A" w:rsidRPr="00431183">
        <w:rPr>
          <w:rFonts w:ascii="Cambria" w:hAnsi="Cambria" w:cs="Arial"/>
          <w:sz w:val="24"/>
          <w:szCs w:val="24"/>
        </w:rPr>
        <w:t xml:space="preserve"> </w:t>
      </w:r>
      <w:r w:rsidR="004006CC" w:rsidRPr="00431183">
        <w:rPr>
          <w:rFonts w:ascii="Cambria" w:hAnsi="Cambria" w:cs="Arial"/>
          <w:sz w:val="24"/>
          <w:szCs w:val="24"/>
        </w:rPr>
        <w:t>ante la propuesta de Denominación de Origen</w:t>
      </w:r>
      <w:r w:rsidR="00FB60D6" w:rsidRPr="00431183">
        <w:rPr>
          <w:rFonts w:ascii="Cambria" w:hAnsi="Cambria" w:cs="Arial"/>
          <w:sz w:val="24"/>
          <w:szCs w:val="24"/>
        </w:rPr>
        <w:t xml:space="preserve"> Tarrazú</w:t>
      </w:r>
      <w:r w:rsidR="004006CC" w:rsidRPr="00431183">
        <w:rPr>
          <w:rFonts w:ascii="Cambria" w:hAnsi="Cambria" w:cs="Arial"/>
          <w:sz w:val="24"/>
          <w:szCs w:val="24"/>
        </w:rPr>
        <w:t xml:space="preserve">. </w:t>
      </w:r>
    </w:p>
    <w:p w14:paraId="063B8A89" w14:textId="77777777" w:rsidR="00B1510B" w:rsidRPr="00431183" w:rsidRDefault="00FB60D6" w:rsidP="00431183">
      <w:pPr>
        <w:pStyle w:val="Prrafodelista"/>
        <w:numPr>
          <w:ilvl w:val="0"/>
          <w:numId w:val="1"/>
        </w:numPr>
        <w:spacing w:after="0" w:line="240" w:lineRule="auto"/>
        <w:jc w:val="both"/>
        <w:rPr>
          <w:rFonts w:ascii="Cambria" w:hAnsi="Cambria" w:cs="Arial"/>
          <w:sz w:val="24"/>
          <w:szCs w:val="24"/>
        </w:rPr>
      </w:pPr>
      <w:r w:rsidRPr="00431183">
        <w:rPr>
          <w:rFonts w:ascii="Cambria" w:hAnsi="Cambria" w:cs="Arial"/>
          <w:sz w:val="24"/>
          <w:szCs w:val="24"/>
        </w:rPr>
        <w:t>Realizar una valorización Económica-financiera de la</w:t>
      </w:r>
      <w:r w:rsidR="00867BF4" w:rsidRPr="00431183">
        <w:rPr>
          <w:rFonts w:ascii="Cambria" w:hAnsi="Cambria" w:cs="Arial"/>
          <w:sz w:val="24"/>
          <w:szCs w:val="24"/>
        </w:rPr>
        <w:t xml:space="preserve"> Denominación de Origen </w:t>
      </w:r>
      <w:r w:rsidRPr="00431183">
        <w:rPr>
          <w:rFonts w:ascii="Cambria" w:hAnsi="Cambria" w:cs="Arial"/>
          <w:sz w:val="24"/>
          <w:szCs w:val="24"/>
        </w:rPr>
        <w:t xml:space="preserve">Tarrazú ante el uso de instrumentos </w:t>
      </w:r>
      <w:r w:rsidR="00432DB6" w:rsidRPr="00431183">
        <w:rPr>
          <w:rFonts w:ascii="Cambria" w:hAnsi="Cambria" w:cs="Arial"/>
          <w:sz w:val="24"/>
          <w:szCs w:val="24"/>
        </w:rPr>
        <w:t xml:space="preserve">financieros </w:t>
      </w:r>
      <w:r w:rsidRPr="00431183">
        <w:rPr>
          <w:rFonts w:ascii="Cambria" w:hAnsi="Cambria" w:cs="Arial"/>
          <w:sz w:val="24"/>
          <w:szCs w:val="24"/>
        </w:rPr>
        <w:t>ofrecidos por el Sistema de Banca para el Desarrollo</w:t>
      </w:r>
    </w:p>
    <w:p w14:paraId="353E6291" w14:textId="77777777" w:rsidR="00605C08" w:rsidRPr="00431183" w:rsidRDefault="00191DB0" w:rsidP="00431183">
      <w:pPr>
        <w:pStyle w:val="Prrafodelista"/>
        <w:numPr>
          <w:ilvl w:val="0"/>
          <w:numId w:val="1"/>
        </w:numPr>
        <w:spacing w:after="0" w:line="240" w:lineRule="auto"/>
        <w:jc w:val="both"/>
        <w:rPr>
          <w:rFonts w:ascii="Cambria" w:hAnsi="Cambria" w:cs="Arial"/>
          <w:sz w:val="24"/>
          <w:szCs w:val="24"/>
        </w:rPr>
      </w:pPr>
      <w:r w:rsidRPr="00431183">
        <w:rPr>
          <w:rFonts w:ascii="Cambria" w:hAnsi="Cambria" w:cs="Arial"/>
          <w:sz w:val="24"/>
          <w:szCs w:val="24"/>
        </w:rPr>
        <w:t>Especificar</w:t>
      </w:r>
      <w:r w:rsidR="00FB1FEF" w:rsidRPr="00431183">
        <w:rPr>
          <w:rFonts w:ascii="Cambria" w:hAnsi="Cambria" w:cs="Arial"/>
          <w:sz w:val="24"/>
          <w:szCs w:val="24"/>
        </w:rPr>
        <w:t xml:space="preserve"> </w:t>
      </w:r>
      <w:r w:rsidR="00FA4225" w:rsidRPr="00431183">
        <w:rPr>
          <w:rFonts w:ascii="Cambria" w:hAnsi="Cambria" w:cs="Arial"/>
          <w:sz w:val="24"/>
          <w:szCs w:val="24"/>
        </w:rPr>
        <w:t xml:space="preserve">los </w:t>
      </w:r>
      <w:r w:rsidR="007226E5" w:rsidRPr="00431183">
        <w:rPr>
          <w:rFonts w:ascii="Cambria" w:hAnsi="Cambria" w:cs="Arial"/>
          <w:sz w:val="24"/>
          <w:szCs w:val="24"/>
        </w:rPr>
        <w:t xml:space="preserve">beneficios </w:t>
      </w:r>
      <w:r w:rsidR="00FB60D6" w:rsidRPr="00431183">
        <w:rPr>
          <w:rFonts w:ascii="Cambria" w:hAnsi="Cambria" w:cs="Arial"/>
          <w:sz w:val="24"/>
          <w:szCs w:val="24"/>
        </w:rPr>
        <w:t xml:space="preserve">de los caficultores de la zona de los Santos ante </w:t>
      </w:r>
      <w:r w:rsidR="007226E5" w:rsidRPr="00431183">
        <w:rPr>
          <w:rFonts w:ascii="Cambria" w:hAnsi="Cambria" w:cs="Arial"/>
          <w:sz w:val="24"/>
          <w:szCs w:val="24"/>
        </w:rPr>
        <w:t xml:space="preserve">el </w:t>
      </w:r>
      <w:r w:rsidRPr="00431183">
        <w:rPr>
          <w:rFonts w:ascii="Cambria" w:hAnsi="Cambria" w:cs="Arial"/>
          <w:sz w:val="24"/>
          <w:szCs w:val="24"/>
        </w:rPr>
        <w:t xml:space="preserve">involucramiento de instrumentos financieros como banca para el desarrollo en </w:t>
      </w:r>
      <w:r w:rsidR="00D31BB1" w:rsidRPr="00431183">
        <w:rPr>
          <w:rFonts w:ascii="Cambria" w:hAnsi="Cambria" w:cs="Arial"/>
          <w:sz w:val="24"/>
          <w:szCs w:val="24"/>
        </w:rPr>
        <w:t>la</w:t>
      </w:r>
      <w:r w:rsidR="00FB1FEF" w:rsidRPr="00431183">
        <w:rPr>
          <w:rFonts w:ascii="Cambria" w:hAnsi="Cambria" w:cs="Arial"/>
          <w:sz w:val="24"/>
          <w:szCs w:val="24"/>
        </w:rPr>
        <w:t xml:space="preserve"> implementación de</w:t>
      </w:r>
      <w:r w:rsidR="00D31BB1" w:rsidRPr="00431183">
        <w:rPr>
          <w:rFonts w:ascii="Cambria" w:hAnsi="Cambria" w:cs="Arial"/>
          <w:sz w:val="24"/>
          <w:szCs w:val="24"/>
        </w:rPr>
        <w:t xml:space="preserve"> la denominación de </w:t>
      </w:r>
      <w:r w:rsidR="0017531B" w:rsidRPr="00431183">
        <w:rPr>
          <w:rFonts w:ascii="Cambria" w:hAnsi="Cambria" w:cs="Arial"/>
          <w:sz w:val="24"/>
          <w:szCs w:val="24"/>
        </w:rPr>
        <w:t xml:space="preserve">origen </w:t>
      </w:r>
      <w:r w:rsidR="00187E00" w:rsidRPr="00431183">
        <w:rPr>
          <w:rFonts w:ascii="Cambria" w:hAnsi="Cambria" w:cs="Arial"/>
          <w:sz w:val="24"/>
          <w:szCs w:val="24"/>
        </w:rPr>
        <w:t xml:space="preserve">del café Tarrazú </w:t>
      </w:r>
      <w:r w:rsidR="0017531B" w:rsidRPr="00431183">
        <w:rPr>
          <w:rFonts w:ascii="Cambria" w:hAnsi="Cambria" w:cs="Arial"/>
          <w:sz w:val="24"/>
          <w:szCs w:val="24"/>
        </w:rPr>
        <w:t xml:space="preserve">en la Zona de los Santos. </w:t>
      </w:r>
    </w:p>
    <w:p w14:paraId="35582261" w14:textId="77777777" w:rsidR="003110F2" w:rsidRPr="00431183" w:rsidRDefault="003110F2" w:rsidP="00431183">
      <w:pPr>
        <w:spacing w:after="0" w:line="240" w:lineRule="auto"/>
        <w:jc w:val="both"/>
        <w:rPr>
          <w:rFonts w:ascii="Cambria" w:hAnsi="Cambria" w:cs="Arial"/>
          <w:sz w:val="24"/>
          <w:szCs w:val="24"/>
        </w:rPr>
      </w:pPr>
    </w:p>
    <w:p w14:paraId="112BA494" w14:textId="77777777" w:rsidR="003110F2" w:rsidRPr="00431183" w:rsidRDefault="003110F2" w:rsidP="00431183">
      <w:pPr>
        <w:spacing w:after="0" w:line="240" w:lineRule="auto"/>
        <w:jc w:val="both"/>
        <w:rPr>
          <w:rFonts w:ascii="Cambria" w:hAnsi="Cambria" w:cs="Arial"/>
          <w:sz w:val="24"/>
          <w:szCs w:val="24"/>
        </w:rPr>
      </w:pPr>
    </w:p>
    <w:p w14:paraId="5255843A" w14:textId="77777777" w:rsidR="003110F2" w:rsidRPr="00431183" w:rsidRDefault="003110F2" w:rsidP="00431183">
      <w:pPr>
        <w:spacing w:after="0" w:line="240" w:lineRule="auto"/>
        <w:jc w:val="both"/>
        <w:rPr>
          <w:rFonts w:ascii="Cambria" w:hAnsi="Cambria" w:cs="Arial"/>
          <w:sz w:val="24"/>
          <w:szCs w:val="24"/>
        </w:rPr>
      </w:pPr>
    </w:p>
    <w:p w14:paraId="35BE8355" w14:textId="77777777" w:rsidR="003110F2" w:rsidRPr="00431183" w:rsidRDefault="003110F2" w:rsidP="00431183">
      <w:pPr>
        <w:spacing w:after="0" w:line="240" w:lineRule="auto"/>
        <w:rPr>
          <w:rFonts w:ascii="Cambria" w:hAnsi="Cambria" w:cs="Arial"/>
          <w:sz w:val="24"/>
          <w:szCs w:val="24"/>
        </w:rPr>
      </w:pPr>
    </w:p>
    <w:p w14:paraId="68C11AAF" w14:textId="77777777" w:rsidR="003110F2" w:rsidRPr="00431183" w:rsidRDefault="003110F2" w:rsidP="00431183">
      <w:pPr>
        <w:spacing w:after="0" w:line="240" w:lineRule="auto"/>
        <w:jc w:val="center"/>
        <w:rPr>
          <w:rFonts w:ascii="Cambria" w:hAnsi="Cambria" w:cs="Arial"/>
          <w:sz w:val="24"/>
          <w:szCs w:val="24"/>
        </w:rPr>
      </w:pPr>
    </w:p>
    <w:p w14:paraId="53299E5D" w14:textId="77777777" w:rsidR="003110F2" w:rsidRPr="00431183" w:rsidRDefault="003110F2" w:rsidP="00431183">
      <w:pPr>
        <w:spacing w:after="0" w:line="240" w:lineRule="auto"/>
        <w:jc w:val="center"/>
        <w:rPr>
          <w:rFonts w:ascii="Cambria" w:hAnsi="Cambria" w:cs="Arial"/>
          <w:sz w:val="24"/>
          <w:szCs w:val="24"/>
        </w:rPr>
      </w:pPr>
    </w:p>
    <w:p w14:paraId="7EAD3A1C" w14:textId="77777777" w:rsidR="003110F2" w:rsidRPr="00431183" w:rsidRDefault="003110F2" w:rsidP="00431183">
      <w:pPr>
        <w:spacing w:after="0" w:line="240" w:lineRule="auto"/>
        <w:jc w:val="center"/>
        <w:rPr>
          <w:rFonts w:ascii="Cambria" w:hAnsi="Cambria" w:cs="Arial"/>
          <w:sz w:val="24"/>
          <w:szCs w:val="24"/>
        </w:rPr>
      </w:pPr>
    </w:p>
    <w:p w14:paraId="569B4CB1" w14:textId="77777777" w:rsidR="003110F2" w:rsidRPr="00431183" w:rsidRDefault="003110F2" w:rsidP="00431183">
      <w:pPr>
        <w:spacing w:after="0" w:line="240" w:lineRule="auto"/>
        <w:rPr>
          <w:rFonts w:ascii="Cambria" w:hAnsi="Cambria" w:cs="Arial"/>
          <w:sz w:val="24"/>
          <w:szCs w:val="24"/>
        </w:rPr>
      </w:pPr>
    </w:p>
    <w:p w14:paraId="1ED9FA58" w14:textId="77777777" w:rsidR="004006CC" w:rsidRDefault="004006CC" w:rsidP="00431183">
      <w:pPr>
        <w:spacing w:after="0" w:line="240" w:lineRule="auto"/>
        <w:rPr>
          <w:rFonts w:ascii="Cambria" w:hAnsi="Cambria" w:cs="Arial"/>
          <w:sz w:val="24"/>
          <w:szCs w:val="24"/>
        </w:rPr>
      </w:pPr>
    </w:p>
    <w:p w14:paraId="2B65C5DB" w14:textId="77777777" w:rsidR="004956F1" w:rsidRDefault="004956F1" w:rsidP="00431183">
      <w:pPr>
        <w:spacing w:after="0" w:line="240" w:lineRule="auto"/>
        <w:rPr>
          <w:rFonts w:ascii="Cambria" w:hAnsi="Cambria" w:cs="Arial"/>
          <w:sz w:val="24"/>
          <w:szCs w:val="24"/>
        </w:rPr>
      </w:pPr>
    </w:p>
    <w:p w14:paraId="7A642BC3" w14:textId="77777777" w:rsidR="004956F1" w:rsidRDefault="004956F1" w:rsidP="00431183">
      <w:pPr>
        <w:spacing w:after="0" w:line="240" w:lineRule="auto"/>
        <w:rPr>
          <w:rFonts w:ascii="Cambria" w:hAnsi="Cambria" w:cs="Arial"/>
          <w:sz w:val="24"/>
          <w:szCs w:val="24"/>
        </w:rPr>
      </w:pPr>
    </w:p>
    <w:p w14:paraId="6FEFC36F" w14:textId="77777777" w:rsidR="004956F1" w:rsidRDefault="004956F1" w:rsidP="00431183">
      <w:pPr>
        <w:spacing w:after="0" w:line="240" w:lineRule="auto"/>
        <w:rPr>
          <w:rFonts w:ascii="Cambria" w:hAnsi="Cambria" w:cs="Arial"/>
          <w:sz w:val="24"/>
          <w:szCs w:val="24"/>
        </w:rPr>
      </w:pPr>
    </w:p>
    <w:p w14:paraId="5C29733B" w14:textId="77777777" w:rsidR="004956F1" w:rsidRDefault="004956F1" w:rsidP="00431183">
      <w:pPr>
        <w:spacing w:after="0" w:line="240" w:lineRule="auto"/>
        <w:rPr>
          <w:rFonts w:ascii="Cambria" w:hAnsi="Cambria" w:cs="Arial"/>
          <w:sz w:val="24"/>
          <w:szCs w:val="24"/>
        </w:rPr>
      </w:pPr>
    </w:p>
    <w:p w14:paraId="3D368CA7" w14:textId="77777777" w:rsidR="004956F1" w:rsidRDefault="004956F1" w:rsidP="00431183">
      <w:pPr>
        <w:spacing w:after="0" w:line="240" w:lineRule="auto"/>
        <w:rPr>
          <w:rFonts w:ascii="Cambria" w:hAnsi="Cambria" w:cs="Arial"/>
          <w:sz w:val="24"/>
          <w:szCs w:val="24"/>
        </w:rPr>
      </w:pPr>
    </w:p>
    <w:p w14:paraId="70BEC3EC" w14:textId="77777777" w:rsidR="004956F1" w:rsidRDefault="004956F1" w:rsidP="00431183">
      <w:pPr>
        <w:spacing w:after="0" w:line="240" w:lineRule="auto"/>
        <w:rPr>
          <w:rFonts w:ascii="Cambria" w:hAnsi="Cambria" w:cs="Arial"/>
          <w:sz w:val="24"/>
          <w:szCs w:val="24"/>
        </w:rPr>
      </w:pPr>
    </w:p>
    <w:p w14:paraId="616F2C18" w14:textId="77777777" w:rsidR="004956F1" w:rsidRDefault="004956F1" w:rsidP="00431183">
      <w:pPr>
        <w:spacing w:after="0" w:line="240" w:lineRule="auto"/>
        <w:rPr>
          <w:rFonts w:ascii="Cambria" w:hAnsi="Cambria" w:cs="Arial"/>
          <w:sz w:val="24"/>
          <w:szCs w:val="24"/>
        </w:rPr>
      </w:pPr>
    </w:p>
    <w:p w14:paraId="00FB7C33" w14:textId="77777777" w:rsidR="004956F1" w:rsidRDefault="004956F1" w:rsidP="00431183">
      <w:pPr>
        <w:spacing w:after="0" w:line="240" w:lineRule="auto"/>
        <w:rPr>
          <w:rFonts w:ascii="Cambria" w:hAnsi="Cambria" w:cs="Arial"/>
          <w:sz w:val="24"/>
          <w:szCs w:val="24"/>
        </w:rPr>
      </w:pPr>
    </w:p>
    <w:p w14:paraId="4AD85E15" w14:textId="77777777" w:rsidR="004956F1" w:rsidRDefault="004956F1" w:rsidP="00431183">
      <w:pPr>
        <w:spacing w:after="0" w:line="240" w:lineRule="auto"/>
        <w:rPr>
          <w:rFonts w:ascii="Cambria" w:hAnsi="Cambria" w:cs="Arial"/>
          <w:sz w:val="24"/>
          <w:szCs w:val="24"/>
        </w:rPr>
      </w:pPr>
    </w:p>
    <w:p w14:paraId="699E3640" w14:textId="77777777" w:rsidR="004956F1" w:rsidRDefault="004956F1" w:rsidP="00431183">
      <w:pPr>
        <w:spacing w:after="0" w:line="240" w:lineRule="auto"/>
        <w:rPr>
          <w:rFonts w:ascii="Cambria" w:hAnsi="Cambria" w:cs="Arial"/>
          <w:sz w:val="24"/>
          <w:szCs w:val="24"/>
        </w:rPr>
      </w:pPr>
    </w:p>
    <w:p w14:paraId="75942CC2" w14:textId="77777777" w:rsidR="004956F1" w:rsidRDefault="004956F1" w:rsidP="00431183">
      <w:pPr>
        <w:spacing w:after="0" w:line="240" w:lineRule="auto"/>
        <w:rPr>
          <w:rFonts w:ascii="Cambria" w:hAnsi="Cambria" w:cs="Arial"/>
          <w:sz w:val="24"/>
          <w:szCs w:val="24"/>
        </w:rPr>
      </w:pPr>
    </w:p>
    <w:p w14:paraId="508603D0" w14:textId="77777777" w:rsidR="004956F1" w:rsidRDefault="004956F1" w:rsidP="00431183">
      <w:pPr>
        <w:spacing w:after="0" w:line="240" w:lineRule="auto"/>
        <w:rPr>
          <w:rFonts w:ascii="Cambria" w:hAnsi="Cambria" w:cs="Arial"/>
          <w:sz w:val="24"/>
          <w:szCs w:val="24"/>
        </w:rPr>
      </w:pPr>
    </w:p>
    <w:p w14:paraId="404D2DC9" w14:textId="77777777" w:rsidR="004956F1" w:rsidRDefault="004956F1" w:rsidP="00431183">
      <w:pPr>
        <w:spacing w:after="0" w:line="240" w:lineRule="auto"/>
        <w:rPr>
          <w:rFonts w:ascii="Cambria" w:hAnsi="Cambria" w:cs="Arial"/>
          <w:sz w:val="24"/>
          <w:szCs w:val="24"/>
        </w:rPr>
      </w:pPr>
    </w:p>
    <w:p w14:paraId="2C407653" w14:textId="77777777" w:rsidR="006E5E69" w:rsidRPr="00431183" w:rsidRDefault="006E5E69" w:rsidP="00431183">
      <w:pPr>
        <w:spacing w:after="0" w:line="240" w:lineRule="auto"/>
        <w:rPr>
          <w:rFonts w:ascii="Cambria" w:hAnsi="Cambria" w:cs="Arial"/>
          <w:sz w:val="24"/>
          <w:szCs w:val="24"/>
        </w:rPr>
      </w:pPr>
    </w:p>
    <w:p w14:paraId="0F94DF42" w14:textId="70D308D1" w:rsidR="003110F2" w:rsidRPr="00AF1E1D" w:rsidRDefault="0009604A" w:rsidP="00AF1E1D">
      <w:pPr>
        <w:pStyle w:val="Ttulo1"/>
        <w:spacing w:line="240" w:lineRule="auto"/>
        <w:jc w:val="both"/>
        <w:rPr>
          <w:rFonts w:ascii="Cambria" w:hAnsi="Cambria" w:cs="Arial"/>
          <w:b/>
          <w:color w:val="auto"/>
          <w:sz w:val="28"/>
          <w:szCs w:val="28"/>
        </w:rPr>
      </w:pPr>
      <w:bookmarkStart w:id="66" w:name="_Toc527576949"/>
      <w:r w:rsidRPr="00AF1E1D">
        <w:rPr>
          <w:rFonts w:ascii="Cambria" w:hAnsi="Cambria" w:cs="Arial"/>
          <w:b/>
          <w:color w:val="auto"/>
          <w:sz w:val="28"/>
          <w:szCs w:val="28"/>
        </w:rPr>
        <w:lastRenderedPageBreak/>
        <w:t>Capítulo</w:t>
      </w:r>
      <w:r w:rsidR="003110F2" w:rsidRPr="00AF1E1D">
        <w:rPr>
          <w:rFonts w:ascii="Cambria" w:hAnsi="Cambria" w:cs="Arial"/>
          <w:b/>
          <w:color w:val="auto"/>
          <w:sz w:val="28"/>
          <w:szCs w:val="28"/>
        </w:rPr>
        <w:t xml:space="preserve"> </w:t>
      </w:r>
      <w:r>
        <w:rPr>
          <w:rFonts w:ascii="Cambria" w:hAnsi="Cambria" w:cs="Arial"/>
          <w:b/>
          <w:color w:val="auto"/>
          <w:sz w:val="28"/>
          <w:szCs w:val="28"/>
        </w:rPr>
        <w:t>II</w:t>
      </w:r>
      <w:r w:rsidR="00B631BB" w:rsidRPr="00AF1E1D">
        <w:rPr>
          <w:rFonts w:ascii="Cambria" w:hAnsi="Cambria" w:cs="Arial"/>
          <w:b/>
          <w:color w:val="auto"/>
          <w:sz w:val="28"/>
          <w:szCs w:val="28"/>
        </w:rPr>
        <w:t xml:space="preserve">: </w:t>
      </w:r>
      <w:r w:rsidR="003110F2" w:rsidRPr="00AF1E1D">
        <w:rPr>
          <w:rFonts w:ascii="Cambria" w:hAnsi="Cambria" w:cs="Arial"/>
          <w:b/>
          <w:color w:val="auto"/>
          <w:sz w:val="28"/>
          <w:szCs w:val="28"/>
        </w:rPr>
        <w:t>Marco Teórico</w:t>
      </w:r>
      <w:bookmarkEnd w:id="66"/>
      <w:r w:rsidR="003110F2" w:rsidRPr="00AF1E1D">
        <w:rPr>
          <w:rFonts w:ascii="Cambria" w:hAnsi="Cambria" w:cs="Arial"/>
          <w:b/>
          <w:color w:val="auto"/>
          <w:sz w:val="28"/>
          <w:szCs w:val="28"/>
        </w:rPr>
        <w:t xml:space="preserve"> </w:t>
      </w:r>
    </w:p>
    <w:p w14:paraId="5D4591D6" w14:textId="77777777" w:rsidR="003110F2" w:rsidRPr="00431183" w:rsidRDefault="003110F2" w:rsidP="00431183">
      <w:pPr>
        <w:spacing w:after="0" w:line="240" w:lineRule="auto"/>
        <w:jc w:val="both"/>
        <w:rPr>
          <w:rFonts w:ascii="Cambria" w:hAnsi="Cambria" w:cs="Arial"/>
          <w:sz w:val="24"/>
          <w:szCs w:val="24"/>
        </w:rPr>
      </w:pPr>
    </w:p>
    <w:p w14:paraId="480DB4D9" w14:textId="77777777" w:rsidR="00707D07" w:rsidRPr="00431183" w:rsidRDefault="00707D07" w:rsidP="00431183">
      <w:pPr>
        <w:spacing w:after="0" w:line="240" w:lineRule="auto"/>
        <w:jc w:val="both"/>
        <w:rPr>
          <w:rFonts w:ascii="Cambria" w:hAnsi="Cambria" w:cs="Arial"/>
          <w:sz w:val="24"/>
          <w:szCs w:val="24"/>
        </w:rPr>
      </w:pPr>
    </w:p>
    <w:p w14:paraId="7A5FA18A" w14:textId="66957AD9" w:rsidR="00B631BB" w:rsidRPr="00AF1E1D" w:rsidRDefault="00D174D2" w:rsidP="00AF1E1D">
      <w:r>
        <w:rPr>
          <w:rFonts w:ascii="Cambria" w:hAnsi="Cambria" w:cs="Arial"/>
          <w:b/>
          <w:sz w:val="24"/>
          <w:szCs w:val="24"/>
        </w:rPr>
        <w:t>2</w:t>
      </w:r>
      <w:r w:rsidR="00CB4D89" w:rsidRPr="00431183">
        <w:rPr>
          <w:rFonts w:ascii="Cambria" w:hAnsi="Cambria" w:cs="Arial"/>
          <w:b/>
          <w:sz w:val="24"/>
          <w:szCs w:val="24"/>
        </w:rPr>
        <w:t xml:space="preserve">.1 </w:t>
      </w:r>
      <w:r w:rsidR="004945DF" w:rsidRPr="00431183">
        <w:rPr>
          <w:rFonts w:ascii="Cambria" w:hAnsi="Cambria" w:cs="Arial"/>
          <w:b/>
          <w:sz w:val="24"/>
          <w:szCs w:val="24"/>
        </w:rPr>
        <w:t xml:space="preserve">Cadenas Globales de Valor: Una aproximación para entender la dinámica productiva del café y la Denominación de Origen </w:t>
      </w:r>
    </w:p>
    <w:p w14:paraId="31536825" w14:textId="77777777" w:rsidR="007D384C" w:rsidRPr="00431183" w:rsidRDefault="007D384C" w:rsidP="00AF1E1D">
      <w:pPr>
        <w:pStyle w:val="Ttulo2"/>
        <w:spacing w:line="240" w:lineRule="auto"/>
        <w:rPr>
          <w:lang w:eastAsia="es-CR"/>
        </w:rPr>
      </w:pPr>
    </w:p>
    <w:p w14:paraId="0DB9267E" w14:textId="4F50EFDF" w:rsidR="000C19DC" w:rsidRPr="00431183" w:rsidRDefault="000C19DC" w:rsidP="00CD0602">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 xml:space="preserve">La discusión sobre el enfoque de cadenas globales de valor (CGV) se ha transformado en la última década en una herramienta de gran relevancia no solo para el análisis de las redes económicas globales en base a las cuales funciona crecientemente el capitalismo, sino también para la formulación de las políticas de desarrollo. </w:t>
      </w:r>
      <w:r w:rsidR="00A11D20">
        <w:rPr>
          <w:rFonts w:ascii="Cambria" w:hAnsi="Cambria" w:cs="Arial"/>
          <w:sz w:val="24"/>
          <w:szCs w:val="24"/>
          <w:lang w:eastAsia="es-CR"/>
        </w:rPr>
        <w:t xml:space="preserve"> </w:t>
      </w:r>
      <w:r w:rsidRPr="00431183">
        <w:rPr>
          <w:rFonts w:ascii="Cambria" w:hAnsi="Cambria" w:cs="Arial"/>
          <w:sz w:val="24"/>
          <w:szCs w:val="24"/>
          <w:lang w:eastAsia="es-CR"/>
        </w:rPr>
        <w:t>Con ello, esta perspectiva ha tenido una creciente, aunque no siempre homogénea, asimilación institucional. De hecho, ha pasado a formar parte de las categorías que integran el repertorio de los organismos supranacionales, que comprenden tanto aquellos más ligados al diagnóstico y el asesoramiento (los vinculados a Naciones Unidas) como, más recientemente, aquellos que han operado como financiadores de las estrategias que, en su momento, fueron fuertemente dominadas por el Consenso de Washington</w:t>
      </w:r>
      <w:r w:rsidR="00A11D20">
        <w:rPr>
          <w:rFonts w:ascii="Cambria" w:hAnsi="Cambria" w:cs="Arial"/>
          <w:sz w:val="24"/>
          <w:szCs w:val="24"/>
          <w:lang w:eastAsia="es-CR"/>
        </w:rPr>
        <w:t>.</w:t>
      </w:r>
      <w:r w:rsidRPr="00431183">
        <w:rPr>
          <w:rFonts w:ascii="Cambria" w:hAnsi="Cambria" w:cs="Arial"/>
          <w:sz w:val="24"/>
          <w:szCs w:val="24"/>
          <w:lang w:eastAsia="es-CR"/>
        </w:rPr>
        <w:t xml:space="preserve"> </w:t>
      </w:r>
      <w:sdt>
        <w:sdtPr>
          <w:rPr>
            <w:rFonts w:ascii="Cambria" w:hAnsi="Cambria" w:cs="Arial"/>
            <w:sz w:val="24"/>
            <w:szCs w:val="24"/>
            <w:lang w:eastAsia="es-CR"/>
          </w:rPr>
          <w:id w:val="312986287"/>
          <w:citation/>
        </w:sdtPr>
        <w:sdtEndPr/>
        <w:sdtContent>
          <w:r w:rsidR="005C7CB3" w:rsidRPr="00AF1E1D">
            <w:rPr>
              <w:rFonts w:ascii="Cambria" w:hAnsi="Cambria" w:cs="Arial"/>
              <w:sz w:val="24"/>
              <w:szCs w:val="24"/>
              <w:lang w:eastAsia="es-CR"/>
            </w:rPr>
            <w:fldChar w:fldCharType="begin"/>
          </w:r>
          <w:r w:rsidR="00CD0361" w:rsidRPr="00AF1E1D">
            <w:rPr>
              <w:rFonts w:ascii="Cambria" w:hAnsi="Cambria" w:cs="Arial"/>
              <w:sz w:val="24"/>
              <w:szCs w:val="24"/>
              <w:lang w:eastAsia="es-CR"/>
            </w:rPr>
            <w:instrText xml:space="preserve">CITATION Fer15 \p 20 \l 5130 </w:instrText>
          </w:r>
          <w:r w:rsidR="005C7CB3" w:rsidRPr="00AF1E1D">
            <w:rPr>
              <w:rFonts w:ascii="Cambria" w:hAnsi="Cambria" w:cs="Arial"/>
              <w:sz w:val="24"/>
              <w:szCs w:val="24"/>
              <w:lang w:eastAsia="es-CR"/>
            </w:rPr>
            <w:fldChar w:fldCharType="separate"/>
          </w:r>
          <w:r w:rsidR="00AF1E1D" w:rsidRPr="00AF1E1D">
            <w:rPr>
              <w:rFonts w:ascii="Cambria" w:hAnsi="Cambria" w:cs="Arial"/>
              <w:noProof/>
              <w:sz w:val="24"/>
              <w:szCs w:val="24"/>
              <w:lang w:eastAsia="es-CR"/>
            </w:rPr>
            <w:t>(Fernández, 2015, pág. 20)</w:t>
          </w:r>
          <w:r w:rsidR="005C7CB3" w:rsidRPr="00AF1E1D">
            <w:rPr>
              <w:rFonts w:ascii="Cambria" w:hAnsi="Cambria" w:cs="Arial"/>
              <w:sz w:val="24"/>
              <w:szCs w:val="24"/>
              <w:lang w:eastAsia="es-CR"/>
            </w:rPr>
            <w:fldChar w:fldCharType="end"/>
          </w:r>
        </w:sdtContent>
      </w:sdt>
      <w:r w:rsidRPr="00AF1E1D">
        <w:rPr>
          <w:rFonts w:ascii="Cambria" w:hAnsi="Cambria" w:cs="Arial"/>
          <w:sz w:val="24"/>
          <w:szCs w:val="24"/>
          <w:lang w:eastAsia="es-CR"/>
        </w:rPr>
        <w:t>.</w:t>
      </w:r>
      <w:r w:rsidR="00CD0602">
        <w:rPr>
          <w:rFonts w:ascii="Cambria" w:hAnsi="Cambria" w:cs="Arial"/>
          <w:sz w:val="24"/>
          <w:szCs w:val="24"/>
          <w:lang w:eastAsia="es-CR"/>
        </w:rPr>
        <w:t xml:space="preserve"> </w:t>
      </w:r>
    </w:p>
    <w:p w14:paraId="13066C65" w14:textId="3398907E" w:rsidR="000C19DC" w:rsidRPr="00431183" w:rsidRDefault="000C19DC"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 xml:space="preserve">El concepto actualmente utilizado como cadenas globales de valor (CGV) tiene su origen en la obra de </w:t>
      </w:r>
      <w:r w:rsidR="00A11D20" w:rsidRPr="00431183">
        <w:rPr>
          <w:rFonts w:ascii="Cambria" w:hAnsi="Cambria" w:cs="Arial"/>
          <w:noProof/>
          <w:sz w:val="24"/>
          <w:szCs w:val="24"/>
          <w:lang w:eastAsia="es-CR"/>
        </w:rPr>
        <w:t xml:space="preserve">Hopkins &amp; Wallerstein </w:t>
      </w:r>
      <w:r w:rsidR="00A11D20">
        <w:rPr>
          <w:rFonts w:ascii="Cambria" w:hAnsi="Cambria" w:cs="Arial"/>
          <w:noProof/>
          <w:sz w:val="24"/>
          <w:szCs w:val="24"/>
          <w:lang w:eastAsia="es-CR"/>
        </w:rPr>
        <w:t>(</w:t>
      </w:r>
      <w:r w:rsidR="00A11D20" w:rsidRPr="00431183">
        <w:rPr>
          <w:rFonts w:ascii="Cambria" w:hAnsi="Cambria" w:cs="Arial"/>
          <w:noProof/>
          <w:sz w:val="24"/>
          <w:szCs w:val="24"/>
          <w:lang w:eastAsia="es-CR"/>
        </w:rPr>
        <w:t>1977)</w:t>
      </w:r>
      <w:r w:rsidRPr="00431183">
        <w:rPr>
          <w:rFonts w:ascii="Cambria" w:hAnsi="Cambria" w:cs="Arial"/>
          <w:sz w:val="24"/>
          <w:szCs w:val="24"/>
          <w:lang w:eastAsia="es-CR"/>
        </w:rPr>
        <w:t>, quienes elaboran la noción de cadenas de mercancías (</w:t>
      </w:r>
      <w:r w:rsidRPr="00AF1E1D">
        <w:rPr>
          <w:rFonts w:ascii="Cambria" w:hAnsi="Cambria" w:cs="Arial"/>
          <w:i/>
          <w:sz w:val="24"/>
          <w:szCs w:val="24"/>
          <w:lang w:eastAsia="es-CR"/>
        </w:rPr>
        <w:t>commodity chains</w:t>
      </w:r>
      <w:r w:rsidRPr="00431183">
        <w:rPr>
          <w:rFonts w:ascii="Cambria" w:hAnsi="Cambria" w:cs="Arial"/>
          <w:sz w:val="24"/>
          <w:szCs w:val="24"/>
          <w:lang w:eastAsia="es-CR"/>
        </w:rPr>
        <w:t>) en su desarrollo de la teoría del sistema-mundo</w:t>
      </w:r>
      <w:r w:rsidR="00A11D20">
        <w:rPr>
          <w:rFonts w:ascii="Cambria" w:hAnsi="Cambria" w:cs="Arial"/>
          <w:sz w:val="24"/>
          <w:szCs w:val="24"/>
          <w:lang w:eastAsia="es-CR"/>
        </w:rPr>
        <w:t xml:space="preserve">, estos </w:t>
      </w:r>
      <w:r w:rsidRPr="00431183">
        <w:rPr>
          <w:rFonts w:ascii="Cambria" w:hAnsi="Cambria" w:cs="Arial"/>
          <w:sz w:val="24"/>
          <w:szCs w:val="24"/>
          <w:lang w:eastAsia="es-CR"/>
        </w:rPr>
        <w:t>sostienen que la economía-mundo capitalista actual se encuentra conformada por una única división internacional del trabajo, pasible de descomponerse en una serie de cadenas mercantiles que, a partir de la articulación de diversos procesos productivos, traspasan las fronteras interestatales.</w:t>
      </w:r>
      <w:r w:rsidR="00A11D20">
        <w:rPr>
          <w:rFonts w:ascii="Cambria" w:hAnsi="Cambria" w:cs="Arial"/>
          <w:sz w:val="24"/>
          <w:szCs w:val="24"/>
          <w:lang w:eastAsia="es-CR"/>
        </w:rPr>
        <w:t xml:space="preserve"> </w:t>
      </w:r>
    </w:p>
    <w:p w14:paraId="78791024" w14:textId="77777777" w:rsidR="006E5E69"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En su investigación acerca del funcionamiento de la economía-mundo capitalista y con el objetivo de rastrear las relaciones de producción en el tiempo y en el espacio, los autores definieron las cadenas de mercancías como las redes de procesos de trabajo y producción que dan lugar a una mercancía terminada. Es decir, la construcción del concepto parte desde el producto final, retrocediendo hacia atrás en el proceso de producción hasta la obtención de la materia prima. De este modo, se podrá indagar en las fuentes de valor de ese producto terminado e identificar los "nodos" de cada una de las cadenas.</w:t>
      </w:r>
    </w:p>
    <w:p w14:paraId="576D30C9" w14:textId="154015C6" w:rsidR="002820A6"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Esta perspectiva considera que la economía mundial está estructurada jerárquicamente en tres eslabones - centro - semiperiferia - periferia - que no vinculan economías nacionales entre sí, sino actividades económicas que son estructuradas por estas cadenas</w:t>
      </w:r>
      <w:r w:rsidR="00A11D20">
        <w:rPr>
          <w:rFonts w:ascii="Cambria" w:hAnsi="Cambria" w:cs="Arial"/>
          <w:sz w:val="24"/>
          <w:szCs w:val="24"/>
          <w:lang w:eastAsia="es-CR"/>
        </w:rPr>
        <w:t xml:space="preserve"> </w:t>
      </w:r>
      <w:r w:rsidRPr="00431183">
        <w:rPr>
          <w:rFonts w:ascii="Cambria" w:hAnsi="Cambria" w:cs="Arial"/>
          <w:sz w:val="24"/>
          <w:szCs w:val="24"/>
          <w:lang w:eastAsia="es-CR"/>
        </w:rPr>
        <w:t xml:space="preserve"> </w:t>
      </w:r>
      <w:sdt>
        <w:sdtPr>
          <w:rPr>
            <w:rFonts w:ascii="Cambria" w:hAnsi="Cambria" w:cs="Arial"/>
            <w:sz w:val="24"/>
            <w:szCs w:val="24"/>
            <w:lang w:eastAsia="es-CR"/>
          </w:rPr>
          <w:id w:val="1991897454"/>
          <w:citation/>
        </w:sdtPr>
        <w:sdtEndPr/>
        <w:sdtContent>
          <w:r w:rsidR="005C7CB3" w:rsidRPr="00431183">
            <w:rPr>
              <w:rFonts w:ascii="Cambria" w:hAnsi="Cambria" w:cs="Arial"/>
              <w:sz w:val="24"/>
              <w:szCs w:val="24"/>
              <w:lang w:eastAsia="es-CR"/>
            </w:rPr>
            <w:fldChar w:fldCharType="begin"/>
          </w:r>
          <w:r w:rsidR="001E4A5E">
            <w:rPr>
              <w:rFonts w:ascii="Cambria" w:hAnsi="Cambria" w:cs="Arial"/>
              <w:sz w:val="24"/>
              <w:szCs w:val="24"/>
              <w:lang w:eastAsia="es-CR"/>
            </w:rPr>
            <w:instrText xml:space="preserve">CITATION Arr86 \p 17 \l 5130 </w:instrText>
          </w:r>
          <w:r w:rsidR="005C7CB3" w:rsidRPr="00431183">
            <w:rPr>
              <w:rFonts w:ascii="Cambria" w:hAnsi="Cambria" w:cs="Arial"/>
              <w:sz w:val="24"/>
              <w:szCs w:val="24"/>
              <w:lang w:eastAsia="es-CR"/>
            </w:rPr>
            <w:fldChar w:fldCharType="separate"/>
          </w:r>
          <w:r w:rsidR="00AF1E1D" w:rsidRPr="00AF1E1D">
            <w:rPr>
              <w:rFonts w:ascii="Cambria" w:hAnsi="Cambria" w:cs="Arial"/>
              <w:noProof/>
              <w:sz w:val="24"/>
              <w:szCs w:val="24"/>
              <w:lang w:eastAsia="es-CR"/>
            </w:rPr>
            <w:t>(Arrighi &amp; Grangel, 1986, pág. 17)</w:t>
          </w:r>
          <w:r w:rsidR="005C7CB3" w:rsidRPr="00431183">
            <w:rPr>
              <w:rFonts w:ascii="Cambria" w:hAnsi="Cambria" w:cs="Arial"/>
              <w:sz w:val="24"/>
              <w:szCs w:val="24"/>
              <w:lang w:eastAsia="es-CR"/>
            </w:rPr>
            <w:fldChar w:fldCharType="end"/>
          </w:r>
        </w:sdtContent>
      </w:sdt>
      <w:r w:rsidRPr="00431183">
        <w:rPr>
          <w:rFonts w:ascii="Cambria" w:hAnsi="Cambria" w:cs="Arial"/>
          <w:sz w:val="24"/>
          <w:szCs w:val="24"/>
          <w:lang w:eastAsia="es-CR"/>
        </w:rPr>
        <w:t xml:space="preserve">. </w:t>
      </w:r>
      <w:r w:rsidR="001E4A5E">
        <w:rPr>
          <w:rFonts w:ascii="Cambria" w:hAnsi="Cambria" w:cs="Arial"/>
          <w:sz w:val="24"/>
          <w:szCs w:val="24"/>
          <w:lang w:eastAsia="es-CR"/>
        </w:rPr>
        <w:t xml:space="preserve"> </w:t>
      </w:r>
      <w:r w:rsidRPr="00431183">
        <w:rPr>
          <w:rFonts w:ascii="Cambria" w:hAnsi="Cambria" w:cs="Arial"/>
          <w:sz w:val="24"/>
          <w:szCs w:val="24"/>
          <w:lang w:eastAsia="es-CR"/>
        </w:rPr>
        <w:t xml:space="preserve">Como consecuencia, el valor agregado por cada una de estas actividades y las formas de apropiación </w:t>
      </w:r>
      <w:r w:rsidR="00D174D2" w:rsidRPr="00431183">
        <w:rPr>
          <w:rFonts w:ascii="Cambria" w:hAnsi="Cambria" w:cs="Arial"/>
          <w:sz w:val="24"/>
          <w:szCs w:val="24"/>
          <w:lang w:eastAsia="es-CR"/>
        </w:rPr>
        <w:t>de este</w:t>
      </w:r>
      <w:r w:rsidRPr="00431183">
        <w:rPr>
          <w:rFonts w:ascii="Cambria" w:hAnsi="Cambria" w:cs="Arial"/>
          <w:sz w:val="24"/>
          <w:szCs w:val="24"/>
          <w:lang w:eastAsia="es-CR"/>
        </w:rPr>
        <w:t xml:space="preserve"> permiten identificar: a) actividades centrales: aquellas que absorben la mayor parte de los beneficios producidos dentro de la cadena; b) actividades periféricas: las que sólo se apropian de una porción marginal del beneficio.</w:t>
      </w:r>
    </w:p>
    <w:p w14:paraId="12F564AA" w14:textId="0F35145F" w:rsidR="002F3EB0" w:rsidRPr="00431183" w:rsidRDefault="002F3EB0">
      <w:pPr>
        <w:spacing w:line="240" w:lineRule="auto"/>
        <w:ind w:firstLine="708"/>
        <w:jc w:val="both"/>
        <w:rPr>
          <w:rFonts w:ascii="Cambria" w:hAnsi="Cambria" w:cs="Arial"/>
          <w:noProof/>
          <w:sz w:val="24"/>
          <w:szCs w:val="24"/>
          <w:lang w:eastAsia="es-CR"/>
        </w:rPr>
      </w:pPr>
      <w:r w:rsidRPr="00431183">
        <w:rPr>
          <w:rFonts w:ascii="Cambria" w:hAnsi="Cambria" w:cs="Arial"/>
          <w:sz w:val="24"/>
          <w:szCs w:val="24"/>
          <w:lang w:eastAsia="es-CR"/>
        </w:rPr>
        <w:t>La distribución de actividades y valores fundamenta</w:t>
      </w:r>
      <w:r w:rsidR="002820A6" w:rsidRPr="00431183">
        <w:rPr>
          <w:rFonts w:ascii="Cambria" w:hAnsi="Cambria" w:cs="Arial"/>
          <w:sz w:val="24"/>
          <w:szCs w:val="24"/>
          <w:lang w:eastAsia="es-CR"/>
        </w:rPr>
        <w:t>,</w:t>
      </w:r>
      <w:r w:rsidRPr="00431183">
        <w:rPr>
          <w:rFonts w:ascii="Cambria" w:hAnsi="Cambria" w:cs="Arial"/>
          <w:sz w:val="24"/>
          <w:szCs w:val="24"/>
          <w:lang w:eastAsia="es-CR"/>
        </w:rPr>
        <w:t xml:space="preserve"> la desigual apropiación de beneficios del intercambio internacional existente entre las mismas</w:t>
      </w:r>
      <w:r w:rsidR="001E4A5E">
        <w:rPr>
          <w:rFonts w:ascii="Cambria" w:hAnsi="Cambria" w:cs="Arial"/>
          <w:sz w:val="24"/>
          <w:szCs w:val="24"/>
          <w:lang w:eastAsia="es-CR"/>
        </w:rPr>
        <w:t xml:space="preserve"> como los </w:t>
      </w:r>
      <w:r w:rsidR="001E4A5E">
        <w:rPr>
          <w:rFonts w:ascii="Cambria" w:hAnsi="Cambria" w:cs="Arial"/>
          <w:sz w:val="24"/>
          <w:szCs w:val="24"/>
          <w:lang w:eastAsia="es-CR"/>
        </w:rPr>
        <w:lastRenderedPageBreak/>
        <w:t>explicaron</w:t>
      </w:r>
      <w:r w:rsidRPr="00431183">
        <w:rPr>
          <w:rFonts w:ascii="Cambria" w:hAnsi="Cambria" w:cs="Arial"/>
          <w:sz w:val="24"/>
          <w:szCs w:val="24"/>
          <w:lang w:eastAsia="es-CR"/>
        </w:rPr>
        <w:t xml:space="preserve"> </w:t>
      </w:r>
      <w:r w:rsidR="003D5C22" w:rsidRPr="00431183">
        <w:rPr>
          <w:rFonts w:ascii="Cambria" w:hAnsi="Cambria" w:cs="Arial"/>
          <w:noProof/>
          <w:sz w:val="24"/>
          <w:szCs w:val="24"/>
          <w:lang w:eastAsia="es-CR"/>
        </w:rPr>
        <w:t xml:space="preserve">Arrighi &amp; Grangel </w:t>
      </w:r>
      <w:r w:rsidR="001E4A5E">
        <w:rPr>
          <w:rFonts w:ascii="Cambria" w:hAnsi="Cambria" w:cs="Arial"/>
          <w:noProof/>
          <w:sz w:val="24"/>
          <w:szCs w:val="24"/>
          <w:lang w:eastAsia="es-CR"/>
        </w:rPr>
        <w:t>(</w:t>
      </w:r>
      <w:r w:rsidR="003D5C22" w:rsidRPr="00431183">
        <w:rPr>
          <w:rFonts w:ascii="Cambria" w:hAnsi="Cambria" w:cs="Arial"/>
          <w:noProof/>
          <w:sz w:val="24"/>
          <w:szCs w:val="24"/>
          <w:lang w:eastAsia="es-CR"/>
        </w:rPr>
        <w:t>1986)</w:t>
      </w:r>
      <w:r w:rsidR="001E4A5E">
        <w:rPr>
          <w:rFonts w:ascii="Cambria" w:hAnsi="Cambria" w:cs="Arial"/>
          <w:sz w:val="24"/>
          <w:szCs w:val="24"/>
          <w:lang w:eastAsia="es-CR"/>
        </w:rPr>
        <w:t xml:space="preserve"> y</w:t>
      </w:r>
      <w:r w:rsidRPr="00431183">
        <w:rPr>
          <w:rFonts w:ascii="Cambria" w:hAnsi="Cambria" w:cs="Arial"/>
          <w:sz w:val="24"/>
          <w:szCs w:val="24"/>
          <w:lang w:eastAsia="es-CR"/>
        </w:rPr>
        <w:t xml:space="preserve"> </w:t>
      </w:r>
      <w:r w:rsidR="003D5C22" w:rsidRPr="00431183">
        <w:rPr>
          <w:rFonts w:ascii="Cambria" w:hAnsi="Cambria" w:cs="Arial"/>
          <w:noProof/>
          <w:sz w:val="24"/>
          <w:szCs w:val="24"/>
          <w:lang w:eastAsia="es-CR"/>
        </w:rPr>
        <w:t xml:space="preserve">Wallerstein </w:t>
      </w:r>
      <w:r w:rsidR="003D5C22">
        <w:rPr>
          <w:rFonts w:ascii="Cambria" w:hAnsi="Cambria" w:cs="Arial"/>
          <w:noProof/>
          <w:sz w:val="24"/>
          <w:szCs w:val="24"/>
          <w:lang w:eastAsia="es-CR"/>
        </w:rPr>
        <w:t>(</w:t>
      </w:r>
      <w:r w:rsidR="003D5C22" w:rsidRPr="00431183">
        <w:rPr>
          <w:rFonts w:ascii="Cambria" w:hAnsi="Cambria" w:cs="Arial"/>
          <w:noProof/>
          <w:sz w:val="24"/>
          <w:szCs w:val="24"/>
          <w:lang w:eastAsia="es-CR"/>
        </w:rPr>
        <w:t>1974)</w:t>
      </w:r>
      <w:r w:rsidRPr="00431183">
        <w:rPr>
          <w:rFonts w:ascii="Cambria" w:hAnsi="Cambria" w:cs="Arial"/>
          <w:sz w:val="24"/>
          <w:szCs w:val="24"/>
          <w:lang w:eastAsia="es-CR"/>
        </w:rPr>
        <w:t>, explicando la existencia de una estructura jerárquica y desigual.</w:t>
      </w:r>
    </w:p>
    <w:p w14:paraId="6B2398D5" w14:textId="35962168" w:rsidR="00707D07" w:rsidRPr="00431183" w:rsidRDefault="002F3EB0">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En los primeros trabajos donde se desarrolla la noción de cadenas globales de mercancías se distinguen dos tipos ideales de redes económicas internacionales que caracterizan la globalización: las cadenas dirigidas por el productor y aquellas dirigidas por el comprador. Las primeras reflejan las industrias de capital y tecnología intensiva como las automotrices, aeronáutica, computación, etc., donde las grandes empresas trasnacionales adquieren un papel central en la coordinación de estas redes</w:t>
      </w:r>
      <w:r w:rsidR="00851DBC">
        <w:rPr>
          <w:rFonts w:ascii="Cambria" w:hAnsi="Cambria" w:cs="Arial"/>
          <w:sz w:val="24"/>
          <w:szCs w:val="24"/>
          <w:lang w:eastAsia="es-CR"/>
        </w:rPr>
        <w:t xml:space="preserve">. </w:t>
      </w:r>
      <w:sdt>
        <w:sdtPr>
          <w:rPr>
            <w:rFonts w:ascii="Cambria" w:hAnsi="Cambria" w:cs="Arial"/>
            <w:sz w:val="24"/>
            <w:szCs w:val="24"/>
            <w:lang w:eastAsia="es-CR"/>
          </w:rPr>
          <w:id w:val="694195169"/>
          <w:citation/>
        </w:sdtPr>
        <w:sdtEndPr/>
        <w:sdtContent>
          <w:r w:rsidR="00851DBC">
            <w:rPr>
              <w:rFonts w:ascii="Cambria" w:hAnsi="Cambria" w:cs="Arial"/>
              <w:sz w:val="24"/>
              <w:szCs w:val="24"/>
              <w:lang w:eastAsia="es-CR"/>
            </w:rPr>
            <w:fldChar w:fldCharType="begin"/>
          </w:r>
          <w:r w:rsidR="00851DBC">
            <w:rPr>
              <w:rFonts w:ascii="Cambria" w:hAnsi="Cambria" w:cs="Arial"/>
              <w:sz w:val="24"/>
              <w:szCs w:val="24"/>
              <w:lang w:eastAsia="es-CR"/>
            </w:rPr>
            <w:instrText xml:space="preserve">CITATION Ger012 \p 35 \l 5130 </w:instrText>
          </w:r>
          <w:r w:rsidR="00851DBC">
            <w:rPr>
              <w:rFonts w:ascii="Cambria" w:hAnsi="Cambria" w:cs="Arial"/>
              <w:sz w:val="24"/>
              <w:szCs w:val="24"/>
              <w:lang w:eastAsia="es-CR"/>
            </w:rPr>
            <w:fldChar w:fldCharType="separate"/>
          </w:r>
          <w:r w:rsidR="00AF1E1D" w:rsidRPr="00AF1E1D">
            <w:rPr>
              <w:rFonts w:ascii="Cambria" w:hAnsi="Cambria" w:cs="Arial"/>
              <w:noProof/>
              <w:sz w:val="24"/>
              <w:szCs w:val="24"/>
              <w:lang w:eastAsia="es-CR"/>
            </w:rPr>
            <w:t>(Geraffi, Humphrey, Kaplinsky, &amp; Sturgeon, 2001, pág. 35)</w:t>
          </w:r>
          <w:r w:rsidR="00851DBC">
            <w:rPr>
              <w:rFonts w:ascii="Cambria" w:hAnsi="Cambria" w:cs="Arial"/>
              <w:sz w:val="24"/>
              <w:szCs w:val="24"/>
              <w:lang w:eastAsia="es-CR"/>
            </w:rPr>
            <w:fldChar w:fldCharType="end"/>
          </w:r>
        </w:sdtContent>
      </w:sdt>
    </w:p>
    <w:p w14:paraId="4FAB23BB" w14:textId="77777777" w:rsidR="006E5E69"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Ya las segundas, se refieren a industrias de capital comercial como la indumentaria, calzado y juguetes, donde las competencias centrales son el diseño y la comercialización, y cuya producción generalmente se encuentra situada en los países periféricos. Las cadenas de mercancías se encuentran distribuidas entre numerosas empresas independientes, en las cuales las empresas líderes son las que llevan adelante el proceso de coordinación y las que controlan las actividades centrales dentro de la misma.</w:t>
      </w:r>
    </w:p>
    <w:p w14:paraId="73869C9D" w14:textId="3BF30AC9" w:rsidR="002F3EB0"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 xml:space="preserve">En este sentido, para poder triunfar en la actual economía mundial "los países y empresas necesitan ubicarse estratégicamente en estas redes globales y desarrollar estrategias para tener acceso a las empresas líderes y mejorar así sus posiciones" </w:t>
      </w:r>
      <w:sdt>
        <w:sdtPr>
          <w:rPr>
            <w:rFonts w:ascii="Cambria" w:hAnsi="Cambria" w:cs="Arial"/>
            <w:sz w:val="24"/>
            <w:szCs w:val="24"/>
            <w:lang w:eastAsia="es-CR"/>
          </w:rPr>
          <w:id w:val="1763257419"/>
          <w:citation/>
        </w:sdtPr>
        <w:sdtEndPr/>
        <w:sdtContent>
          <w:r w:rsidR="005C7CB3" w:rsidRPr="008A0ED6">
            <w:rPr>
              <w:rFonts w:ascii="Cambria" w:hAnsi="Cambria" w:cs="Arial"/>
              <w:sz w:val="24"/>
              <w:szCs w:val="24"/>
              <w:lang w:eastAsia="es-CR"/>
            </w:rPr>
            <w:fldChar w:fldCharType="begin"/>
          </w:r>
          <w:r w:rsidR="00851DBC" w:rsidRPr="00AF1E1D">
            <w:rPr>
              <w:rFonts w:ascii="Cambria" w:hAnsi="Cambria" w:cs="Arial"/>
              <w:sz w:val="24"/>
              <w:szCs w:val="24"/>
              <w:lang w:eastAsia="es-CR"/>
            </w:rPr>
            <w:instrText xml:space="preserve">CITATION Ger012 \p 36 \l 5130 </w:instrText>
          </w:r>
          <w:r w:rsidR="005C7CB3" w:rsidRPr="008A0ED6">
            <w:rPr>
              <w:rFonts w:ascii="Cambria" w:hAnsi="Cambria" w:cs="Arial"/>
              <w:sz w:val="24"/>
              <w:szCs w:val="24"/>
              <w:lang w:eastAsia="es-CR"/>
            </w:rPr>
            <w:fldChar w:fldCharType="separate"/>
          </w:r>
          <w:r w:rsidR="00AF1E1D" w:rsidRPr="00AF1E1D">
            <w:rPr>
              <w:rFonts w:ascii="Cambria" w:hAnsi="Cambria" w:cs="Arial"/>
              <w:noProof/>
              <w:sz w:val="24"/>
              <w:szCs w:val="24"/>
              <w:lang w:eastAsia="es-CR"/>
            </w:rPr>
            <w:t>(Geraffi, Humphrey, Kaplinsky, &amp; Sturgeon, 2001, pág. 36)</w:t>
          </w:r>
          <w:r w:rsidR="005C7CB3" w:rsidRPr="008A0ED6">
            <w:rPr>
              <w:rFonts w:ascii="Cambria" w:hAnsi="Cambria" w:cs="Arial"/>
              <w:sz w:val="24"/>
              <w:szCs w:val="24"/>
              <w:lang w:eastAsia="es-CR"/>
            </w:rPr>
            <w:fldChar w:fldCharType="end"/>
          </w:r>
        </w:sdtContent>
      </w:sdt>
      <w:r w:rsidRPr="008A0ED6">
        <w:rPr>
          <w:rFonts w:ascii="Cambria" w:hAnsi="Cambria" w:cs="Arial"/>
          <w:sz w:val="24"/>
          <w:szCs w:val="24"/>
          <w:lang w:eastAsia="es-CR"/>
        </w:rPr>
        <w:t>.</w:t>
      </w:r>
      <w:r w:rsidR="0025565C" w:rsidRPr="008A0ED6">
        <w:rPr>
          <w:rFonts w:ascii="Cambria" w:hAnsi="Cambria" w:cs="Arial"/>
          <w:sz w:val="24"/>
          <w:szCs w:val="24"/>
          <w:lang w:eastAsia="es-CR"/>
        </w:rPr>
        <w:t>PÁGINA?</w:t>
      </w:r>
    </w:p>
    <w:p w14:paraId="0E333184" w14:textId="73CBA4B7" w:rsidR="006E5E69"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 xml:space="preserve">De esta manera, el análisis de CGV provee una herramienta conceptual y metodológica para observar la economía global a partir de su esquema "top down-bottom up" </w:t>
      </w:r>
      <w:sdt>
        <w:sdtPr>
          <w:rPr>
            <w:rFonts w:ascii="Cambria" w:hAnsi="Cambria" w:cs="Arial"/>
            <w:sz w:val="24"/>
            <w:szCs w:val="24"/>
            <w:lang w:eastAsia="es-CR"/>
          </w:rPr>
          <w:id w:val="404188063"/>
          <w:citation/>
        </w:sdtPr>
        <w:sdtEndPr/>
        <w:sdtContent>
          <w:r w:rsidR="005C7CB3" w:rsidRPr="00431183">
            <w:rPr>
              <w:rFonts w:ascii="Cambria" w:hAnsi="Cambria" w:cs="Arial"/>
              <w:sz w:val="24"/>
              <w:szCs w:val="24"/>
              <w:lang w:eastAsia="es-CR"/>
            </w:rPr>
            <w:fldChar w:fldCharType="begin"/>
          </w:r>
          <w:r w:rsidRPr="00431183">
            <w:rPr>
              <w:rFonts w:ascii="Cambria" w:hAnsi="Cambria" w:cs="Arial"/>
              <w:sz w:val="24"/>
              <w:szCs w:val="24"/>
              <w:lang w:eastAsia="es-CR"/>
            </w:rPr>
            <w:instrText xml:space="preserve">CITATION Ger13 \t  \l 5130 </w:instrText>
          </w:r>
          <w:r w:rsidR="005C7CB3" w:rsidRPr="00431183">
            <w:rPr>
              <w:rFonts w:ascii="Cambria" w:hAnsi="Cambria" w:cs="Arial"/>
              <w:sz w:val="24"/>
              <w:szCs w:val="24"/>
              <w:lang w:eastAsia="es-CR"/>
            </w:rPr>
            <w:fldChar w:fldCharType="separate"/>
          </w:r>
          <w:r w:rsidR="00AF1E1D" w:rsidRPr="00AF1E1D">
            <w:rPr>
              <w:rFonts w:ascii="Cambria" w:hAnsi="Cambria" w:cs="Arial"/>
              <w:noProof/>
              <w:sz w:val="24"/>
              <w:szCs w:val="24"/>
              <w:lang w:eastAsia="es-CR"/>
            </w:rPr>
            <w:t>(Gereffi, 2013)</w:t>
          </w:r>
          <w:r w:rsidR="005C7CB3" w:rsidRPr="00431183">
            <w:rPr>
              <w:rFonts w:ascii="Cambria" w:hAnsi="Cambria" w:cs="Arial"/>
              <w:sz w:val="24"/>
              <w:szCs w:val="24"/>
              <w:lang w:eastAsia="es-CR"/>
            </w:rPr>
            <w:fldChar w:fldCharType="end"/>
          </w:r>
        </w:sdtContent>
      </w:sdt>
      <w:r w:rsidRPr="00431183">
        <w:rPr>
          <w:rFonts w:ascii="Cambria" w:hAnsi="Cambria" w:cs="Arial"/>
          <w:sz w:val="24"/>
          <w:szCs w:val="24"/>
          <w:lang w:eastAsia="es-CR"/>
        </w:rPr>
        <w:t>,</w:t>
      </w:r>
      <w:r w:rsidR="0025565C">
        <w:rPr>
          <w:rFonts w:ascii="Cambria" w:hAnsi="Cambria" w:cs="Arial"/>
          <w:sz w:val="24"/>
          <w:szCs w:val="24"/>
          <w:lang w:eastAsia="es-CR"/>
        </w:rPr>
        <w:t xml:space="preserve"> PÁGINA</w:t>
      </w:r>
      <w:r w:rsidRPr="00431183">
        <w:rPr>
          <w:rFonts w:ascii="Cambria" w:hAnsi="Cambria" w:cs="Arial"/>
          <w:sz w:val="24"/>
          <w:szCs w:val="24"/>
          <w:lang w:eastAsia="es-CR"/>
        </w:rPr>
        <w:t xml:space="preserve"> donde se agrupan los dos conceptos clave en el enfoque: la gobernanza y el ascenso o mejora (upgrading). El primer término del binomio se centra en la firma líder de una determinada cadena y en las redes interfirmas mediante la utilización de las tipologías de gobernanza industrial descriptas anteriormente, donde queda expuesto que no todas las firmas de la cadena son similares en cuanto al poder que ostentan.</w:t>
      </w:r>
    </w:p>
    <w:p w14:paraId="5CFF5FCE" w14:textId="6453E87E" w:rsidR="002F3EB0"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Por otra parte, el ascenso se refiere al progreso en la posición de la cadena por parte de una firma a partir de un mayor control del valor agregado en una actividad. En virtud de ello, este último concepto parece haberse convertido en el objetivo primordial dentro de este enfoque y en el cual</w:t>
      </w:r>
      <w:r w:rsidR="002820A6" w:rsidRPr="00431183">
        <w:rPr>
          <w:rFonts w:ascii="Cambria" w:hAnsi="Cambria" w:cs="Arial"/>
          <w:sz w:val="24"/>
          <w:szCs w:val="24"/>
          <w:lang w:eastAsia="es-CR"/>
        </w:rPr>
        <w:t>,</w:t>
      </w:r>
      <w:r w:rsidRPr="00431183">
        <w:rPr>
          <w:rFonts w:ascii="Cambria" w:hAnsi="Cambria" w:cs="Arial"/>
          <w:sz w:val="24"/>
          <w:szCs w:val="24"/>
          <w:lang w:eastAsia="es-CR"/>
        </w:rPr>
        <w:t xml:space="preserve"> sus académicos basan sus investigaciones </w:t>
      </w:r>
      <w:sdt>
        <w:sdtPr>
          <w:rPr>
            <w:rFonts w:ascii="Cambria" w:hAnsi="Cambria" w:cs="Arial"/>
            <w:sz w:val="24"/>
            <w:szCs w:val="24"/>
            <w:lang w:eastAsia="es-CR"/>
          </w:rPr>
          <w:id w:val="-1444214572"/>
          <w:citation/>
        </w:sdtPr>
        <w:sdtEndPr/>
        <w:sdtContent>
          <w:r w:rsidR="005C7CB3" w:rsidRPr="00431183">
            <w:rPr>
              <w:rFonts w:ascii="Cambria" w:hAnsi="Cambria" w:cs="Arial"/>
              <w:sz w:val="24"/>
              <w:szCs w:val="24"/>
              <w:lang w:eastAsia="es-CR"/>
            </w:rPr>
            <w:fldChar w:fldCharType="begin"/>
          </w:r>
          <w:r w:rsidRPr="00431183">
            <w:rPr>
              <w:rFonts w:ascii="Cambria" w:hAnsi="Cambria" w:cs="Arial"/>
              <w:sz w:val="24"/>
              <w:szCs w:val="24"/>
              <w:lang w:eastAsia="es-CR"/>
            </w:rPr>
            <w:instrText xml:space="preserve">CITATION Ger13 \t  \l 5130 </w:instrText>
          </w:r>
          <w:r w:rsidR="005C7CB3" w:rsidRPr="00431183">
            <w:rPr>
              <w:rFonts w:ascii="Cambria" w:hAnsi="Cambria" w:cs="Arial"/>
              <w:sz w:val="24"/>
              <w:szCs w:val="24"/>
              <w:lang w:eastAsia="es-CR"/>
            </w:rPr>
            <w:fldChar w:fldCharType="separate"/>
          </w:r>
          <w:r w:rsidR="00AF1E1D" w:rsidRPr="00AF1E1D">
            <w:rPr>
              <w:rFonts w:ascii="Cambria" w:hAnsi="Cambria" w:cs="Arial"/>
              <w:noProof/>
              <w:sz w:val="24"/>
              <w:szCs w:val="24"/>
              <w:lang w:eastAsia="es-CR"/>
            </w:rPr>
            <w:t>(Gereffi, 2013)</w:t>
          </w:r>
          <w:r w:rsidR="005C7CB3" w:rsidRPr="00431183">
            <w:rPr>
              <w:rFonts w:ascii="Cambria" w:hAnsi="Cambria" w:cs="Arial"/>
              <w:sz w:val="24"/>
              <w:szCs w:val="24"/>
              <w:lang w:eastAsia="es-CR"/>
            </w:rPr>
            <w:fldChar w:fldCharType="end"/>
          </w:r>
        </w:sdtContent>
      </w:sdt>
      <w:r w:rsidRPr="00431183">
        <w:rPr>
          <w:rFonts w:ascii="Cambria" w:hAnsi="Cambria" w:cs="Arial"/>
          <w:sz w:val="24"/>
          <w:szCs w:val="24"/>
          <w:lang w:eastAsia="es-CR"/>
        </w:rPr>
        <w:t>.</w:t>
      </w:r>
    </w:p>
    <w:p w14:paraId="070776D3" w14:textId="780A2F0E" w:rsidR="001E4A5E"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 xml:space="preserve">Las </w:t>
      </w:r>
      <w:r w:rsidR="001E4A5E">
        <w:rPr>
          <w:rFonts w:ascii="Cambria" w:hAnsi="Cambria" w:cs="Arial"/>
          <w:sz w:val="24"/>
          <w:szCs w:val="24"/>
          <w:lang w:eastAsia="es-CR"/>
        </w:rPr>
        <w:t>cadenas globales de valor según Johnson (2013)</w:t>
      </w:r>
      <w:r w:rsidR="002820A6" w:rsidRPr="00431183">
        <w:rPr>
          <w:rFonts w:ascii="Cambria" w:hAnsi="Cambria" w:cs="Arial"/>
          <w:sz w:val="24"/>
          <w:szCs w:val="24"/>
          <w:lang w:eastAsia="es-CR"/>
        </w:rPr>
        <w:t xml:space="preserve"> </w:t>
      </w:r>
      <w:r w:rsidRPr="00431183">
        <w:rPr>
          <w:rFonts w:ascii="Cambria" w:hAnsi="Cambria" w:cs="Arial"/>
          <w:sz w:val="24"/>
          <w:szCs w:val="24"/>
          <w:lang w:eastAsia="es-CR"/>
        </w:rPr>
        <w:t>se han convertido en una característica dominante en la economía internacional</w:t>
      </w:r>
      <w:r w:rsidR="001E4A5E">
        <w:rPr>
          <w:rFonts w:ascii="Cambria" w:hAnsi="Cambria" w:cs="Arial"/>
          <w:sz w:val="24"/>
          <w:szCs w:val="24"/>
          <w:lang w:eastAsia="es-CR"/>
        </w:rPr>
        <w:t xml:space="preserve">. </w:t>
      </w:r>
      <w:r w:rsidRPr="00431183">
        <w:rPr>
          <w:rFonts w:ascii="Cambria" w:hAnsi="Cambria" w:cs="Arial"/>
          <w:sz w:val="24"/>
          <w:szCs w:val="24"/>
          <w:lang w:eastAsia="es-CR"/>
        </w:rPr>
        <w:t xml:space="preserve"> Un producto producido, por ejemplo, en la Unión Europea y exportado a los Estados Unidos, puede incluir componentes de China y Japón y utilizar materias primas y servicios de Australia, Rusia e India, entre otros. Se trata de bienes y servicios “hechos en el mundo”.</w:t>
      </w:r>
      <w:r w:rsidR="0025565C">
        <w:rPr>
          <w:rFonts w:ascii="Cambria" w:hAnsi="Cambria" w:cs="Arial"/>
          <w:sz w:val="24"/>
          <w:szCs w:val="24"/>
          <w:lang w:eastAsia="es-CR"/>
        </w:rPr>
        <w:t xml:space="preserve"> </w:t>
      </w:r>
    </w:p>
    <w:p w14:paraId="6BA92DA0" w14:textId="72B596D9" w:rsidR="002F3EB0" w:rsidRPr="00431183" w:rsidRDefault="002F3EB0" w:rsidP="0025565C">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En la zona de los Santos, la producción de café requiere básicamente de una fase agrícola, una fase de beneficiado y una de torrefactado.</w:t>
      </w:r>
      <w:r w:rsidR="006E5E69" w:rsidRPr="00431183">
        <w:rPr>
          <w:rFonts w:ascii="Cambria" w:hAnsi="Cambria" w:cs="Arial"/>
          <w:sz w:val="24"/>
          <w:szCs w:val="24"/>
          <w:lang w:eastAsia="es-CR"/>
        </w:rPr>
        <w:t xml:space="preserve"> </w:t>
      </w:r>
      <w:r w:rsidRPr="00431183">
        <w:rPr>
          <w:rFonts w:ascii="Cambria" w:hAnsi="Cambria" w:cs="Arial"/>
          <w:sz w:val="24"/>
          <w:szCs w:val="24"/>
          <w:lang w:eastAsia="es-CR"/>
        </w:rPr>
        <w:t>La fase agrícola de la cadena del valor de café incluye varias etapas</w:t>
      </w:r>
      <w:r w:rsidR="0025565C">
        <w:rPr>
          <w:rFonts w:ascii="Cambria" w:hAnsi="Cambria" w:cs="Arial"/>
          <w:sz w:val="24"/>
          <w:szCs w:val="24"/>
          <w:lang w:eastAsia="es-CR"/>
        </w:rPr>
        <w:t>,</w:t>
      </w:r>
      <w:r w:rsidR="001E4A5E">
        <w:rPr>
          <w:rFonts w:ascii="Cambria" w:hAnsi="Cambria" w:cs="Arial"/>
          <w:sz w:val="24"/>
          <w:szCs w:val="24"/>
          <w:lang w:eastAsia="es-CR"/>
        </w:rPr>
        <w:t xml:space="preserve"> </w:t>
      </w:r>
      <w:r w:rsidR="0025565C">
        <w:rPr>
          <w:rFonts w:ascii="Cambria" w:hAnsi="Cambria" w:cs="Arial"/>
          <w:sz w:val="24"/>
          <w:szCs w:val="24"/>
          <w:lang w:eastAsia="es-CR"/>
        </w:rPr>
        <w:t>e</w:t>
      </w:r>
      <w:r w:rsidRPr="00431183">
        <w:rPr>
          <w:rFonts w:ascii="Cambria" w:hAnsi="Cambria" w:cs="Arial"/>
          <w:sz w:val="24"/>
          <w:szCs w:val="24"/>
          <w:lang w:eastAsia="es-CR"/>
        </w:rPr>
        <w:t xml:space="preserve">ntre ellas tenemos: manejo del cafetal (resiembra, poda, control de sombras, control de malezas y enfermedades, fertilización, riego en </w:t>
      </w:r>
      <w:r w:rsidRPr="00431183">
        <w:rPr>
          <w:rFonts w:ascii="Cambria" w:hAnsi="Cambria" w:cs="Arial"/>
          <w:sz w:val="24"/>
          <w:szCs w:val="24"/>
          <w:lang w:eastAsia="es-CR"/>
        </w:rPr>
        <w:lastRenderedPageBreak/>
        <w:t>verano algunos casos aislados) y cosecha.</w:t>
      </w:r>
      <w:r w:rsidR="001E4A5E">
        <w:rPr>
          <w:rFonts w:ascii="Cambria" w:hAnsi="Cambria" w:cs="Arial"/>
          <w:sz w:val="24"/>
          <w:szCs w:val="24"/>
          <w:lang w:eastAsia="es-CR"/>
        </w:rPr>
        <w:t xml:space="preserve">  </w:t>
      </w:r>
      <w:r w:rsidRPr="00431183">
        <w:rPr>
          <w:rFonts w:ascii="Cambria" w:hAnsi="Cambria" w:cs="Arial"/>
          <w:sz w:val="24"/>
          <w:szCs w:val="24"/>
          <w:lang w:eastAsia="es-CR"/>
        </w:rPr>
        <w:t xml:space="preserve">La fase de beneficiado consiste en la extracción de la pulpa, lavado y secado del grano del café fruta. Al final del proceso de beneficiado obtenemos el grano de café oro listo para exportar o para tostar </w:t>
      </w:r>
      <w:bookmarkStart w:id="67" w:name="_Hlk496380117"/>
      <w:sdt>
        <w:sdtPr>
          <w:rPr>
            <w:rFonts w:ascii="Cambria" w:hAnsi="Cambria" w:cs="Arial"/>
            <w:sz w:val="24"/>
            <w:szCs w:val="24"/>
            <w:lang w:eastAsia="es-CR"/>
          </w:rPr>
          <w:id w:val="1323634319"/>
          <w:citation/>
        </w:sdtPr>
        <w:sdtEndPr/>
        <w:sdtContent>
          <w:r w:rsidR="005C7CB3" w:rsidRPr="008A0ED6">
            <w:rPr>
              <w:rFonts w:ascii="Cambria" w:hAnsi="Cambria" w:cs="Arial"/>
              <w:sz w:val="24"/>
              <w:szCs w:val="24"/>
              <w:lang w:eastAsia="es-CR"/>
            </w:rPr>
            <w:fldChar w:fldCharType="begin"/>
          </w:r>
          <w:r w:rsidR="00BE5A3C" w:rsidRPr="00AF1E1D">
            <w:rPr>
              <w:rFonts w:ascii="Cambria" w:hAnsi="Cambria" w:cs="Arial"/>
              <w:sz w:val="24"/>
              <w:szCs w:val="24"/>
              <w:lang w:eastAsia="es-CR"/>
            </w:rPr>
            <w:instrText xml:space="preserve">CITATION Val09 \p 15 \l 5130 </w:instrText>
          </w:r>
          <w:r w:rsidR="005C7CB3" w:rsidRPr="008A0ED6">
            <w:rPr>
              <w:rFonts w:ascii="Cambria" w:hAnsi="Cambria" w:cs="Arial"/>
              <w:sz w:val="24"/>
              <w:szCs w:val="24"/>
              <w:lang w:eastAsia="es-CR"/>
            </w:rPr>
            <w:fldChar w:fldCharType="separate"/>
          </w:r>
          <w:r w:rsidR="00AF1E1D" w:rsidRPr="00AF1E1D">
            <w:rPr>
              <w:rFonts w:ascii="Cambria" w:hAnsi="Cambria" w:cs="Arial"/>
              <w:noProof/>
              <w:sz w:val="24"/>
              <w:szCs w:val="24"/>
              <w:lang w:eastAsia="es-CR"/>
            </w:rPr>
            <w:t>(Valenciano, 2009, pág. 15)</w:t>
          </w:r>
          <w:r w:rsidR="005C7CB3" w:rsidRPr="008A0ED6">
            <w:rPr>
              <w:rFonts w:ascii="Cambria" w:hAnsi="Cambria" w:cs="Arial"/>
              <w:sz w:val="24"/>
              <w:szCs w:val="24"/>
              <w:lang w:eastAsia="es-CR"/>
            </w:rPr>
            <w:fldChar w:fldCharType="end"/>
          </w:r>
        </w:sdtContent>
      </w:sdt>
      <w:bookmarkEnd w:id="67"/>
      <w:r w:rsidRPr="008A0ED6">
        <w:rPr>
          <w:rFonts w:ascii="Cambria" w:hAnsi="Cambria" w:cs="Arial"/>
          <w:sz w:val="24"/>
          <w:szCs w:val="24"/>
          <w:lang w:eastAsia="es-CR"/>
        </w:rPr>
        <w:t>.</w:t>
      </w:r>
    </w:p>
    <w:p w14:paraId="544855B9" w14:textId="77777777" w:rsidR="002F3EB0"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Entre los actores que componen la cadena del café en la Zona de los Santos tenemos: productores agrícolas, beneficios (privados y cooperativas), exportadores, torrefactores, comercializadores mayoristas, comercializadores minoristas y consumidores.</w:t>
      </w:r>
    </w:p>
    <w:p w14:paraId="760D8B1F" w14:textId="77777777" w:rsidR="006E5E69"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 xml:space="preserve">Dentro de la cadena internacional del café, cabe destacar que en los cantones de Dota, Tarrazú y León Cortés solamente se llevan a cabo las dos primeras etapas de la cadena, es decir; la fase agrícola y la de beneficiado. Las etapas de torrefacción y comercialización del café se llevan a cabo por medio de agentes internacionales los cuales cuentan con mayor poder y conocimiento dentro de los países a los cuales se exporta el café tipo Tarrazú. </w:t>
      </w:r>
    </w:p>
    <w:p w14:paraId="009F1A34" w14:textId="61FBE2E9" w:rsidR="000C19DC" w:rsidRPr="00431183" w:rsidRDefault="002F3EB0" w:rsidP="00431183">
      <w:pPr>
        <w:spacing w:line="240" w:lineRule="auto"/>
        <w:ind w:firstLine="708"/>
        <w:jc w:val="both"/>
        <w:rPr>
          <w:rFonts w:ascii="Cambria" w:hAnsi="Cambria" w:cs="Arial"/>
          <w:sz w:val="24"/>
          <w:szCs w:val="24"/>
          <w:lang w:eastAsia="es-CR"/>
        </w:rPr>
      </w:pPr>
      <w:r w:rsidRPr="00431183">
        <w:rPr>
          <w:rFonts w:ascii="Cambria" w:hAnsi="Cambria" w:cs="Arial"/>
          <w:sz w:val="24"/>
          <w:szCs w:val="24"/>
          <w:lang w:eastAsia="es-CR"/>
        </w:rPr>
        <w:t xml:space="preserve">Si bien es cierto, existen ventas directas de café molido o en grano de oro hacia los consumidores internacionales (países destino) dichas ventas representan un porcentaje muy pequeño dentro del total comercializado por los beneficios locales. Las ventas a granel de café tostado son las más representativas para los beneficios ubicados en la zona de estudio </w:t>
      </w:r>
      <w:sdt>
        <w:sdtPr>
          <w:rPr>
            <w:rFonts w:ascii="Cambria" w:hAnsi="Cambria" w:cs="Arial"/>
            <w:sz w:val="24"/>
            <w:szCs w:val="24"/>
            <w:lang w:eastAsia="es-CR"/>
          </w:rPr>
          <w:id w:val="868798853"/>
          <w:citation/>
        </w:sdtPr>
        <w:sdtEndPr/>
        <w:sdtContent>
          <w:r w:rsidR="005C7CB3" w:rsidRPr="008A0ED6">
            <w:rPr>
              <w:rFonts w:ascii="Cambria" w:hAnsi="Cambria" w:cs="Arial"/>
              <w:sz w:val="24"/>
              <w:szCs w:val="24"/>
              <w:lang w:eastAsia="es-CR"/>
            </w:rPr>
            <w:fldChar w:fldCharType="begin"/>
          </w:r>
          <w:r w:rsidR="00BE5A3C" w:rsidRPr="00AF1E1D">
            <w:rPr>
              <w:rFonts w:ascii="Cambria" w:hAnsi="Cambria" w:cs="Arial"/>
              <w:sz w:val="24"/>
              <w:szCs w:val="24"/>
              <w:lang w:eastAsia="es-CR"/>
            </w:rPr>
            <w:instrText xml:space="preserve">CITATION Val09 \p 22 \l 5130 </w:instrText>
          </w:r>
          <w:r w:rsidR="005C7CB3" w:rsidRPr="008A0ED6">
            <w:rPr>
              <w:rFonts w:ascii="Cambria" w:hAnsi="Cambria" w:cs="Arial"/>
              <w:sz w:val="24"/>
              <w:szCs w:val="24"/>
              <w:lang w:eastAsia="es-CR"/>
            </w:rPr>
            <w:fldChar w:fldCharType="separate"/>
          </w:r>
          <w:r w:rsidR="00AF1E1D" w:rsidRPr="00AF1E1D">
            <w:rPr>
              <w:rFonts w:ascii="Cambria" w:hAnsi="Cambria" w:cs="Arial"/>
              <w:noProof/>
              <w:sz w:val="24"/>
              <w:szCs w:val="24"/>
              <w:lang w:eastAsia="es-CR"/>
            </w:rPr>
            <w:t>(Valenciano, 2009, pág. 22)</w:t>
          </w:r>
          <w:r w:rsidR="005C7CB3" w:rsidRPr="008A0ED6">
            <w:rPr>
              <w:rFonts w:ascii="Cambria" w:hAnsi="Cambria" w:cs="Arial"/>
              <w:sz w:val="24"/>
              <w:szCs w:val="24"/>
              <w:lang w:eastAsia="es-CR"/>
            </w:rPr>
            <w:fldChar w:fldCharType="end"/>
          </w:r>
        </w:sdtContent>
      </w:sdt>
      <w:r w:rsidRPr="008A0ED6">
        <w:rPr>
          <w:rFonts w:ascii="Cambria" w:hAnsi="Cambria" w:cs="Arial"/>
          <w:sz w:val="24"/>
          <w:szCs w:val="24"/>
          <w:lang w:eastAsia="es-CR"/>
        </w:rPr>
        <w:t>.</w:t>
      </w:r>
      <w:r w:rsidRPr="00431183">
        <w:rPr>
          <w:rFonts w:ascii="Cambria" w:hAnsi="Cambria" w:cs="Arial"/>
          <w:sz w:val="24"/>
          <w:szCs w:val="24"/>
          <w:lang w:eastAsia="es-CR"/>
        </w:rPr>
        <w:t xml:space="preserve"> </w:t>
      </w:r>
    </w:p>
    <w:p w14:paraId="72BCECC4" w14:textId="77777777" w:rsidR="009B21B1" w:rsidRPr="00431183" w:rsidRDefault="009B21B1" w:rsidP="00431183">
      <w:pPr>
        <w:spacing w:line="240" w:lineRule="auto"/>
        <w:jc w:val="both"/>
        <w:rPr>
          <w:rFonts w:ascii="Cambria" w:eastAsiaTheme="minorEastAsia" w:hAnsi="Cambria" w:cs="Arial"/>
          <w:sz w:val="24"/>
          <w:szCs w:val="24"/>
        </w:rPr>
      </w:pPr>
      <w:r>
        <w:rPr>
          <w:rFonts w:ascii="Cambria" w:eastAsiaTheme="minorEastAsia" w:hAnsi="Cambria" w:cs="Arial"/>
          <w:sz w:val="24"/>
          <w:szCs w:val="24"/>
        </w:rPr>
        <w:tab/>
      </w:r>
    </w:p>
    <w:p w14:paraId="54D41E07" w14:textId="512631D5" w:rsidR="00CB4D89" w:rsidRDefault="009B21B1" w:rsidP="00431183">
      <w:pPr>
        <w:pStyle w:val="Ttulo2"/>
        <w:spacing w:line="240" w:lineRule="auto"/>
        <w:rPr>
          <w:rFonts w:ascii="Cambria" w:hAnsi="Cambria" w:cs="Arial"/>
          <w:b/>
          <w:color w:val="auto"/>
          <w:sz w:val="24"/>
          <w:szCs w:val="24"/>
        </w:rPr>
      </w:pPr>
      <w:bookmarkStart w:id="68" w:name="_Toc527576950"/>
      <w:r>
        <w:rPr>
          <w:rFonts w:ascii="Cambria" w:hAnsi="Cambria" w:cs="Arial"/>
          <w:b/>
          <w:color w:val="auto"/>
          <w:sz w:val="24"/>
          <w:szCs w:val="24"/>
        </w:rPr>
        <w:t>2</w:t>
      </w:r>
      <w:r w:rsidR="00CB4D89" w:rsidRPr="00431183">
        <w:rPr>
          <w:rFonts w:ascii="Cambria" w:hAnsi="Cambria" w:cs="Arial"/>
          <w:b/>
          <w:color w:val="auto"/>
          <w:sz w:val="24"/>
          <w:szCs w:val="24"/>
        </w:rPr>
        <w:t>.</w:t>
      </w:r>
      <w:r w:rsidR="00EA207A">
        <w:rPr>
          <w:rFonts w:ascii="Cambria" w:hAnsi="Cambria" w:cs="Arial"/>
          <w:b/>
          <w:color w:val="auto"/>
          <w:sz w:val="24"/>
          <w:szCs w:val="24"/>
        </w:rPr>
        <w:t>2</w:t>
      </w:r>
      <w:r w:rsidR="007D384C" w:rsidRPr="00431183">
        <w:rPr>
          <w:rFonts w:ascii="Cambria" w:hAnsi="Cambria" w:cs="Arial"/>
          <w:b/>
          <w:color w:val="auto"/>
          <w:sz w:val="24"/>
          <w:szCs w:val="24"/>
        </w:rPr>
        <w:t xml:space="preserve"> </w:t>
      </w:r>
      <w:r w:rsidR="00CB4D89" w:rsidRPr="00431183">
        <w:rPr>
          <w:rFonts w:ascii="Cambria" w:hAnsi="Cambria" w:cs="Arial"/>
          <w:b/>
          <w:color w:val="auto"/>
          <w:sz w:val="24"/>
          <w:szCs w:val="24"/>
        </w:rPr>
        <w:t>Inversión y Financiamiento para proyectos locales: Caso de la Denominación de Origen Tarrazú</w:t>
      </w:r>
      <w:bookmarkEnd w:id="68"/>
    </w:p>
    <w:p w14:paraId="415295D1" w14:textId="77777777" w:rsidR="00BE5A3C" w:rsidRPr="00AF1E1D" w:rsidRDefault="00BE5A3C" w:rsidP="00AF1E1D"/>
    <w:p w14:paraId="6890DD77" w14:textId="3F78120B"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Las relaciones entre la intermediación financiera y el crecimiento económico usualmente provocan controversias entre los especialistas de la economía del desarrollo </w:t>
      </w:r>
      <w:sdt>
        <w:sdtPr>
          <w:rPr>
            <w:rFonts w:ascii="Cambria" w:hAnsi="Cambria" w:cs="Arial"/>
            <w:sz w:val="24"/>
            <w:szCs w:val="24"/>
          </w:rPr>
          <w:id w:val="-1126703284"/>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Lev02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(Levine, 2002)</w:t>
          </w:r>
          <w:r w:rsidR="005C7CB3" w:rsidRPr="00431183">
            <w:rPr>
              <w:rFonts w:ascii="Cambria" w:hAnsi="Cambria" w:cs="Arial"/>
              <w:sz w:val="24"/>
              <w:szCs w:val="24"/>
            </w:rPr>
            <w:fldChar w:fldCharType="end"/>
          </w:r>
        </w:sdtContent>
      </w:sdt>
      <w:r w:rsidRPr="00431183">
        <w:rPr>
          <w:rFonts w:ascii="Cambria" w:hAnsi="Cambria" w:cs="Arial"/>
          <w:sz w:val="24"/>
          <w:szCs w:val="24"/>
        </w:rPr>
        <w:t xml:space="preserve">. </w:t>
      </w:r>
      <w:r w:rsidR="009B21B1">
        <w:rPr>
          <w:rFonts w:ascii="Cambria" w:hAnsi="Cambria" w:cs="Arial"/>
          <w:sz w:val="24"/>
          <w:szCs w:val="24"/>
        </w:rPr>
        <w:t xml:space="preserve"> Estas </w:t>
      </w:r>
      <w:r w:rsidRPr="00431183">
        <w:rPr>
          <w:rFonts w:ascii="Cambria" w:hAnsi="Cambria" w:cs="Arial"/>
          <w:sz w:val="24"/>
          <w:szCs w:val="24"/>
        </w:rPr>
        <w:t>abarcan un amplio espectro de posiciones respecto a la importancia y naturaleza de dichas relaciones</w:t>
      </w:r>
      <w:r w:rsidR="009B21B1">
        <w:rPr>
          <w:rFonts w:ascii="Cambria" w:hAnsi="Cambria" w:cs="Arial"/>
          <w:sz w:val="24"/>
          <w:szCs w:val="24"/>
        </w:rPr>
        <w:t>, en</w:t>
      </w:r>
      <w:r w:rsidRPr="00431183">
        <w:rPr>
          <w:rFonts w:ascii="Cambria" w:hAnsi="Cambria" w:cs="Arial"/>
          <w:sz w:val="24"/>
          <w:szCs w:val="24"/>
        </w:rPr>
        <w:t xml:space="preserve"> los extremos están aquellos que sostienen que los intermediarios y mercados financieros son esenciales para fomentar el crecimiento económico y aquellos que afirman que estas relaciones son irrelevantes. Entre los que sustentan la posición de que la intermediación promueve el crecimiento se encuentran Schumpeter (1911) y Hicks (1969). Entre aquellos que difieren están Robinson (1952) y Lucas (1988).</w:t>
      </w:r>
    </w:p>
    <w:p w14:paraId="188CFFCA" w14:textId="58F20C09"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En los años ochenta con los primeros planteamientos de las teorías del crecimiento, comienzan los primeros argumentos sobre la importancia de los sistemas financieros para facilitar el crecimiento económico, donde se cumplen con funciones como el facilitar nuevas inversiones, el monitoreo de estas inversiones lo que permite el intercambio de recursos líquidos y el de servicios. </w:t>
      </w:r>
      <w:sdt>
        <w:sdtPr>
          <w:rPr>
            <w:rFonts w:ascii="Cambria" w:hAnsi="Cambria" w:cs="Arial"/>
            <w:sz w:val="24"/>
            <w:szCs w:val="24"/>
          </w:rPr>
          <w:id w:val="1656570203"/>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Pus08 \p 53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(Pussetto, 2008, pág. 53)</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743DAEE3" w14:textId="0CFF1A89"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Mediante los primeros trabajos de McKinnon (1973) y Shaw (1973) se establece una relación entre la intermediación financiera y el crecimiento económico, </w:t>
      </w:r>
      <w:r w:rsidR="009B21B1">
        <w:rPr>
          <w:rFonts w:ascii="Cambria" w:hAnsi="Cambria" w:cs="Arial"/>
          <w:sz w:val="24"/>
          <w:szCs w:val="24"/>
        </w:rPr>
        <w:t>esta plantea un efecto</w:t>
      </w:r>
      <w:r w:rsidRPr="00431183">
        <w:rPr>
          <w:rFonts w:ascii="Cambria" w:hAnsi="Cambria" w:cs="Arial"/>
          <w:sz w:val="24"/>
          <w:szCs w:val="24"/>
        </w:rPr>
        <w:t xml:space="preserve"> intrínsec</w:t>
      </w:r>
      <w:r w:rsidR="009B21B1">
        <w:rPr>
          <w:rFonts w:ascii="Cambria" w:hAnsi="Cambria" w:cs="Arial"/>
          <w:sz w:val="24"/>
          <w:szCs w:val="24"/>
        </w:rPr>
        <w:t>o</w:t>
      </w:r>
      <w:r w:rsidRPr="00431183">
        <w:rPr>
          <w:rFonts w:ascii="Cambria" w:hAnsi="Cambria" w:cs="Arial"/>
          <w:sz w:val="24"/>
          <w:szCs w:val="24"/>
        </w:rPr>
        <w:t xml:space="preserve"> sobre el impacto del desarrollo, en especial para explicar un crecimiento endógeno en un determinado territorio, lo anterior</w:t>
      </w:r>
      <w:r w:rsidR="00392A3F" w:rsidRPr="00431183">
        <w:rPr>
          <w:rFonts w:ascii="Cambria" w:hAnsi="Cambria" w:cs="Arial"/>
          <w:sz w:val="24"/>
          <w:szCs w:val="24"/>
        </w:rPr>
        <w:t>,</w:t>
      </w:r>
      <w:r w:rsidRPr="00431183">
        <w:rPr>
          <w:rFonts w:ascii="Cambria" w:hAnsi="Cambria" w:cs="Arial"/>
          <w:sz w:val="24"/>
          <w:szCs w:val="24"/>
        </w:rPr>
        <w:t xml:space="preserve"> se cumplía si esta </w:t>
      </w:r>
      <w:r w:rsidRPr="00431183">
        <w:rPr>
          <w:rFonts w:ascii="Cambria" w:hAnsi="Cambria" w:cs="Arial"/>
          <w:sz w:val="24"/>
          <w:szCs w:val="24"/>
        </w:rPr>
        <w:lastRenderedPageBreak/>
        <w:t xml:space="preserve">se liberalizaba dado a que permitía la que denominaron como la “profundización de los sistemas financieros” </w:t>
      </w:r>
      <w:sdt>
        <w:sdtPr>
          <w:rPr>
            <w:rFonts w:ascii="Cambria" w:hAnsi="Cambria" w:cs="Arial"/>
            <w:sz w:val="24"/>
            <w:szCs w:val="24"/>
          </w:rPr>
          <w:id w:val="-1536192797"/>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Ten95 \p 180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(Tenjo &amp; Garda, 1995, pág. 180)</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7D6B37BE" w14:textId="32266792"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Es una realidad que no tod</w:t>
      </w:r>
      <w:r w:rsidR="009B21B1">
        <w:rPr>
          <w:rFonts w:ascii="Cambria" w:hAnsi="Cambria" w:cs="Arial"/>
          <w:sz w:val="24"/>
          <w:szCs w:val="24"/>
        </w:rPr>
        <w:t xml:space="preserve">os los agentes </w:t>
      </w:r>
      <w:r w:rsidR="00CD0361">
        <w:rPr>
          <w:rFonts w:ascii="Cambria" w:hAnsi="Cambria" w:cs="Arial"/>
          <w:sz w:val="24"/>
          <w:szCs w:val="24"/>
        </w:rPr>
        <w:t xml:space="preserve">económicos </w:t>
      </w:r>
      <w:r w:rsidR="00CD0361" w:rsidRPr="00431183">
        <w:rPr>
          <w:rFonts w:ascii="Cambria" w:hAnsi="Cambria" w:cs="Arial"/>
          <w:sz w:val="24"/>
          <w:szCs w:val="24"/>
        </w:rPr>
        <w:t>tienen</w:t>
      </w:r>
      <w:r w:rsidRPr="00431183">
        <w:rPr>
          <w:rFonts w:ascii="Cambria" w:hAnsi="Cambria" w:cs="Arial"/>
          <w:sz w:val="24"/>
          <w:szCs w:val="24"/>
        </w:rPr>
        <w:t xml:space="preserve"> acceso al crédito bancario.</w:t>
      </w:r>
      <w:r w:rsidR="009B21B1">
        <w:rPr>
          <w:rFonts w:ascii="Cambria" w:hAnsi="Cambria" w:cs="Arial"/>
          <w:sz w:val="24"/>
          <w:szCs w:val="24"/>
        </w:rPr>
        <w:t xml:space="preserve"> </w:t>
      </w:r>
      <w:r w:rsidRPr="00431183">
        <w:rPr>
          <w:rFonts w:ascii="Cambria" w:hAnsi="Cambria" w:cs="Arial"/>
          <w:sz w:val="24"/>
          <w:szCs w:val="24"/>
        </w:rPr>
        <w:t xml:space="preserve">Para ser más precisos, la literatura especializada señala reiteradamente que las empresas, mientras más pequeñas, enfrentan mayores restricciones para obtener un </w:t>
      </w:r>
      <w:r w:rsidR="009B21B1">
        <w:rPr>
          <w:rFonts w:ascii="Cambria" w:hAnsi="Cambria" w:cs="Arial"/>
          <w:sz w:val="24"/>
          <w:szCs w:val="24"/>
        </w:rPr>
        <w:t>acceso a productos financieros</w:t>
      </w:r>
      <w:r w:rsidRPr="00431183">
        <w:rPr>
          <w:rFonts w:ascii="Cambria" w:hAnsi="Cambria" w:cs="Arial"/>
          <w:sz w:val="24"/>
          <w:szCs w:val="24"/>
        </w:rPr>
        <w:t xml:space="preserve">. Si bien esto puede ser consecuencia de múltiples causas, parece haber la coincidencia de que en las empresas más pequeñas se acentúan los problemas derivados de poca información, mayor riesgo y costos de transacción más altos. Estos factores disminuyen la disposición de la banca privada para atender a este tipo de clientes </w:t>
      </w:r>
      <w:sdt>
        <w:sdtPr>
          <w:rPr>
            <w:rFonts w:ascii="Cambria" w:hAnsi="Cambria" w:cs="Arial"/>
            <w:sz w:val="24"/>
            <w:szCs w:val="24"/>
          </w:rPr>
          <w:id w:val="431097153"/>
          <w:citation/>
        </w:sdtPr>
        <w:sdtEndPr/>
        <w:sdtContent>
          <w:r w:rsidR="005C7CB3" w:rsidRPr="00AF1E1D">
            <w:rPr>
              <w:rFonts w:ascii="Cambria" w:hAnsi="Cambria" w:cs="Arial"/>
              <w:sz w:val="24"/>
              <w:szCs w:val="24"/>
            </w:rPr>
            <w:fldChar w:fldCharType="begin"/>
          </w:r>
          <w:r w:rsidR="00BE5A3C" w:rsidRPr="00AF1E1D">
            <w:rPr>
              <w:rFonts w:ascii="Cambria" w:hAnsi="Cambria" w:cs="Arial"/>
              <w:sz w:val="24"/>
              <w:szCs w:val="24"/>
            </w:rPr>
            <w:instrText xml:space="preserve">CITATION Hui12 \p 517 \l 5130 </w:instrText>
          </w:r>
          <w:r w:rsidR="005C7CB3" w:rsidRPr="00AF1E1D">
            <w:rPr>
              <w:rFonts w:ascii="Cambria" w:hAnsi="Cambria" w:cs="Arial"/>
              <w:sz w:val="24"/>
              <w:szCs w:val="24"/>
            </w:rPr>
            <w:fldChar w:fldCharType="separate"/>
          </w:r>
          <w:r w:rsidR="00AF1E1D" w:rsidRPr="00AF1E1D">
            <w:rPr>
              <w:rFonts w:ascii="Cambria" w:hAnsi="Cambria" w:cs="Arial"/>
              <w:noProof/>
              <w:sz w:val="24"/>
              <w:szCs w:val="24"/>
            </w:rPr>
            <w:t>(Huidobro, 2012, pág. 517)</w:t>
          </w:r>
          <w:r w:rsidR="005C7CB3" w:rsidRPr="00AF1E1D">
            <w:rPr>
              <w:rFonts w:ascii="Cambria" w:hAnsi="Cambria" w:cs="Arial"/>
              <w:sz w:val="24"/>
              <w:szCs w:val="24"/>
            </w:rPr>
            <w:fldChar w:fldCharType="end"/>
          </w:r>
        </w:sdtContent>
      </w:sdt>
      <w:r w:rsidRPr="00AF1E1D">
        <w:rPr>
          <w:rFonts w:ascii="Cambria" w:hAnsi="Cambria" w:cs="Arial"/>
          <w:sz w:val="24"/>
          <w:szCs w:val="24"/>
        </w:rPr>
        <w:t>.</w:t>
      </w:r>
    </w:p>
    <w:p w14:paraId="154668D7" w14:textId="29CBCBC9" w:rsidR="007D384C" w:rsidRPr="00431183" w:rsidRDefault="00EC7CF7" w:rsidP="00431183">
      <w:pPr>
        <w:spacing w:line="240" w:lineRule="auto"/>
        <w:ind w:firstLine="708"/>
        <w:jc w:val="both"/>
        <w:rPr>
          <w:rFonts w:ascii="Cambria" w:hAnsi="Cambria"/>
          <w:sz w:val="24"/>
          <w:szCs w:val="24"/>
          <w:lang w:eastAsia="es-CR"/>
        </w:rPr>
      </w:pPr>
      <w:r w:rsidRPr="00431183">
        <w:rPr>
          <w:rFonts w:ascii="Cambria" w:hAnsi="Cambria" w:cs="Arial"/>
          <w:sz w:val="24"/>
          <w:szCs w:val="24"/>
        </w:rPr>
        <w:t xml:space="preserve">Lo que implica que los sistemas financieros y su desarrollo establezcan la fundación y la expansión de instituciones, instrumentos y mercados que apoyen el proceso de inversión y crecimiento, es decir, la construcción de sinergias a diferentes niveles, lo que la existencia de una relación entre instrumentos financieros con un desarrollo relativo en sectores de la economía es positiva, creando beneficios en el mediano plazo </w:t>
      </w:r>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Fit07 \p 8 \l 5130 </w:instrText>
      </w:r>
      <w:r w:rsidR="005C7CB3" w:rsidRPr="00431183">
        <w:rPr>
          <w:rFonts w:ascii="Cambria" w:hAnsi="Cambria" w:cs="Arial"/>
          <w:sz w:val="24"/>
          <w:szCs w:val="24"/>
        </w:rPr>
        <w:fldChar w:fldCharType="separate"/>
      </w:r>
      <w:r w:rsidR="00AF1E1D">
        <w:rPr>
          <w:rFonts w:ascii="Cambria" w:hAnsi="Cambria" w:cs="Arial"/>
          <w:noProof/>
          <w:sz w:val="24"/>
          <w:szCs w:val="24"/>
        </w:rPr>
        <w:t xml:space="preserve"> </w:t>
      </w:r>
      <w:r w:rsidR="00AF1E1D" w:rsidRPr="00AF1E1D">
        <w:rPr>
          <w:rFonts w:ascii="Cambria" w:hAnsi="Cambria" w:cs="Arial"/>
          <w:noProof/>
          <w:sz w:val="24"/>
          <w:szCs w:val="24"/>
        </w:rPr>
        <w:t>(FitzGerald, 2007, pág. 8)</w:t>
      </w:r>
      <w:r w:rsidR="005C7CB3" w:rsidRPr="00431183">
        <w:rPr>
          <w:rFonts w:ascii="Cambria" w:hAnsi="Cambria" w:cs="Arial"/>
          <w:sz w:val="24"/>
          <w:szCs w:val="24"/>
        </w:rPr>
        <w:fldChar w:fldCharType="end"/>
      </w:r>
      <w:r w:rsidRPr="00431183">
        <w:rPr>
          <w:rFonts w:ascii="Cambria" w:hAnsi="Cambria" w:cs="Arial"/>
          <w:sz w:val="24"/>
          <w:szCs w:val="24"/>
        </w:rPr>
        <w:t>.</w:t>
      </w:r>
    </w:p>
    <w:p w14:paraId="4930BA79" w14:textId="719FC7D4"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El estudio de las D</w:t>
      </w:r>
      <w:r w:rsidR="00392A3F" w:rsidRPr="00431183">
        <w:rPr>
          <w:rFonts w:ascii="Cambria" w:hAnsi="Cambria" w:cs="Arial"/>
          <w:sz w:val="24"/>
          <w:szCs w:val="24"/>
        </w:rPr>
        <w:t xml:space="preserve">O </w:t>
      </w:r>
      <w:r w:rsidRPr="00431183">
        <w:rPr>
          <w:rFonts w:ascii="Cambria" w:hAnsi="Cambria" w:cs="Arial"/>
          <w:sz w:val="24"/>
          <w:szCs w:val="24"/>
        </w:rPr>
        <w:t>se ha desenvuelto tradicionalmente en el ámbito descriptivo y normativo, observándose la carencia de una estructura teórica que ayude a obtener un mejor conocimiento de las mismas, aunque existe literatura que la define como “</w:t>
      </w:r>
      <w:r w:rsidRPr="00431183">
        <w:rPr>
          <w:rFonts w:ascii="Cambria" w:hAnsi="Cambria" w:cs="Arial"/>
          <w:i/>
          <w:sz w:val="24"/>
          <w:szCs w:val="24"/>
        </w:rPr>
        <w:t>Un signo distintivo o señal que le permite identificar especialmente a los consumidores el origen empresarial, industrial o geográfico de un determinado bien o servicio en un mercado especifico</w:t>
      </w:r>
      <w:r w:rsidRPr="00431183">
        <w:rPr>
          <w:rFonts w:ascii="Cambria" w:hAnsi="Cambria" w:cs="Arial"/>
          <w:sz w:val="24"/>
          <w:szCs w:val="24"/>
        </w:rPr>
        <w:t>”.</w:t>
      </w:r>
      <w:sdt>
        <w:sdtPr>
          <w:rPr>
            <w:rFonts w:ascii="Cambria" w:hAnsi="Cambria" w:cs="Arial"/>
            <w:sz w:val="24"/>
            <w:szCs w:val="24"/>
          </w:rPr>
          <w:id w:val="-597568134"/>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Gra12 \p 97 \l 5130 </w:instrText>
          </w:r>
          <w:r w:rsidR="005C7CB3" w:rsidRPr="00431183">
            <w:rPr>
              <w:rFonts w:ascii="Cambria" w:hAnsi="Cambria" w:cs="Arial"/>
              <w:sz w:val="24"/>
              <w:szCs w:val="24"/>
            </w:rPr>
            <w:fldChar w:fldCharType="separate"/>
          </w:r>
          <w:r w:rsidR="00AF1E1D">
            <w:rPr>
              <w:rFonts w:ascii="Cambria" w:hAnsi="Cambria" w:cs="Arial"/>
              <w:noProof/>
              <w:sz w:val="24"/>
              <w:szCs w:val="24"/>
            </w:rPr>
            <w:t xml:space="preserve"> </w:t>
          </w:r>
          <w:r w:rsidR="00AF1E1D" w:rsidRPr="00AF1E1D">
            <w:rPr>
              <w:rFonts w:ascii="Cambria" w:hAnsi="Cambria" w:cs="Arial"/>
              <w:noProof/>
              <w:sz w:val="24"/>
              <w:szCs w:val="24"/>
            </w:rPr>
            <w:t>(Granados J. I., 2012, pág. 97)</w:t>
          </w:r>
          <w:r w:rsidR="005C7CB3" w:rsidRPr="00431183">
            <w:rPr>
              <w:rFonts w:ascii="Cambria" w:hAnsi="Cambria" w:cs="Arial"/>
              <w:sz w:val="24"/>
              <w:szCs w:val="24"/>
            </w:rPr>
            <w:fldChar w:fldCharType="end"/>
          </w:r>
        </w:sdtContent>
      </w:sdt>
      <w:r w:rsidRPr="00431183">
        <w:rPr>
          <w:rFonts w:ascii="Cambria" w:hAnsi="Cambria" w:cs="Arial"/>
          <w:sz w:val="24"/>
          <w:szCs w:val="24"/>
        </w:rPr>
        <w:t xml:space="preserve"> .</w:t>
      </w:r>
    </w:p>
    <w:p w14:paraId="6D6EA0E6" w14:textId="77777777"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Existen otras definiciones sobre que es una denominación de origen como la que brinda la Organización de las Naciones Unidas para la Alimentación y el Desarrollo FAO “</w:t>
      </w:r>
      <w:r w:rsidRPr="00431183">
        <w:rPr>
          <w:rFonts w:ascii="Cambria" w:hAnsi="Cambria" w:cs="Arial"/>
          <w:i/>
          <w:sz w:val="24"/>
          <w:szCs w:val="24"/>
        </w:rPr>
        <w:t xml:space="preserve">Como aquella que identifica un producto como originario de una región o localidad de un determinado territorio cuando la calidad, reputación u otra característica </w:t>
      </w:r>
      <w:r w:rsidR="009B21B1" w:rsidRPr="00431183">
        <w:rPr>
          <w:rFonts w:ascii="Cambria" w:hAnsi="Cambria" w:cs="Arial"/>
          <w:i/>
          <w:sz w:val="24"/>
          <w:szCs w:val="24"/>
        </w:rPr>
        <w:t>de este</w:t>
      </w:r>
      <w:r w:rsidRPr="00431183">
        <w:rPr>
          <w:rFonts w:ascii="Cambria" w:hAnsi="Cambria" w:cs="Arial"/>
          <w:i/>
          <w:sz w:val="24"/>
          <w:szCs w:val="24"/>
        </w:rPr>
        <w:t xml:space="preserve"> sea imputable” </w:t>
      </w:r>
      <w:r w:rsidRPr="00431183">
        <w:rPr>
          <w:rFonts w:ascii="Cambria" w:hAnsi="Cambria" w:cs="Arial"/>
          <w:noProof/>
          <w:sz w:val="24"/>
          <w:szCs w:val="24"/>
        </w:rPr>
        <w:t>(FAO, 2017)</w:t>
      </w:r>
    </w:p>
    <w:p w14:paraId="481F9BCE" w14:textId="0D618F88"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Por lo general, se aplica el término genérico “denominación de origen” a todas las figuras reconocidas y que cumplan con la legislación internacional para amparar producciones con denominaciones y de calidad diferenciada. </w:t>
      </w:r>
      <w:sdt>
        <w:sdtPr>
          <w:rPr>
            <w:rFonts w:ascii="Cambria" w:hAnsi="Cambria" w:cs="Arial"/>
            <w:i/>
            <w:sz w:val="24"/>
            <w:szCs w:val="24"/>
          </w:rPr>
          <w:id w:val="1481108932"/>
          <w:citation/>
        </w:sdtPr>
        <w:sdtEndPr/>
        <w:sdtContent>
          <w:r w:rsidR="005C7CB3" w:rsidRPr="00431183">
            <w:rPr>
              <w:rFonts w:ascii="Cambria" w:hAnsi="Cambria" w:cs="Arial"/>
              <w:i/>
              <w:sz w:val="24"/>
              <w:szCs w:val="24"/>
            </w:rPr>
            <w:fldChar w:fldCharType="begin"/>
          </w:r>
          <w:r w:rsidR="00BE5A3C">
            <w:rPr>
              <w:rFonts w:ascii="Cambria" w:hAnsi="Cambria" w:cs="Arial"/>
              <w:i/>
              <w:sz w:val="24"/>
              <w:szCs w:val="24"/>
            </w:rPr>
            <w:instrText xml:space="preserve">CITATION Riz12 \p 8 \l 5130 </w:instrText>
          </w:r>
          <w:r w:rsidR="005C7CB3" w:rsidRPr="00431183">
            <w:rPr>
              <w:rFonts w:ascii="Cambria" w:hAnsi="Cambria" w:cs="Arial"/>
              <w:i/>
              <w:sz w:val="24"/>
              <w:szCs w:val="24"/>
            </w:rPr>
            <w:fldChar w:fldCharType="separate"/>
          </w:r>
          <w:r w:rsidR="00AF1E1D" w:rsidRPr="00AF1E1D">
            <w:rPr>
              <w:rFonts w:ascii="Cambria" w:hAnsi="Cambria" w:cs="Arial"/>
              <w:noProof/>
              <w:sz w:val="24"/>
              <w:szCs w:val="24"/>
            </w:rPr>
            <w:t>(Rizo, Frigant, Ghetu, &amp; Höpperger, 2012, pág. 8)</w:t>
          </w:r>
          <w:r w:rsidR="005C7CB3" w:rsidRPr="00431183">
            <w:rPr>
              <w:rFonts w:ascii="Cambria" w:hAnsi="Cambria" w:cs="Arial"/>
              <w:i/>
              <w:sz w:val="24"/>
              <w:szCs w:val="24"/>
            </w:rPr>
            <w:fldChar w:fldCharType="end"/>
          </w:r>
        </w:sdtContent>
      </w:sdt>
      <w:r w:rsidRPr="00431183">
        <w:rPr>
          <w:rFonts w:ascii="Cambria" w:hAnsi="Cambria" w:cs="Arial"/>
          <w:i/>
          <w:sz w:val="24"/>
          <w:szCs w:val="24"/>
        </w:rPr>
        <w:t>.</w:t>
      </w:r>
    </w:p>
    <w:p w14:paraId="7FA8F83C" w14:textId="77777777"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Se trata de designar y proteger los productos agrarios de determinados lugares geográficos. Los atributos específicos de estos productos se vinculan con la calidad, las costumbres, las tradiciones, las leyendas y otros elementos, generalmente intangibles, que determinan la diferenciación competitiva de los mismos. Un aspecto importante que se debe tomar en cuenta en el análisis de las denominaciones de origen, ra</w:t>
      </w:r>
      <w:r w:rsidR="00392A3F" w:rsidRPr="00431183">
        <w:rPr>
          <w:rFonts w:ascii="Cambria" w:hAnsi="Cambria" w:cs="Arial"/>
          <w:sz w:val="24"/>
          <w:szCs w:val="24"/>
        </w:rPr>
        <w:t>d</w:t>
      </w:r>
      <w:r w:rsidRPr="00431183">
        <w:rPr>
          <w:rFonts w:ascii="Cambria" w:hAnsi="Cambria" w:cs="Arial"/>
          <w:sz w:val="24"/>
          <w:szCs w:val="24"/>
        </w:rPr>
        <w:t xml:space="preserve">ica en comprender la relevancia que tienen el lugar de procedencia y la elaboración del producto. </w:t>
      </w:r>
    </w:p>
    <w:p w14:paraId="1048242A" w14:textId="40DA76FE"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El estudio de las D</w:t>
      </w:r>
      <w:r w:rsidR="00392A3F" w:rsidRPr="00431183">
        <w:rPr>
          <w:rFonts w:ascii="Cambria" w:hAnsi="Cambria" w:cs="Arial"/>
          <w:sz w:val="24"/>
          <w:szCs w:val="24"/>
        </w:rPr>
        <w:t xml:space="preserve">O </w:t>
      </w:r>
      <w:r w:rsidRPr="00431183">
        <w:rPr>
          <w:rFonts w:ascii="Cambria" w:hAnsi="Cambria" w:cs="Arial"/>
          <w:sz w:val="24"/>
          <w:szCs w:val="24"/>
        </w:rPr>
        <w:t>se ha desenvuelto tradicionalmente en el ámbito descriptivo y normativo, observándose la carencia de una estructura teórica que ayude a obtener un mejor conocimiento de las mismas.</w:t>
      </w:r>
      <w:sdt>
        <w:sdtPr>
          <w:rPr>
            <w:rFonts w:ascii="Cambria" w:hAnsi="Cambria" w:cs="Arial"/>
            <w:sz w:val="24"/>
            <w:szCs w:val="24"/>
          </w:rPr>
          <w:id w:val="658198424"/>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 CITATION Cas131 \l 5130 </w:instrText>
          </w:r>
          <w:r w:rsidR="005C7CB3" w:rsidRPr="00431183">
            <w:rPr>
              <w:rFonts w:ascii="Cambria" w:hAnsi="Cambria" w:cs="Arial"/>
              <w:sz w:val="24"/>
              <w:szCs w:val="24"/>
            </w:rPr>
            <w:fldChar w:fldCharType="separate"/>
          </w:r>
          <w:r w:rsidR="00AF1E1D">
            <w:rPr>
              <w:rFonts w:ascii="Cambria" w:hAnsi="Cambria" w:cs="Arial"/>
              <w:noProof/>
              <w:sz w:val="24"/>
              <w:szCs w:val="24"/>
            </w:rPr>
            <w:t xml:space="preserve"> </w:t>
          </w:r>
          <w:r w:rsidR="00AF1E1D" w:rsidRPr="00AF1E1D">
            <w:rPr>
              <w:rFonts w:ascii="Cambria" w:hAnsi="Cambria" w:cs="Arial"/>
              <w:noProof/>
              <w:sz w:val="24"/>
              <w:szCs w:val="24"/>
            </w:rPr>
            <w:t>(Casares Ripol, 2013)</w:t>
          </w:r>
          <w:r w:rsidR="005C7CB3" w:rsidRPr="00431183">
            <w:rPr>
              <w:rFonts w:ascii="Cambria" w:hAnsi="Cambria" w:cs="Arial"/>
              <w:sz w:val="24"/>
              <w:szCs w:val="24"/>
            </w:rPr>
            <w:fldChar w:fldCharType="end"/>
          </w:r>
        </w:sdtContent>
      </w:sdt>
      <w:r w:rsidRPr="00431183">
        <w:rPr>
          <w:rFonts w:ascii="Cambria" w:hAnsi="Cambria" w:cs="Arial"/>
          <w:sz w:val="24"/>
          <w:szCs w:val="24"/>
        </w:rPr>
        <w:t xml:space="preserve">, esta apreciación conlleva </w:t>
      </w:r>
      <w:r w:rsidRPr="00431183">
        <w:rPr>
          <w:rFonts w:ascii="Cambria" w:hAnsi="Cambria" w:cs="Arial"/>
          <w:sz w:val="24"/>
          <w:szCs w:val="24"/>
        </w:rPr>
        <w:lastRenderedPageBreak/>
        <w:t xml:space="preserve">un desafío intelectual para intentar esbozar las líneas maestras de un marco teórico sobre la relevancia económica de las denominaciones de origen. </w:t>
      </w:r>
    </w:p>
    <w:p w14:paraId="3AA0173B" w14:textId="36B9DE77"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En definitiva, se trata de designar y proteger los productos agrarios de determinados lugares geográficos. Los atributos específicos de estos productos se vinculan con la calidad, las costumbres, las tradiciones, las leyendas y otros elementos, generalmente intangibles, que determinan la diferenciación competitiva de los mismos. La clave del análisis de las </w:t>
      </w:r>
      <w:r w:rsidR="00392A3F" w:rsidRPr="00431183">
        <w:rPr>
          <w:rFonts w:ascii="Cambria" w:hAnsi="Cambria" w:cs="Arial"/>
          <w:sz w:val="24"/>
          <w:szCs w:val="24"/>
        </w:rPr>
        <w:t>DO</w:t>
      </w:r>
      <w:r w:rsidRPr="00431183">
        <w:rPr>
          <w:rFonts w:ascii="Cambria" w:hAnsi="Cambria" w:cs="Arial"/>
          <w:sz w:val="24"/>
          <w:szCs w:val="24"/>
        </w:rPr>
        <w:t xml:space="preserve"> es entender la importancia del lugar de procedencia y la elaboración del producto</w:t>
      </w:r>
      <w:sdt>
        <w:sdtPr>
          <w:rPr>
            <w:rFonts w:ascii="Cambria" w:hAnsi="Cambria" w:cs="Arial"/>
            <w:sz w:val="24"/>
            <w:szCs w:val="24"/>
          </w:rPr>
          <w:id w:val="-155997880"/>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Ber09 \p 37 \l 5130 </w:instrText>
          </w:r>
          <w:r w:rsidR="005C7CB3" w:rsidRPr="00431183">
            <w:rPr>
              <w:rFonts w:ascii="Cambria" w:hAnsi="Cambria" w:cs="Arial"/>
              <w:sz w:val="24"/>
              <w:szCs w:val="24"/>
            </w:rPr>
            <w:fldChar w:fldCharType="separate"/>
          </w:r>
          <w:r w:rsidR="00AF1E1D">
            <w:rPr>
              <w:rFonts w:ascii="Cambria" w:hAnsi="Cambria" w:cs="Arial"/>
              <w:noProof/>
              <w:sz w:val="24"/>
              <w:szCs w:val="24"/>
            </w:rPr>
            <w:t xml:space="preserve"> </w:t>
          </w:r>
          <w:r w:rsidR="00AF1E1D" w:rsidRPr="00AF1E1D">
            <w:rPr>
              <w:rFonts w:ascii="Cambria" w:hAnsi="Cambria" w:cs="Arial"/>
              <w:noProof/>
              <w:sz w:val="24"/>
              <w:szCs w:val="24"/>
            </w:rPr>
            <w:t>(Berges &amp; Casellas, 2009, pág. 37)</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2AA80036" w14:textId="6F19BF1A"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De ahí que la imagen de marca de un bien nutre sus raíces en la identificación y en la significación. Esto quiere decir que hay una percepción de la identidad de la marca en la mente de los usuarios y consumidores. La marca precede a la imagen y aparecen signos lingüísticos, cromáticos, escriturales e icónicos que fortalecen y establecen señas de identidad para la marca. Las denominaciones de origen son</w:t>
      </w:r>
      <w:r w:rsidRPr="00431183">
        <w:rPr>
          <w:rFonts w:ascii="Cambria" w:hAnsi="Cambria" w:cs="Arial"/>
          <w:color w:val="FF0000"/>
          <w:sz w:val="24"/>
          <w:szCs w:val="24"/>
        </w:rPr>
        <w:t xml:space="preserve"> </w:t>
      </w:r>
      <w:r w:rsidRPr="00431183">
        <w:rPr>
          <w:rFonts w:ascii="Cambria" w:hAnsi="Cambria" w:cs="Arial"/>
          <w:sz w:val="24"/>
          <w:szCs w:val="24"/>
        </w:rPr>
        <w:t xml:space="preserve">una concepción envolvente enraizada en factores tradicionales y geográficos que desborda la visión usual de cualquier imagen de marca </w:t>
      </w:r>
      <w:sdt>
        <w:sdtPr>
          <w:rPr>
            <w:rFonts w:ascii="Cambria" w:hAnsi="Cambria" w:cs="Arial"/>
            <w:sz w:val="24"/>
            <w:szCs w:val="24"/>
          </w:rPr>
          <w:id w:val="-2071953549"/>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Cas13 \p 38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(Casares, 2013, pág. 38)</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0A1CDFED" w14:textId="77777777"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En el mercado alimentario se produce una información asimétrica sobre las características de los productos. Los consumidores poseen conocimientos limitados sobre la calidad y los atributos de los mismos y en función de su capacidad para determinarlos se pueden distinguir tres clases de bienes: de búsqueda y de experiencia, que corresponden a la aportación seminal de Nelson (1970), y los bienes de confianza, que se vinculan con la ampliación teórica de (Darby &amp; Karni 1973, pág. 40).</w:t>
      </w:r>
    </w:p>
    <w:p w14:paraId="10C74571" w14:textId="77777777" w:rsidR="00EC7CF7" w:rsidRPr="00431183" w:rsidRDefault="00EC7CF7" w:rsidP="00431183">
      <w:pPr>
        <w:spacing w:line="240" w:lineRule="auto"/>
        <w:ind w:firstLine="708"/>
        <w:jc w:val="both"/>
        <w:rPr>
          <w:rFonts w:ascii="Cambria" w:hAnsi="Cambria" w:cs="Arial"/>
          <w:sz w:val="24"/>
          <w:szCs w:val="24"/>
        </w:rPr>
      </w:pPr>
      <w:r w:rsidRPr="00431183">
        <w:rPr>
          <w:rFonts w:ascii="Cambria" w:hAnsi="Cambria" w:cs="Arial"/>
          <w:sz w:val="24"/>
          <w:szCs w:val="24"/>
        </w:rPr>
        <w:t>El proceso decisorio del consumidor se vincula con la percepción y los estímulos derivados de la búsqueda. Se trata de obtener información vinculada con las marcas y con los atributos del producto. La búsqueda puede ser interna o externa, activa o pasiva.</w:t>
      </w:r>
    </w:p>
    <w:p w14:paraId="47BFB852" w14:textId="49928591" w:rsidR="00EC7CF7" w:rsidRDefault="00EC7CF7" w:rsidP="00FC2D87">
      <w:pPr>
        <w:spacing w:line="240" w:lineRule="auto"/>
        <w:ind w:firstLine="708"/>
        <w:jc w:val="both"/>
        <w:rPr>
          <w:rFonts w:ascii="Cambria" w:hAnsi="Cambria" w:cs="Arial"/>
          <w:sz w:val="24"/>
          <w:szCs w:val="24"/>
        </w:rPr>
      </w:pPr>
      <w:r w:rsidRPr="00431183">
        <w:rPr>
          <w:rFonts w:ascii="Cambria" w:hAnsi="Cambria" w:cs="Arial"/>
          <w:sz w:val="24"/>
          <w:szCs w:val="24"/>
        </w:rPr>
        <w:t xml:space="preserve">Los bienes de confianza se extienden por las vías de las certificaciones de calidad y las </w:t>
      </w:r>
      <w:r w:rsidR="00F85527" w:rsidRPr="00431183">
        <w:rPr>
          <w:rFonts w:ascii="Cambria" w:hAnsi="Cambria" w:cs="Arial"/>
          <w:sz w:val="24"/>
          <w:szCs w:val="24"/>
        </w:rPr>
        <w:t>DO</w:t>
      </w:r>
      <w:r w:rsidRPr="00431183">
        <w:rPr>
          <w:rFonts w:ascii="Cambria" w:hAnsi="Cambria" w:cs="Arial"/>
          <w:sz w:val="24"/>
          <w:szCs w:val="24"/>
        </w:rPr>
        <w:t xml:space="preserve">. Estas etiquetas y sellos de calidad permiten aumentar la confianza e información de los consumidores, diferenciar los procesos de elaboración de los productos y obtener precios más elevados. La credibilidad, alta o baja de los sistemas de control, genera externalidades positivas o negativas sobre las cadenas de valor. A este respecto se puede consultar a </w:t>
      </w:r>
      <w:sdt>
        <w:sdtPr>
          <w:rPr>
            <w:rFonts w:ascii="Cambria" w:hAnsi="Cambria" w:cs="Arial"/>
            <w:sz w:val="24"/>
            <w:szCs w:val="24"/>
          </w:rPr>
          <w:id w:val="92516624"/>
          <w:citation/>
        </w:sdtPr>
        <w:sdtEndPr/>
        <w:sdtContent>
          <w:r w:rsidR="005C7CB3" w:rsidRPr="00431183">
            <w:rPr>
              <w:rFonts w:ascii="Cambria" w:hAnsi="Cambria" w:cs="Arial"/>
              <w:sz w:val="24"/>
              <w:szCs w:val="24"/>
            </w:rPr>
            <w:fldChar w:fldCharType="begin"/>
          </w:r>
          <w:r w:rsidRPr="00431183">
            <w:rPr>
              <w:rFonts w:ascii="Cambria" w:hAnsi="Cambria" w:cs="Arial"/>
              <w:sz w:val="24"/>
              <w:szCs w:val="24"/>
            </w:rPr>
            <w:instrText xml:space="preserve">CITATION Ber09 \p 34 \l 5130 </w:instrText>
          </w:r>
          <w:r w:rsidR="005C7CB3" w:rsidRPr="00431183">
            <w:rPr>
              <w:rFonts w:ascii="Cambria" w:hAnsi="Cambria" w:cs="Arial"/>
              <w:sz w:val="24"/>
              <w:szCs w:val="24"/>
            </w:rPr>
            <w:fldChar w:fldCharType="separate"/>
          </w:r>
          <w:r w:rsidR="00AF1E1D" w:rsidRPr="00AF1E1D">
            <w:rPr>
              <w:rFonts w:ascii="Cambria" w:hAnsi="Cambria" w:cs="Arial"/>
              <w:noProof/>
              <w:sz w:val="24"/>
              <w:szCs w:val="24"/>
            </w:rPr>
            <w:t>(Berges &amp; Casellas, 2009, pág. 34)</w:t>
          </w:r>
          <w:r w:rsidR="005C7CB3" w:rsidRPr="00431183">
            <w:rPr>
              <w:rFonts w:ascii="Cambria" w:hAnsi="Cambria" w:cs="Arial"/>
              <w:sz w:val="24"/>
              <w:szCs w:val="24"/>
            </w:rPr>
            <w:fldChar w:fldCharType="end"/>
          </w:r>
        </w:sdtContent>
      </w:sdt>
      <w:r w:rsidRPr="00431183">
        <w:rPr>
          <w:rFonts w:ascii="Cambria" w:hAnsi="Cambria" w:cs="Arial"/>
          <w:sz w:val="24"/>
          <w:szCs w:val="24"/>
        </w:rPr>
        <w:t>.</w:t>
      </w:r>
    </w:p>
    <w:p w14:paraId="210F0B71" w14:textId="77777777" w:rsidR="00EA207A" w:rsidRPr="00DF4CF0" w:rsidRDefault="00EA207A" w:rsidP="00EA207A">
      <w:pPr>
        <w:pStyle w:val="Ttulo2"/>
        <w:spacing w:line="240" w:lineRule="auto"/>
        <w:rPr>
          <w:rFonts w:ascii="Cambria" w:hAnsi="Cambria" w:cs="Arial"/>
          <w:b/>
          <w:color w:val="auto"/>
          <w:sz w:val="24"/>
          <w:szCs w:val="24"/>
          <w:lang w:eastAsia="es-CR"/>
        </w:rPr>
      </w:pPr>
      <w:bookmarkStart w:id="69" w:name="_Toc527576951"/>
      <w:r>
        <w:rPr>
          <w:rFonts w:ascii="Cambria" w:hAnsi="Cambria" w:cs="Arial"/>
          <w:b/>
          <w:color w:val="auto"/>
          <w:sz w:val="24"/>
          <w:szCs w:val="24"/>
          <w:lang w:eastAsia="es-CR"/>
        </w:rPr>
        <w:t>2</w:t>
      </w:r>
      <w:r w:rsidRPr="00DF4CF0">
        <w:rPr>
          <w:rFonts w:ascii="Cambria" w:hAnsi="Cambria" w:cs="Arial"/>
          <w:b/>
          <w:color w:val="auto"/>
          <w:sz w:val="24"/>
          <w:szCs w:val="24"/>
          <w:lang w:eastAsia="es-CR"/>
        </w:rPr>
        <w:t>.</w:t>
      </w:r>
      <w:r>
        <w:rPr>
          <w:rFonts w:ascii="Cambria" w:hAnsi="Cambria" w:cs="Arial"/>
          <w:b/>
          <w:color w:val="auto"/>
          <w:sz w:val="24"/>
          <w:szCs w:val="24"/>
          <w:lang w:eastAsia="es-CR"/>
        </w:rPr>
        <w:t>3</w:t>
      </w:r>
      <w:r w:rsidRPr="00DF4CF0">
        <w:rPr>
          <w:rFonts w:ascii="Cambria" w:hAnsi="Cambria" w:cs="Arial"/>
          <w:b/>
          <w:color w:val="auto"/>
          <w:sz w:val="24"/>
          <w:szCs w:val="24"/>
          <w:lang w:eastAsia="es-CR"/>
        </w:rPr>
        <w:t xml:space="preserve"> Base productiva de la Región de los Santos: Una aproximación desde un enfoque sistemático.</w:t>
      </w:r>
      <w:bookmarkEnd w:id="69"/>
    </w:p>
    <w:p w14:paraId="5936A5DF" w14:textId="77777777" w:rsidR="00EA207A" w:rsidRPr="00DF4CF0" w:rsidRDefault="00EA207A" w:rsidP="00EA207A">
      <w:pPr>
        <w:spacing w:line="240" w:lineRule="auto"/>
        <w:rPr>
          <w:rFonts w:ascii="Cambria" w:hAnsi="Cambria"/>
          <w:sz w:val="24"/>
          <w:szCs w:val="24"/>
          <w:lang w:eastAsia="es-CR"/>
        </w:rPr>
      </w:pPr>
    </w:p>
    <w:p w14:paraId="20864237" w14:textId="28E567B6" w:rsidR="00EA207A" w:rsidRPr="00DF4CF0" w:rsidRDefault="00EA207A" w:rsidP="00EA207A">
      <w:pPr>
        <w:spacing w:line="240" w:lineRule="auto"/>
        <w:ind w:firstLine="708"/>
        <w:jc w:val="both"/>
        <w:rPr>
          <w:rFonts w:ascii="Cambria" w:hAnsi="Cambria" w:cs="Arial"/>
          <w:sz w:val="24"/>
          <w:szCs w:val="24"/>
        </w:rPr>
      </w:pPr>
      <w:r w:rsidRPr="00DF4CF0">
        <w:rPr>
          <w:rFonts w:ascii="Cambria" w:hAnsi="Cambria" w:cs="Arial"/>
          <w:sz w:val="24"/>
          <w:szCs w:val="24"/>
        </w:rPr>
        <w:t xml:space="preserve">Para analizar las transformaciones de la producción en la región de los Santos y la búsqueda por parte de los productores locales de lo que se puede denominar estrategias de diferenciación, se utilizara el enfoque sistemático para comprender las complejidades de las interrelaciones entre los actores locales </w:t>
      </w:r>
      <w:sdt>
        <w:sdtPr>
          <w:rPr>
            <w:rFonts w:ascii="Cambria" w:hAnsi="Cambria" w:cs="Arial"/>
            <w:sz w:val="24"/>
            <w:szCs w:val="24"/>
          </w:rPr>
          <w:id w:val="578180170"/>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Lun021 \p 217 \l 5130 </w:instrText>
          </w:r>
          <w:r w:rsidR="005C7CB3" w:rsidRPr="00DF4CF0">
            <w:rPr>
              <w:rFonts w:ascii="Cambria" w:hAnsi="Cambria" w:cs="Arial"/>
              <w:sz w:val="24"/>
              <w:szCs w:val="24"/>
            </w:rPr>
            <w:fldChar w:fldCharType="separate"/>
          </w:r>
          <w:r w:rsidR="00AF1E1D" w:rsidRPr="00AF1E1D">
            <w:rPr>
              <w:rFonts w:ascii="Cambria" w:hAnsi="Cambria" w:cs="Arial"/>
              <w:noProof/>
              <w:sz w:val="24"/>
              <w:szCs w:val="24"/>
            </w:rPr>
            <w:t>(Lunvall, Johnson, Sloth, &amp; Dalum, 2002, pág. 217)</w:t>
          </w:r>
          <w:r w:rsidR="005C7CB3" w:rsidRPr="00DF4CF0">
            <w:rPr>
              <w:rFonts w:ascii="Cambria" w:hAnsi="Cambria" w:cs="Arial"/>
              <w:sz w:val="24"/>
              <w:szCs w:val="24"/>
            </w:rPr>
            <w:fldChar w:fldCharType="end"/>
          </w:r>
        </w:sdtContent>
      </w:sdt>
    </w:p>
    <w:p w14:paraId="59A70887" w14:textId="6149400B" w:rsidR="00EA207A" w:rsidRPr="00DF4CF0" w:rsidRDefault="00EA207A" w:rsidP="00EA207A">
      <w:pPr>
        <w:spacing w:line="240" w:lineRule="auto"/>
        <w:ind w:firstLine="708"/>
        <w:jc w:val="both"/>
        <w:rPr>
          <w:rFonts w:ascii="Cambria" w:hAnsi="Cambria" w:cs="Arial"/>
          <w:sz w:val="24"/>
          <w:szCs w:val="24"/>
        </w:rPr>
      </w:pPr>
      <w:r w:rsidRPr="00DF4CF0">
        <w:rPr>
          <w:rFonts w:ascii="Cambria" w:hAnsi="Cambria" w:cs="Arial"/>
          <w:sz w:val="24"/>
          <w:szCs w:val="24"/>
        </w:rPr>
        <w:t xml:space="preserve">Desde lo local, el enfoque sistemático se centra en explicar y analizar como aprenden los individuos, su manera de actuar dentro del sistema y el rol de las organizaciones, partiendo de la premisa de la importancia de la información y el </w:t>
      </w:r>
      <w:r w:rsidRPr="00DF4CF0">
        <w:rPr>
          <w:rFonts w:ascii="Cambria" w:hAnsi="Cambria" w:cs="Arial"/>
          <w:sz w:val="24"/>
          <w:szCs w:val="24"/>
        </w:rPr>
        <w:lastRenderedPageBreak/>
        <w:t xml:space="preserve">conocimiento, gracias a una definición de un marco institucional que faciliten los incentivos que se traduzcan en nuevas innovaciones </w:t>
      </w:r>
      <w:sdt>
        <w:sdtPr>
          <w:rPr>
            <w:rFonts w:ascii="Cambria" w:hAnsi="Cambria" w:cs="Arial"/>
            <w:sz w:val="24"/>
            <w:szCs w:val="24"/>
          </w:rPr>
          <w:id w:val="-534808759"/>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Val \p 36 \l 5130 </w:instrText>
          </w:r>
          <w:r w:rsidR="005C7CB3" w:rsidRPr="00DF4CF0">
            <w:rPr>
              <w:rFonts w:ascii="Cambria" w:hAnsi="Cambria" w:cs="Arial"/>
              <w:sz w:val="24"/>
              <w:szCs w:val="24"/>
            </w:rPr>
            <w:fldChar w:fldCharType="separate"/>
          </w:r>
          <w:r w:rsidR="00AF1E1D" w:rsidRPr="00AF1E1D">
            <w:rPr>
              <w:rFonts w:ascii="Cambria" w:hAnsi="Cambria" w:cs="Arial"/>
              <w:noProof/>
              <w:sz w:val="24"/>
              <w:szCs w:val="24"/>
            </w:rPr>
            <w:t>(Valenti, 2011, pág. 36)</w:t>
          </w:r>
          <w:r w:rsidR="005C7CB3" w:rsidRPr="00DF4CF0">
            <w:rPr>
              <w:rFonts w:ascii="Cambria" w:hAnsi="Cambria" w:cs="Arial"/>
              <w:sz w:val="24"/>
              <w:szCs w:val="24"/>
            </w:rPr>
            <w:fldChar w:fldCharType="end"/>
          </w:r>
        </w:sdtContent>
      </w:sdt>
      <w:r w:rsidRPr="00DF4CF0">
        <w:rPr>
          <w:rFonts w:ascii="Cambria" w:hAnsi="Cambria" w:cs="Arial"/>
          <w:sz w:val="24"/>
          <w:szCs w:val="24"/>
        </w:rPr>
        <w:t xml:space="preserve">. </w:t>
      </w:r>
    </w:p>
    <w:p w14:paraId="77FF06FF" w14:textId="77777777" w:rsidR="00EA207A" w:rsidRPr="00DF4CF0" w:rsidRDefault="00EA207A" w:rsidP="00EA207A">
      <w:pPr>
        <w:spacing w:line="240" w:lineRule="auto"/>
        <w:ind w:firstLine="708"/>
        <w:jc w:val="both"/>
        <w:rPr>
          <w:rFonts w:ascii="Cambria" w:hAnsi="Cambria" w:cs="Arial"/>
          <w:sz w:val="24"/>
          <w:szCs w:val="24"/>
        </w:rPr>
      </w:pPr>
      <w:r w:rsidRPr="00DF4CF0">
        <w:rPr>
          <w:rFonts w:ascii="Cambria" w:hAnsi="Cambria" w:cs="Arial"/>
          <w:sz w:val="24"/>
          <w:szCs w:val="24"/>
        </w:rPr>
        <w:t>Por ende, es necesario analizar lo que se denomina los nuevos espacios económicos relacionados la fase productiva, estos son definidos como facilitadores de los procesos de aprendizaje desde un ámbito tecnológico como también organizativo, ante las iteraciones en los mercados y las relaciones entre las instituciones, mediante redes que establecen vínculos de confianza entre actores. (Carrasco, 2003, pág. 9).</w:t>
      </w:r>
    </w:p>
    <w:p w14:paraId="0DBC4A51" w14:textId="4CC03556" w:rsidR="00EA207A" w:rsidRPr="00DF4CF0" w:rsidRDefault="00EA207A" w:rsidP="00EA207A">
      <w:pPr>
        <w:spacing w:line="240" w:lineRule="auto"/>
        <w:ind w:firstLine="708"/>
        <w:jc w:val="both"/>
        <w:rPr>
          <w:rFonts w:ascii="Cambria" w:hAnsi="Cambria" w:cs="Arial"/>
          <w:sz w:val="24"/>
          <w:szCs w:val="24"/>
        </w:rPr>
      </w:pPr>
      <w:r w:rsidRPr="00DF4CF0">
        <w:rPr>
          <w:rFonts w:ascii="Cambria" w:hAnsi="Cambria" w:cs="Arial"/>
          <w:sz w:val="24"/>
          <w:szCs w:val="24"/>
        </w:rPr>
        <w:t xml:space="preserve">Para entender como los agentes locales se van adaptando en su medio ante cambios internos o externos; Hollingsworth (2000) plantea que el conocimiento permite una serie de modificaciones en la función de producción de un lugar en específico, lo que permite la diferenciación, y propone que es un proceso no lineal, pero de constante evolución. </w:t>
      </w:r>
      <w:sdt>
        <w:sdtPr>
          <w:rPr>
            <w:rFonts w:ascii="Cambria" w:hAnsi="Cambria" w:cs="Arial"/>
            <w:sz w:val="24"/>
            <w:szCs w:val="24"/>
          </w:rPr>
          <w:id w:val="-1982765581"/>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Hag13 \p 201 \l 5130 </w:instrText>
          </w:r>
          <w:r w:rsidR="005C7CB3" w:rsidRPr="00DF4CF0">
            <w:rPr>
              <w:rFonts w:ascii="Cambria" w:hAnsi="Cambria" w:cs="Arial"/>
              <w:sz w:val="24"/>
              <w:szCs w:val="24"/>
            </w:rPr>
            <w:fldChar w:fldCharType="separate"/>
          </w:r>
          <w:r w:rsidR="00AF1E1D" w:rsidRPr="00AF1E1D">
            <w:rPr>
              <w:rFonts w:ascii="Cambria" w:hAnsi="Cambria" w:cs="Arial"/>
              <w:noProof/>
              <w:sz w:val="24"/>
              <w:szCs w:val="24"/>
            </w:rPr>
            <w:t>(Hage, Mote, &amp; Jordan, 2013, pág. 201)</w:t>
          </w:r>
          <w:r w:rsidR="005C7CB3" w:rsidRPr="00DF4CF0">
            <w:rPr>
              <w:rFonts w:ascii="Cambria" w:hAnsi="Cambria" w:cs="Arial"/>
              <w:sz w:val="24"/>
              <w:szCs w:val="24"/>
            </w:rPr>
            <w:fldChar w:fldCharType="end"/>
          </w:r>
        </w:sdtContent>
      </w:sdt>
      <w:r w:rsidRPr="00DF4CF0">
        <w:rPr>
          <w:rFonts w:ascii="Cambria" w:hAnsi="Cambria" w:cs="Arial"/>
          <w:sz w:val="24"/>
          <w:szCs w:val="24"/>
        </w:rPr>
        <w:t>.</w:t>
      </w:r>
    </w:p>
    <w:p w14:paraId="0B7BCBA3" w14:textId="10E34A97" w:rsidR="00EA207A" w:rsidRPr="00DF4CF0" w:rsidRDefault="00EA207A" w:rsidP="00EA207A">
      <w:pPr>
        <w:spacing w:line="240" w:lineRule="auto"/>
        <w:ind w:firstLine="708"/>
        <w:jc w:val="both"/>
        <w:rPr>
          <w:rFonts w:ascii="Cambria" w:hAnsi="Cambria" w:cs="Arial"/>
          <w:sz w:val="24"/>
          <w:szCs w:val="24"/>
        </w:rPr>
      </w:pPr>
      <w:r w:rsidRPr="00DF4CF0">
        <w:rPr>
          <w:rFonts w:ascii="Cambria" w:hAnsi="Cambria" w:cs="Arial"/>
          <w:sz w:val="24"/>
          <w:szCs w:val="24"/>
        </w:rPr>
        <w:t xml:space="preserve">Algunos estudios empíricos que han analizado las relaciones entre actores locales y el medio en que se desenvuelven, han demostrado que las iteraciones entre actores locales implican una relación positiva entre transmisión del conocimiento y mejoras productivos en el área local. </w:t>
      </w:r>
      <w:sdt>
        <w:sdtPr>
          <w:rPr>
            <w:rFonts w:ascii="Cambria" w:hAnsi="Cambria" w:cs="Arial"/>
            <w:sz w:val="24"/>
            <w:szCs w:val="24"/>
          </w:rPr>
          <w:id w:val="1759628195"/>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Jia16 \p 18 \l 5130 </w:instrText>
          </w:r>
          <w:r w:rsidR="005C7CB3" w:rsidRPr="00DF4CF0">
            <w:rPr>
              <w:rFonts w:ascii="Cambria" w:hAnsi="Cambria" w:cs="Arial"/>
              <w:sz w:val="24"/>
              <w:szCs w:val="24"/>
            </w:rPr>
            <w:fldChar w:fldCharType="separate"/>
          </w:r>
          <w:r w:rsidR="00AF1E1D" w:rsidRPr="00AF1E1D">
            <w:rPr>
              <w:rFonts w:ascii="Cambria" w:hAnsi="Cambria" w:cs="Arial"/>
              <w:noProof/>
              <w:sz w:val="24"/>
              <w:szCs w:val="24"/>
            </w:rPr>
            <w:t>(Jiao, Zhou, Gao, &amp; Liu, 2016, pág. 18)</w:t>
          </w:r>
          <w:r w:rsidR="005C7CB3" w:rsidRPr="00DF4CF0">
            <w:rPr>
              <w:rFonts w:ascii="Cambria" w:hAnsi="Cambria" w:cs="Arial"/>
              <w:sz w:val="24"/>
              <w:szCs w:val="24"/>
            </w:rPr>
            <w:fldChar w:fldCharType="end"/>
          </w:r>
        </w:sdtContent>
      </w:sdt>
      <w:r w:rsidRPr="00DF4CF0">
        <w:rPr>
          <w:rFonts w:ascii="Cambria" w:hAnsi="Cambria" w:cs="Arial"/>
          <w:sz w:val="24"/>
          <w:szCs w:val="24"/>
        </w:rPr>
        <w:t xml:space="preserve">.  </w:t>
      </w:r>
    </w:p>
    <w:p w14:paraId="273FE743" w14:textId="264B8973" w:rsidR="00EA207A" w:rsidRPr="00DF4CF0" w:rsidRDefault="00EA207A" w:rsidP="00EA207A">
      <w:pPr>
        <w:spacing w:line="240" w:lineRule="auto"/>
        <w:jc w:val="both"/>
        <w:rPr>
          <w:rFonts w:ascii="Cambria" w:hAnsi="Cambria" w:cs="Arial"/>
          <w:sz w:val="24"/>
          <w:szCs w:val="24"/>
        </w:rPr>
      </w:pPr>
      <w:r w:rsidRPr="00DF4CF0">
        <w:rPr>
          <w:rFonts w:ascii="Cambria" w:hAnsi="Cambria" w:cs="Arial"/>
          <w:sz w:val="24"/>
          <w:szCs w:val="24"/>
        </w:rPr>
        <w:t xml:space="preserve"> </w:t>
      </w:r>
      <w:r w:rsidRPr="00DF4CF0">
        <w:rPr>
          <w:rFonts w:ascii="Cambria" w:hAnsi="Cambria" w:cs="Arial"/>
          <w:sz w:val="24"/>
          <w:szCs w:val="24"/>
        </w:rPr>
        <w:tab/>
        <w:t>Esta aproximación permite llegar a un acercamiento para la definición de medios para la transformación productiva, donde de manera intrínseca existen procesos de Innovación, como un espacio geográfico en la que se lleva la interacción entre empresas locales, individuos, e instituciones que compiten y cooperan entre sí, con el objetivo de incentivar la circulación de conocimientos en una determinada ubicación geográfica con bases productivas de característica heterogénea</w:t>
      </w:r>
      <w:r>
        <w:rPr>
          <w:rFonts w:ascii="Cambria" w:hAnsi="Cambria" w:cs="Arial"/>
          <w:sz w:val="24"/>
          <w:szCs w:val="24"/>
        </w:rPr>
        <w:t>s</w:t>
      </w:r>
      <w:r w:rsidRPr="00DF4CF0">
        <w:rPr>
          <w:rFonts w:ascii="Cambria" w:hAnsi="Cambria" w:cs="Arial"/>
          <w:sz w:val="24"/>
          <w:szCs w:val="24"/>
        </w:rPr>
        <w:t>.</w:t>
      </w:r>
      <w:sdt>
        <w:sdtPr>
          <w:rPr>
            <w:rFonts w:ascii="Cambria" w:hAnsi="Cambria" w:cs="Arial"/>
            <w:sz w:val="24"/>
            <w:szCs w:val="24"/>
          </w:rPr>
          <w:id w:val="-1900746505"/>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Yog09 \p 69 \l 5130 </w:instrText>
          </w:r>
          <w:r w:rsidR="005C7CB3" w:rsidRPr="00DF4CF0">
            <w:rPr>
              <w:rFonts w:ascii="Cambria" w:hAnsi="Cambria" w:cs="Arial"/>
              <w:sz w:val="24"/>
              <w:szCs w:val="24"/>
            </w:rPr>
            <w:fldChar w:fldCharType="separate"/>
          </w:r>
          <w:r w:rsidR="00AF1E1D">
            <w:rPr>
              <w:rFonts w:ascii="Cambria" w:hAnsi="Cambria" w:cs="Arial"/>
              <w:noProof/>
              <w:sz w:val="24"/>
              <w:szCs w:val="24"/>
            </w:rPr>
            <w:t xml:space="preserve"> </w:t>
          </w:r>
          <w:r w:rsidR="00AF1E1D" w:rsidRPr="00AF1E1D">
            <w:rPr>
              <w:rFonts w:ascii="Cambria" w:hAnsi="Cambria" w:cs="Arial"/>
              <w:noProof/>
              <w:sz w:val="24"/>
              <w:szCs w:val="24"/>
            </w:rPr>
            <w:t>(Yoguel, Borello, &amp; Erbes, 2009, pág. 69)</w:t>
          </w:r>
          <w:r w:rsidR="005C7CB3" w:rsidRPr="00DF4CF0">
            <w:rPr>
              <w:rFonts w:ascii="Cambria" w:hAnsi="Cambria" w:cs="Arial"/>
              <w:sz w:val="24"/>
              <w:szCs w:val="24"/>
            </w:rPr>
            <w:fldChar w:fldCharType="end"/>
          </w:r>
        </w:sdtContent>
      </w:sdt>
      <w:r w:rsidRPr="00DF4CF0">
        <w:rPr>
          <w:rFonts w:ascii="Cambria" w:hAnsi="Cambria" w:cs="Arial"/>
          <w:sz w:val="24"/>
          <w:szCs w:val="24"/>
        </w:rPr>
        <w:t>.</w:t>
      </w:r>
    </w:p>
    <w:p w14:paraId="5997ADE9" w14:textId="2FCE0D6D" w:rsidR="00EA207A" w:rsidRPr="00DF4CF0" w:rsidRDefault="00EA207A" w:rsidP="00EA207A">
      <w:pPr>
        <w:spacing w:line="240" w:lineRule="auto"/>
        <w:ind w:firstLine="708"/>
        <w:jc w:val="both"/>
        <w:rPr>
          <w:rFonts w:ascii="Cambria" w:hAnsi="Cambria" w:cs="Arial"/>
          <w:sz w:val="24"/>
          <w:szCs w:val="24"/>
        </w:rPr>
      </w:pPr>
      <w:r w:rsidRPr="00DF4CF0">
        <w:rPr>
          <w:rFonts w:ascii="Cambria" w:hAnsi="Cambria" w:cs="Arial"/>
          <w:sz w:val="24"/>
          <w:szCs w:val="24"/>
        </w:rPr>
        <w:t xml:space="preserve">Además, implica un análisis por niveles para entender la dinámica de las interacciones locales e identificar </w:t>
      </w:r>
      <w:r>
        <w:rPr>
          <w:rFonts w:ascii="Cambria" w:hAnsi="Cambria" w:cs="Arial"/>
          <w:sz w:val="24"/>
          <w:szCs w:val="24"/>
        </w:rPr>
        <w:t xml:space="preserve">el proceso de transformativo o de </w:t>
      </w:r>
      <w:r w:rsidRPr="00DF4CF0">
        <w:rPr>
          <w:rFonts w:ascii="Cambria" w:hAnsi="Cambria" w:cs="Arial"/>
          <w:sz w:val="24"/>
          <w:szCs w:val="24"/>
        </w:rPr>
        <w:t xml:space="preserve">Innovación es llevada a cabo en los sistemas productivos locales (radicales o incrementales), debido a que </w:t>
      </w:r>
      <w:r>
        <w:rPr>
          <w:rFonts w:ascii="Cambria" w:hAnsi="Cambria" w:cs="Arial"/>
          <w:sz w:val="24"/>
          <w:szCs w:val="24"/>
        </w:rPr>
        <w:t xml:space="preserve">estos </w:t>
      </w:r>
      <w:r w:rsidRPr="00DF4CF0">
        <w:rPr>
          <w:rFonts w:ascii="Cambria" w:hAnsi="Cambria" w:cs="Arial"/>
          <w:sz w:val="24"/>
          <w:szCs w:val="24"/>
        </w:rPr>
        <w:t xml:space="preserve">procesos afectan la organización, sus estructuras, comunicación que se pueden traducir en un incremento positivo sobre el desarrollo. </w:t>
      </w:r>
      <w:sdt>
        <w:sdtPr>
          <w:rPr>
            <w:rFonts w:ascii="Cambria" w:hAnsi="Cambria" w:cs="Arial"/>
            <w:sz w:val="24"/>
            <w:szCs w:val="24"/>
          </w:rPr>
          <w:id w:val="-1379864296"/>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Wal15 \p 667 \l 5130 </w:instrText>
          </w:r>
          <w:r w:rsidR="005C7CB3" w:rsidRPr="00DF4CF0">
            <w:rPr>
              <w:rFonts w:ascii="Cambria" w:hAnsi="Cambria" w:cs="Arial"/>
              <w:sz w:val="24"/>
              <w:szCs w:val="24"/>
            </w:rPr>
            <w:fldChar w:fldCharType="separate"/>
          </w:r>
          <w:r w:rsidR="00AF1E1D" w:rsidRPr="00AF1E1D">
            <w:rPr>
              <w:rFonts w:ascii="Cambria" w:hAnsi="Cambria" w:cs="Arial"/>
              <w:noProof/>
              <w:sz w:val="24"/>
              <w:szCs w:val="24"/>
            </w:rPr>
            <w:t>(Walker, Berry, &amp; Avellaneda, 2015, pág. 667)</w:t>
          </w:r>
          <w:r w:rsidR="005C7CB3" w:rsidRPr="00DF4CF0">
            <w:rPr>
              <w:rFonts w:ascii="Cambria" w:hAnsi="Cambria" w:cs="Arial"/>
              <w:sz w:val="24"/>
              <w:szCs w:val="24"/>
            </w:rPr>
            <w:fldChar w:fldCharType="end"/>
          </w:r>
        </w:sdtContent>
      </w:sdt>
      <w:r w:rsidRPr="00DF4CF0">
        <w:rPr>
          <w:rFonts w:ascii="Cambria" w:hAnsi="Cambria" w:cs="Arial"/>
          <w:sz w:val="24"/>
          <w:szCs w:val="24"/>
        </w:rPr>
        <w:t>.</w:t>
      </w:r>
    </w:p>
    <w:p w14:paraId="2AF7A2CE" w14:textId="12B987DE" w:rsidR="00EA207A" w:rsidRPr="00DF4CF0" w:rsidRDefault="00EA207A" w:rsidP="00EA207A">
      <w:pPr>
        <w:spacing w:line="240" w:lineRule="auto"/>
        <w:ind w:firstLine="708"/>
        <w:jc w:val="both"/>
        <w:rPr>
          <w:rFonts w:ascii="Cambria" w:hAnsi="Cambria" w:cs="Arial"/>
          <w:sz w:val="24"/>
          <w:szCs w:val="24"/>
        </w:rPr>
      </w:pPr>
      <w:r w:rsidRPr="00DF4CF0">
        <w:rPr>
          <w:rFonts w:ascii="Cambria" w:hAnsi="Cambria" w:cs="Arial"/>
          <w:sz w:val="24"/>
          <w:szCs w:val="24"/>
        </w:rPr>
        <w:t xml:space="preserve">El análisis de medios locales, en conjunto con espacios locales es de importancia porque permite entre otras cosas entender las dinámicas innovativas de los actores locales, y consigo conocer cómo se produce y se reproduce el conocimiento, en especial como, cuando, y donde se puede intervenir en el sistema y los resultados de los procesos anteriores </w:t>
      </w:r>
      <w:r>
        <w:rPr>
          <w:rFonts w:ascii="Cambria" w:hAnsi="Cambria" w:cs="Arial"/>
          <w:sz w:val="24"/>
          <w:szCs w:val="24"/>
        </w:rPr>
        <w:t>se observan en la formulación</w:t>
      </w:r>
      <w:r w:rsidRPr="00DF4CF0">
        <w:rPr>
          <w:rFonts w:ascii="Cambria" w:hAnsi="Cambria" w:cs="Arial"/>
          <w:sz w:val="24"/>
          <w:szCs w:val="24"/>
        </w:rPr>
        <w:t xml:space="preserve"> estrategias </w:t>
      </w:r>
      <w:r>
        <w:rPr>
          <w:rFonts w:ascii="Cambria" w:hAnsi="Cambria" w:cs="Arial"/>
          <w:sz w:val="24"/>
          <w:szCs w:val="24"/>
        </w:rPr>
        <w:t>productivas.</w:t>
      </w:r>
      <w:sdt>
        <w:sdtPr>
          <w:rPr>
            <w:rFonts w:ascii="Cambria" w:hAnsi="Cambria" w:cs="Arial"/>
            <w:sz w:val="24"/>
            <w:szCs w:val="24"/>
          </w:rPr>
          <w:id w:val="-2052834016"/>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Cha09 \p 5 \l 5130 </w:instrText>
          </w:r>
          <w:r w:rsidR="005C7CB3" w:rsidRPr="00DF4CF0">
            <w:rPr>
              <w:rFonts w:ascii="Cambria" w:hAnsi="Cambria" w:cs="Arial"/>
              <w:sz w:val="24"/>
              <w:szCs w:val="24"/>
            </w:rPr>
            <w:fldChar w:fldCharType="separate"/>
          </w:r>
          <w:r w:rsidR="00AF1E1D">
            <w:rPr>
              <w:rFonts w:ascii="Cambria" w:hAnsi="Cambria" w:cs="Arial"/>
              <w:noProof/>
              <w:sz w:val="24"/>
              <w:szCs w:val="24"/>
            </w:rPr>
            <w:t xml:space="preserve"> </w:t>
          </w:r>
          <w:r w:rsidR="00AF1E1D" w:rsidRPr="00AF1E1D">
            <w:rPr>
              <w:rFonts w:ascii="Cambria" w:hAnsi="Cambria" w:cs="Arial"/>
              <w:noProof/>
              <w:sz w:val="24"/>
              <w:szCs w:val="24"/>
            </w:rPr>
            <w:t>(Chaminade, Lundvall, Lauridsen, &amp; KJ, 2009, pág. 5)</w:t>
          </w:r>
          <w:r w:rsidR="005C7CB3" w:rsidRPr="00DF4CF0">
            <w:rPr>
              <w:rFonts w:ascii="Cambria" w:hAnsi="Cambria" w:cs="Arial"/>
              <w:sz w:val="24"/>
              <w:szCs w:val="24"/>
            </w:rPr>
            <w:fldChar w:fldCharType="end"/>
          </w:r>
        </w:sdtContent>
      </w:sdt>
      <w:r w:rsidRPr="00DF4CF0">
        <w:rPr>
          <w:rFonts w:ascii="Cambria" w:hAnsi="Cambria" w:cs="Arial"/>
          <w:sz w:val="24"/>
          <w:szCs w:val="24"/>
        </w:rPr>
        <w:t>.</w:t>
      </w:r>
    </w:p>
    <w:p w14:paraId="792D8689" w14:textId="2005CD02" w:rsidR="00EA207A" w:rsidRPr="00DF4CF0" w:rsidRDefault="00EA207A" w:rsidP="00EA207A">
      <w:pPr>
        <w:spacing w:line="240" w:lineRule="auto"/>
        <w:ind w:firstLine="708"/>
        <w:jc w:val="both"/>
        <w:rPr>
          <w:rFonts w:ascii="Cambria" w:hAnsi="Cambria" w:cs="Arial"/>
          <w:sz w:val="24"/>
          <w:szCs w:val="24"/>
        </w:rPr>
      </w:pPr>
      <w:r w:rsidRPr="00DF4CF0">
        <w:rPr>
          <w:rFonts w:ascii="Cambria" w:hAnsi="Cambria" w:cs="Arial"/>
          <w:sz w:val="24"/>
          <w:szCs w:val="24"/>
        </w:rPr>
        <w:t>El análisis a las bases productivas locales implica necesariamente explicar las características de los actores locales, el tipo de arquitectura institucional, el grado de competencias de los agentes económicos y la importancia de la difusión de conocimientos</w:t>
      </w:r>
      <w:r>
        <w:rPr>
          <w:rFonts w:ascii="Cambria" w:hAnsi="Cambria" w:cs="Arial"/>
          <w:sz w:val="24"/>
          <w:szCs w:val="24"/>
        </w:rPr>
        <w:t>, debido a que permite comprender las transformaciones de estas van sufriendo en el tiempo y toda la transformación</w:t>
      </w:r>
      <w:r w:rsidRPr="00DF4CF0">
        <w:rPr>
          <w:rFonts w:ascii="Cambria" w:hAnsi="Cambria" w:cs="Arial"/>
          <w:sz w:val="24"/>
          <w:szCs w:val="24"/>
        </w:rPr>
        <w:t xml:space="preserve">. </w:t>
      </w:r>
      <w:sdt>
        <w:sdtPr>
          <w:rPr>
            <w:rFonts w:ascii="Cambria" w:hAnsi="Cambria" w:cs="Arial"/>
            <w:sz w:val="24"/>
            <w:szCs w:val="24"/>
          </w:rPr>
          <w:id w:val="1308977928"/>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Zub17 \p 23 \l 5130 </w:instrText>
          </w:r>
          <w:r w:rsidR="005C7CB3" w:rsidRPr="00DF4CF0">
            <w:rPr>
              <w:rFonts w:ascii="Cambria" w:hAnsi="Cambria" w:cs="Arial"/>
              <w:sz w:val="24"/>
              <w:szCs w:val="24"/>
            </w:rPr>
            <w:fldChar w:fldCharType="separate"/>
          </w:r>
          <w:r w:rsidR="00AF1E1D" w:rsidRPr="00AF1E1D">
            <w:rPr>
              <w:rFonts w:ascii="Cambria" w:hAnsi="Cambria" w:cs="Arial"/>
              <w:noProof/>
              <w:sz w:val="24"/>
              <w:szCs w:val="24"/>
            </w:rPr>
            <w:t>(Zubizarreta, Cuadrado, Iradi, García, &amp; Orbe, 2017, pág. 23)</w:t>
          </w:r>
          <w:r w:rsidR="005C7CB3" w:rsidRPr="00DF4CF0">
            <w:rPr>
              <w:rFonts w:ascii="Cambria" w:hAnsi="Cambria" w:cs="Arial"/>
              <w:sz w:val="24"/>
              <w:szCs w:val="24"/>
            </w:rPr>
            <w:fldChar w:fldCharType="end"/>
          </w:r>
        </w:sdtContent>
      </w:sdt>
      <w:r w:rsidRPr="00DF4CF0">
        <w:rPr>
          <w:rFonts w:ascii="Cambria" w:hAnsi="Cambria" w:cs="Arial"/>
          <w:sz w:val="24"/>
          <w:szCs w:val="24"/>
        </w:rPr>
        <w:t xml:space="preserve">. </w:t>
      </w:r>
    </w:p>
    <w:p w14:paraId="628F1D78" w14:textId="77777777" w:rsidR="00EA207A" w:rsidRDefault="00EA207A" w:rsidP="00EA207A">
      <w:pPr>
        <w:spacing w:line="240" w:lineRule="auto"/>
        <w:jc w:val="both"/>
        <w:rPr>
          <w:rFonts w:ascii="Cambria" w:hAnsi="Cambria" w:cs="Arial"/>
          <w:sz w:val="24"/>
          <w:szCs w:val="24"/>
        </w:rPr>
      </w:pPr>
      <w:r w:rsidRPr="00DF4CF0">
        <w:rPr>
          <w:rFonts w:ascii="Cambria" w:hAnsi="Cambria" w:cs="Arial"/>
          <w:sz w:val="24"/>
          <w:szCs w:val="24"/>
        </w:rPr>
        <w:lastRenderedPageBreak/>
        <w:t xml:space="preserve">Al analizar los actores locales, Bunnell y Coe (2001) realizan abordaje desde las relaciones locales o desde una red pero con diferentes escalas, y es mediante esta que se llevan a cabo </w:t>
      </w:r>
      <w:r>
        <w:rPr>
          <w:rFonts w:ascii="Cambria" w:hAnsi="Cambria" w:cs="Arial"/>
          <w:sz w:val="24"/>
          <w:szCs w:val="24"/>
        </w:rPr>
        <w:t xml:space="preserve">actividades que alimentan nuevas </w:t>
      </w:r>
      <w:r w:rsidRPr="00DF4CF0">
        <w:rPr>
          <w:rFonts w:ascii="Cambria" w:hAnsi="Cambria" w:cs="Arial"/>
          <w:sz w:val="24"/>
          <w:szCs w:val="24"/>
        </w:rPr>
        <w:t xml:space="preserve">innovaciones que pueden ser representadas desde un ámbito social, lo que facilita la cooperación interdisciplinaria de actores con </w:t>
      </w:r>
      <w:r>
        <w:rPr>
          <w:rFonts w:ascii="Cambria" w:hAnsi="Cambria" w:cs="Arial"/>
          <w:sz w:val="24"/>
          <w:szCs w:val="24"/>
        </w:rPr>
        <w:t>organizaciones</w:t>
      </w:r>
      <w:r w:rsidRPr="00DF4CF0">
        <w:rPr>
          <w:rFonts w:ascii="Cambria" w:hAnsi="Cambria" w:cs="Arial"/>
          <w:sz w:val="24"/>
          <w:szCs w:val="24"/>
        </w:rPr>
        <w:t>, mejorando las interacciones de la red que se traducen en modificaciones o nuevas estrategias de diferenciación.</w:t>
      </w:r>
    </w:p>
    <w:p w14:paraId="276A6D6C" w14:textId="77777777" w:rsidR="00EA207A" w:rsidRPr="00DF4CF0" w:rsidRDefault="00EA207A" w:rsidP="00EA207A">
      <w:pPr>
        <w:spacing w:line="240" w:lineRule="auto"/>
        <w:jc w:val="both"/>
        <w:rPr>
          <w:rFonts w:ascii="Cambria" w:hAnsi="Cambria" w:cs="Arial"/>
          <w:b/>
          <w:sz w:val="24"/>
          <w:szCs w:val="24"/>
        </w:rPr>
      </w:pPr>
      <w:r w:rsidRPr="00DF4CF0">
        <w:rPr>
          <w:rFonts w:ascii="Cambria" w:hAnsi="Cambria" w:cs="Arial"/>
          <w:b/>
          <w:sz w:val="24"/>
          <w:szCs w:val="24"/>
        </w:rPr>
        <w:t>2.</w:t>
      </w:r>
      <w:r>
        <w:rPr>
          <w:rFonts w:ascii="Cambria" w:hAnsi="Cambria" w:cs="Arial"/>
          <w:b/>
          <w:sz w:val="24"/>
          <w:szCs w:val="24"/>
        </w:rPr>
        <w:t>4 Organización,</w:t>
      </w:r>
      <w:r w:rsidRPr="00DF4CF0">
        <w:rPr>
          <w:rFonts w:ascii="Cambria" w:hAnsi="Cambria" w:cs="Arial"/>
          <w:b/>
          <w:sz w:val="24"/>
          <w:szCs w:val="24"/>
        </w:rPr>
        <w:t xml:space="preserve"> </w:t>
      </w:r>
      <w:r>
        <w:rPr>
          <w:rFonts w:ascii="Cambria" w:hAnsi="Cambria" w:cs="Arial"/>
          <w:b/>
          <w:sz w:val="24"/>
          <w:szCs w:val="24"/>
        </w:rPr>
        <w:t>E</w:t>
      </w:r>
      <w:r w:rsidRPr="00DF4CF0">
        <w:rPr>
          <w:rFonts w:ascii="Cambria" w:hAnsi="Cambria" w:cs="Arial"/>
          <w:b/>
          <w:sz w:val="24"/>
          <w:szCs w:val="24"/>
        </w:rPr>
        <w:t>strategias</w:t>
      </w:r>
      <w:r>
        <w:rPr>
          <w:rFonts w:ascii="Cambria" w:hAnsi="Cambria" w:cs="Arial"/>
          <w:b/>
          <w:sz w:val="24"/>
          <w:szCs w:val="24"/>
        </w:rPr>
        <w:t>, y</w:t>
      </w:r>
      <w:r w:rsidRPr="00DF4CF0">
        <w:rPr>
          <w:rFonts w:ascii="Cambria" w:hAnsi="Cambria" w:cs="Arial"/>
          <w:b/>
          <w:sz w:val="24"/>
          <w:szCs w:val="24"/>
        </w:rPr>
        <w:t xml:space="preserve"> diferenciación</w:t>
      </w:r>
      <w:r>
        <w:rPr>
          <w:rFonts w:ascii="Cambria" w:hAnsi="Cambria" w:cs="Arial"/>
          <w:b/>
          <w:sz w:val="24"/>
          <w:szCs w:val="24"/>
        </w:rPr>
        <w:t>: Una aproximación a la cuantificación de los beneficios económicos:</w:t>
      </w:r>
    </w:p>
    <w:p w14:paraId="38F48022" w14:textId="5EBE43B6" w:rsidR="00EA207A" w:rsidRPr="00DF4CF0" w:rsidRDefault="00EA207A" w:rsidP="00EA207A">
      <w:pPr>
        <w:spacing w:line="240" w:lineRule="auto"/>
        <w:jc w:val="both"/>
        <w:rPr>
          <w:rFonts w:ascii="Cambria" w:hAnsi="Cambria" w:cs="Arial"/>
          <w:sz w:val="24"/>
          <w:szCs w:val="24"/>
        </w:rPr>
      </w:pPr>
      <w:r w:rsidRPr="00DF4CF0">
        <w:rPr>
          <w:rFonts w:ascii="Cambria" w:hAnsi="Cambria" w:cs="Arial"/>
          <w:sz w:val="24"/>
          <w:szCs w:val="24"/>
        </w:rPr>
        <w:t xml:space="preserve">Para construir lo referente a las estrategias en grupos de productores, </w:t>
      </w:r>
      <w:r>
        <w:rPr>
          <w:rFonts w:ascii="Cambria" w:hAnsi="Cambria" w:cs="Arial"/>
          <w:sz w:val="24"/>
          <w:szCs w:val="24"/>
        </w:rPr>
        <w:t xml:space="preserve">se parte de la definición de </w:t>
      </w:r>
      <w:r w:rsidRPr="00DF4CF0">
        <w:rPr>
          <w:rFonts w:ascii="Cambria" w:hAnsi="Cambria" w:cs="Arial"/>
          <w:sz w:val="24"/>
          <w:szCs w:val="24"/>
        </w:rPr>
        <w:t xml:space="preserve">un conjunto de instrucciones </w:t>
      </w:r>
      <w:r>
        <w:rPr>
          <w:rFonts w:ascii="Cambria" w:hAnsi="Cambria" w:cs="Arial"/>
          <w:sz w:val="24"/>
          <w:szCs w:val="24"/>
        </w:rPr>
        <w:t xml:space="preserve">y  opciones donde un grupo de agentes económicos </w:t>
      </w:r>
      <w:r w:rsidRPr="00DF4CF0">
        <w:rPr>
          <w:rFonts w:ascii="Cambria" w:hAnsi="Cambria" w:cs="Arial"/>
          <w:sz w:val="24"/>
          <w:szCs w:val="24"/>
        </w:rPr>
        <w:t xml:space="preserve">indica que opción elegir ante cualquier historia inicial presente </w:t>
      </w:r>
      <w:sdt>
        <w:sdtPr>
          <w:rPr>
            <w:rFonts w:ascii="Cambria" w:hAnsi="Cambria" w:cs="Arial"/>
            <w:sz w:val="24"/>
            <w:szCs w:val="24"/>
          </w:rPr>
          <w:id w:val="1663887758"/>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Gar09 \p 8 \l 5130 </w:instrText>
          </w:r>
          <w:r w:rsidR="005C7CB3" w:rsidRPr="00DF4CF0">
            <w:rPr>
              <w:rFonts w:ascii="Cambria" w:hAnsi="Cambria" w:cs="Arial"/>
              <w:sz w:val="24"/>
              <w:szCs w:val="24"/>
            </w:rPr>
            <w:fldChar w:fldCharType="separate"/>
          </w:r>
          <w:r w:rsidR="00AF1E1D" w:rsidRPr="00AF1E1D">
            <w:rPr>
              <w:rFonts w:ascii="Cambria" w:hAnsi="Cambria" w:cs="Arial"/>
              <w:noProof/>
              <w:sz w:val="24"/>
              <w:szCs w:val="24"/>
            </w:rPr>
            <w:t>(García, 2009, pág. 8)</w:t>
          </w:r>
          <w:r w:rsidR="005C7CB3" w:rsidRPr="00DF4CF0">
            <w:rPr>
              <w:rFonts w:ascii="Cambria" w:hAnsi="Cambria" w:cs="Arial"/>
              <w:sz w:val="24"/>
              <w:szCs w:val="24"/>
            </w:rPr>
            <w:fldChar w:fldCharType="end"/>
          </w:r>
        </w:sdtContent>
      </w:sdt>
      <w:r w:rsidRPr="00DF4CF0">
        <w:rPr>
          <w:rFonts w:ascii="Cambria" w:hAnsi="Cambria" w:cs="Arial"/>
          <w:sz w:val="24"/>
          <w:szCs w:val="24"/>
        </w:rPr>
        <w:t>.</w:t>
      </w:r>
    </w:p>
    <w:p w14:paraId="16E45F29" w14:textId="77777777" w:rsidR="00EA207A" w:rsidRPr="00DF4CF0" w:rsidRDefault="00EA207A" w:rsidP="00EA207A">
      <w:pPr>
        <w:spacing w:line="240" w:lineRule="auto"/>
        <w:jc w:val="both"/>
        <w:rPr>
          <w:rFonts w:ascii="Cambria" w:hAnsi="Cambria" w:cs="Arial"/>
          <w:sz w:val="24"/>
          <w:szCs w:val="24"/>
        </w:rPr>
      </w:pPr>
      <w:r w:rsidRPr="00DF4CF0">
        <w:rPr>
          <w:rFonts w:ascii="Cambria" w:hAnsi="Cambria" w:cs="Arial"/>
          <w:sz w:val="24"/>
          <w:szCs w:val="24"/>
        </w:rPr>
        <w:t>Matemáticamente se expresa como un productor i en la etapa t que es una función sit: (F)</w:t>
      </w:r>
      <m:oMath>
        <m:r>
          <w:rPr>
            <w:rFonts w:ascii="Cambria Math" w:hAnsi="Cambria Math" w:cs="Arial"/>
            <w:sz w:val="24"/>
            <w:szCs w:val="24"/>
          </w:rPr>
          <m:t>→</m:t>
        </m:r>
      </m:oMath>
      <w:r w:rsidRPr="00DF4CF0">
        <w:rPr>
          <w:rFonts w:ascii="Cambria" w:eastAsiaTheme="minorEastAsia" w:hAnsi="Cambria" w:cs="Arial"/>
          <w:sz w:val="24"/>
          <w:szCs w:val="24"/>
        </w:rPr>
        <w:t xml:space="preserve">Xit que asigna a cada historia inicial factible </w:t>
      </w:r>
      <m:oMath>
        <m:r>
          <w:rPr>
            <w:rFonts w:ascii="Cambria Math" w:eastAsiaTheme="minorEastAsia" w:hAnsi="Cambria Math" w:cs="Arial"/>
            <w:sz w:val="24"/>
            <w:szCs w:val="24"/>
          </w:rPr>
          <m:t>∝t-1</m:t>
        </m:r>
      </m:oMath>
      <w:r w:rsidRPr="00DF4CF0">
        <w:rPr>
          <w:rFonts w:ascii="Cambria" w:eastAsiaTheme="minorEastAsia" w:hAnsi="Cambria" w:cs="Arial"/>
          <w:sz w:val="24"/>
          <w:szCs w:val="24"/>
        </w:rPr>
        <w:t>(h) de longitud t-1 un punto de Ait[</w:t>
      </w:r>
      <m:oMath>
        <m:r>
          <w:rPr>
            <w:rFonts w:ascii="Cambria Math" w:eastAsiaTheme="minorEastAsia" w:hAnsi="Cambria Math" w:cs="Arial"/>
            <w:sz w:val="24"/>
            <w:szCs w:val="24"/>
          </w:rPr>
          <m:t>∝t-1</m:t>
        </m:r>
      </m:oMath>
      <w:r w:rsidRPr="00DF4CF0">
        <w:rPr>
          <w:rFonts w:ascii="Cambria" w:eastAsiaTheme="minorEastAsia" w:hAnsi="Cambria" w:cs="Arial"/>
          <w:sz w:val="24"/>
          <w:szCs w:val="24"/>
        </w:rPr>
        <w:t>(h)]</w:t>
      </w:r>
      <m:oMath>
        <m:r>
          <w:rPr>
            <w:rFonts w:ascii="Cambria Math" w:eastAsiaTheme="minorEastAsia" w:hAnsi="Cambria Math" w:cs="Arial"/>
            <w:sz w:val="24"/>
            <w:szCs w:val="24"/>
          </w:rPr>
          <m:t>⊆</m:t>
        </m:r>
      </m:oMath>
      <w:r w:rsidRPr="00DF4CF0">
        <w:rPr>
          <w:rFonts w:ascii="Cambria" w:eastAsiaTheme="minorEastAsia" w:hAnsi="Cambria" w:cs="Arial"/>
          <w:sz w:val="24"/>
          <w:szCs w:val="24"/>
        </w:rPr>
        <w:t xml:space="preserve"> Xit. </w:t>
      </w:r>
    </w:p>
    <w:p w14:paraId="52237452" w14:textId="1A981923" w:rsidR="00EA207A" w:rsidRPr="00DF4CF0" w:rsidRDefault="00EA207A" w:rsidP="00EA207A">
      <w:pPr>
        <w:spacing w:line="240" w:lineRule="auto"/>
        <w:jc w:val="both"/>
        <w:rPr>
          <w:rFonts w:ascii="Cambria" w:hAnsi="Cambria" w:cs="Arial"/>
          <w:sz w:val="24"/>
          <w:szCs w:val="24"/>
        </w:rPr>
      </w:pPr>
      <w:r w:rsidRPr="00DF4CF0">
        <w:rPr>
          <w:rFonts w:ascii="Cambria" w:hAnsi="Cambria" w:cs="Arial"/>
          <w:sz w:val="24"/>
          <w:szCs w:val="24"/>
        </w:rPr>
        <w:t>Para explicar si existen beneficios por parte de los productores</w:t>
      </w:r>
      <w:r>
        <w:rPr>
          <w:rFonts w:ascii="Cambria" w:hAnsi="Cambria" w:cs="Arial"/>
          <w:sz w:val="24"/>
          <w:szCs w:val="24"/>
        </w:rPr>
        <w:t xml:space="preserve"> si se incluyen que estos tienen la posibilidad de </w:t>
      </w:r>
      <w:r w:rsidRPr="00DF4CF0">
        <w:rPr>
          <w:rFonts w:ascii="Cambria" w:hAnsi="Cambria" w:cs="Arial"/>
          <w:sz w:val="24"/>
          <w:szCs w:val="24"/>
        </w:rPr>
        <w:t xml:space="preserve">involucrarse con instrumentos financieros cuando se agrupan y cooperan entre sí; primeramente, se construye una función objetivo del productor individual </w:t>
      </w:r>
      <w:sdt>
        <w:sdtPr>
          <w:rPr>
            <w:rFonts w:ascii="Cambria" w:hAnsi="Cambria" w:cs="Arial"/>
            <w:sz w:val="24"/>
            <w:szCs w:val="24"/>
          </w:rPr>
          <w:id w:val="1716784155"/>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Osb94 \p 15 \l 5130 </w:instrText>
          </w:r>
          <w:r w:rsidR="005C7CB3" w:rsidRPr="00DF4CF0">
            <w:rPr>
              <w:rFonts w:ascii="Cambria" w:hAnsi="Cambria" w:cs="Arial"/>
              <w:sz w:val="24"/>
              <w:szCs w:val="24"/>
            </w:rPr>
            <w:fldChar w:fldCharType="separate"/>
          </w:r>
          <w:r w:rsidR="00AF1E1D" w:rsidRPr="00AF1E1D">
            <w:rPr>
              <w:rFonts w:ascii="Cambria" w:hAnsi="Cambria" w:cs="Arial"/>
              <w:noProof/>
              <w:sz w:val="24"/>
              <w:szCs w:val="24"/>
            </w:rPr>
            <w:t>(Osborne &amp; Rubinstein, 1994, pág. 15)</w:t>
          </w:r>
          <w:r w:rsidR="005C7CB3" w:rsidRPr="00DF4CF0">
            <w:rPr>
              <w:rFonts w:ascii="Cambria" w:hAnsi="Cambria" w:cs="Arial"/>
              <w:sz w:val="24"/>
              <w:szCs w:val="24"/>
            </w:rPr>
            <w:fldChar w:fldCharType="end"/>
          </w:r>
        </w:sdtContent>
      </w:sdt>
      <w:r w:rsidRPr="00DF4CF0">
        <w:rPr>
          <w:rFonts w:ascii="Cambria" w:hAnsi="Cambria" w:cs="Arial"/>
          <w:sz w:val="24"/>
          <w:szCs w:val="24"/>
        </w:rPr>
        <w:t xml:space="preserve"> representada por (1).</w:t>
      </w:r>
    </w:p>
    <w:p w14:paraId="3532521E" w14:textId="77777777" w:rsidR="00EA207A" w:rsidRPr="00DF4CF0" w:rsidRDefault="00EA207A" w:rsidP="00EA207A">
      <w:pPr>
        <w:spacing w:line="240" w:lineRule="auto"/>
        <w:jc w:val="center"/>
        <w:rPr>
          <w:rFonts w:ascii="Cambria" w:hAnsi="Cambria" w:cs="Arial"/>
          <w:sz w:val="24"/>
          <w:szCs w:val="24"/>
        </w:rPr>
      </w:pPr>
      <w:r w:rsidRPr="00DF4CF0">
        <w:rPr>
          <w:rFonts w:ascii="Cambria" w:hAnsi="Cambria" w:cs="Arial"/>
          <w:sz w:val="24"/>
          <w:szCs w:val="24"/>
        </w:rPr>
        <w:t xml:space="preserve">F(Y) = </w:t>
      </w:r>
      <m:oMath>
        <m:d>
          <m:dPr>
            <m:begChr m:val="{"/>
            <m:endChr m:val=""/>
            <m:ctrlPr>
              <w:rPr>
                <w:rFonts w:ascii="Cambria Math" w:hAnsi="Cambria Math" w:cs="Arial"/>
                <w:i/>
                <w:sz w:val="24"/>
                <w:szCs w:val="24"/>
              </w:rPr>
            </m:ctrlPr>
          </m:dPr>
          <m:e>
            <m:eqArr>
              <m:eqArrPr>
                <m:ctrlPr>
                  <w:rPr>
                    <w:rFonts w:ascii="Cambria Math" w:hAnsi="Cambria Math" w:cs="Arial"/>
                    <w:i/>
                    <w:sz w:val="24"/>
                    <w:szCs w:val="24"/>
                  </w:rPr>
                </m:ctrlPr>
              </m:eqArrPr>
              <m:e>
                <m:r>
                  <w:rPr>
                    <w:rFonts w:ascii="Cambria Math" w:hAnsi="Cambria Math" w:cs="Arial"/>
                    <w:sz w:val="24"/>
                    <w:szCs w:val="24"/>
                  </w:rPr>
                  <m:t>1-Y , si 0≤1-r</m:t>
                </m:r>
              </m:e>
              <m:e>
                <m:r>
                  <w:rPr>
                    <w:rFonts w:ascii="Cambria Math" w:hAnsi="Cambria Math" w:cs="Arial"/>
                    <w:sz w:val="24"/>
                    <w:szCs w:val="24"/>
                  </w:rPr>
                  <m:t>r,  si 1-r ≤Y</m:t>
                </m:r>
              </m:e>
            </m:eqArr>
          </m:e>
        </m:d>
      </m:oMath>
      <w:r w:rsidRPr="00DF4CF0">
        <w:rPr>
          <w:rFonts w:ascii="Cambria" w:eastAsiaTheme="minorEastAsia" w:hAnsi="Cambria" w:cs="Arial"/>
          <w:sz w:val="24"/>
          <w:szCs w:val="24"/>
        </w:rPr>
        <w:t xml:space="preserve">    (1)</w:t>
      </w:r>
    </w:p>
    <w:p w14:paraId="66852B0D" w14:textId="77777777" w:rsidR="00EA207A" w:rsidRPr="00DF4CF0" w:rsidRDefault="00EA207A" w:rsidP="00EA207A">
      <w:pPr>
        <w:spacing w:line="240" w:lineRule="auto"/>
        <w:jc w:val="both"/>
        <w:rPr>
          <w:rFonts w:ascii="Cambria" w:hAnsi="Cambria" w:cs="Arial"/>
          <w:sz w:val="24"/>
          <w:szCs w:val="24"/>
        </w:rPr>
      </w:pPr>
      <w:r w:rsidRPr="00DF4CF0">
        <w:rPr>
          <w:rFonts w:ascii="Cambria" w:hAnsi="Cambria" w:cs="Arial"/>
          <w:sz w:val="24"/>
          <w:szCs w:val="24"/>
        </w:rPr>
        <w:t xml:space="preserve">Donde r representa los beneficios aproximados en unidades monetarias que obtiene el productor de realizar su actividad económica de producción indiferentemente si este coopera o no con otros productores y “Y” las unidades monetarias obtenidas de estar agrupado, por lo tanto, la función (2) especifica que los unidades monetarias son mayores cuando los productores no están organizados y no existe una variedad, pero a medida a que existen más productores en la zona geográfica de análisis, resulta conveniente agruparse y cooperar debido a otros beneficios observados.  </w:t>
      </w:r>
    </w:p>
    <w:p w14:paraId="1DD18FFB" w14:textId="3F29C031" w:rsidR="00EA207A" w:rsidRPr="00DF4CF0" w:rsidRDefault="00EA207A" w:rsidP="00EA207A">
      <w:pPr>
        <w:spacing w:line="240" w:lineRule="auto"/>
        <w:jc w:val="both"/>
        <w:rPr>
          <w:rFonts w:ascii="Cambria" w:hAnsi="Cambria" w:cs="Arial"/>
          <w:sz w:val="24"/>
          <w:szCs w:val="24"/>
        </w:rPr>
      </w:pPr>
      <w:r w:rsidRPr="00DF4CF0">
        <w:rPr>
          <w:rFonts w:ascii="Cambria" w:hAnsi="Cambria" w:cs="Arial"/>
          <w:sz w:val="24"/>
          <w:szCs w:val="24"/>
        </w:rPr>
        <w:t xml:space="preserve">Si el productor i produce yi unidades y las comercializa de manera individual, implica que puede vender (e-yi) unidades de manera individual, en términos de funciones obtiene lo siguiente </w:t>
      </w:r>
      <w:sdt>
        <w:sdtPr>
          <w:rPr>
            <w:rFonts w:ascii="Cambria" w:hAnsi="Cambria" w:cs="Arial"/>
            <w:sz w:val="24"/>
            <w:szCs w:val="24"/>
          </w:rPr>
          <w:id w:val="-1056546798"/>
          <w:citation/>
        </w:sdtPr>
        <w:sdtEndPr/>
        <w:sdtContent>
          <w:r w:rsidR="005C7CB3" w:rsidRPr="00DF4CF0">
            <w:rPr>
              <w:rFonts w:ascii="Cambria" w:hAnsi="Cambria" w:cs="Arial"/>
              <w:sz w:val="24"/>
              <w:szCs w:val="24"/>
            </w:rPr>
            <w:fldChar w:fldCharType="begin"/>
          </w:r>
          <w:r w:rsidRPr="00DF4CF0">
            <w:rPr>
              <w:rFonts w:ascii="Cambria" w:hAnsi="Cambria" w:cs="Arial"/>
              <w:sz w:val="24"/>
              <w:szCs w:val="24"/>
            </w:rPr>
            <w:instrText xml:space="preserve">CITATION Gar09 \p 9 \l 5130 </w:instrText>
          </w:r>
          <w:r w:rsidR="005C7CB3" w:rsidRPr="00DF4CF0">
            <w:rPr>
              <w:rFonts w:ascii="Cambria" w:hAnsi="Cambria" w:cs="Arial"/>
              <w:sz w:val="24"/>
              <w:szCs w:val="24"/>
            </w:rPr>
            <w:fldChar w:fldCharType="separate"/>
          </w:r>
          <w:r w:rsidR="00AF1E1D" w:rsidRPr="00AF1E1D">
            <w:rPr>
              <w:rFonts w:ascii="Cambria" w:hAnsi="Cambria" w:cs="Arial"/>
              <w:noProof/>
              <w:sz w:val="24"/>
              <w:szCs w:val="24"/>
            </w:rPr>
            <w:t>(García, 2009, pág. 9)</w:t>
          </w:r>
          <w:r w:rsidR="005C7CB3" w:rsidRPr="00DF4CF0">
            <w:rPr>
              <w:rFonts w:ascii="Cambria" w:hAnsi="Cambria" w:cs="Arial"/>
              <w:sz w:val="24"/>
              <w:szCs w:val="24"/>
            </w:rPr>
            <w:fldChar w:fldCharType="end"/>
          </w:r>
        </w:sdtContent>
      </w:sdt>
      <w:r w:rsidRPr="00DF4CF0">
        <w:rPr>
          <w:rFonts w:ascii="Cambria" w:hAnsi="Cambria" w:cs="Arial"/>
          <w:sz w:val="24"/>
          <w:szCs w:val="24"/>
        </w:rPr>
        <w:t xml:space="preserve">: </w:t>
      </w:r>
    </w:p>
    <w:p w14:paraId="0B8D4623" w14:textId="77777777" w:rsidR="00EA207A" w:rsidRPr="00DF4CF0" w:rsidRDefault="00EA207A" w:rsidP="00EA207A">
      <w:pPr>
        <w:spacing w:line="240" w:lineRule="auto"/>
        <w:jc w:val="center"/>
        <w:rPr>
          <w:rFonts w:ascii="Cambria" w:hAnsi="Cambria" w:cs="Arial"/>
          <w:sz w:val="24"/>
          <w:szCs w:val="24"/>
        </w:rPr>
      </w:pPr>
      <w:r w:rsidRPr="00DF4CF0">
        <w:rPr>
          <w:rFonts w:ascii="Cambria" w:hAnsi="Cambria" w:cs="Arial"/>
          <w:sz w:val="24"/>
          <w:szCs w:val="24"/>
        </w:rPr>
        <w:t xml:space="preserve">ui= </w:t>
      </w:r>
      <m:oMath>
        <m:d>
          <m:dPr>
            <m:begChr m:val="{"/>
            <m:endChr m:val=""/>
            <m:ctrlPr>
              <w:rPr>
                <w:rFonts w:ascii="Cambria Math" w:hAnsi="Cambria Math" w:cs="Arial"/>
                <w:i/>
                <w:sz w:val="24"/>
                <w:szCs w:val="24"/>
              </w:rPr>
            </m:ctrlPr>
          </m:dPr>
          <m:e>
            <m:eqArr>
              <m:eqArrPr>
                <m:ctrlPr>
                  <w:rPr>
                    <w:rFonts w:ascii="Cambria Math" w:hAnsi="Cambria Math" w:cs="Arial"/>
                    <w:i/>
                    <w:sz w:val="24"/>
                    <w:szCs w:val="24"/>
                  </w:rPr>
                </m:ctrlPr>
              </m:eqArrPr>
              <m:e>
                <m:r>
                  <w:rPr>
                    <w:rFonts w:ascii="Cambria Math" w:hAnsi="Cambria Math" w:cs="Arial"/>
                    <w:sz w:val="24"/>
                    <w:szCs w:val="24"/>
                  </w:rPr>
                  <m:t>yi</m:t>
                </m:r>
                <m:d>
                  <m:dPr>
                    <m:ctrlPr>
                      <w:rPr>
                        <w:rFonts w:ascii="Cambria Math" w:hAnsi="Cambria Math" w:cs="Arial"/>
                        <w:i/>
                        <w:sz w:val="24"/>
                        <w:szCs w:val="24"/>
                      </w:rPr>
                    </m:ctrlPr>
                  </m:dPr>
                  <m:e>
                    <m:r>
                      <w:rPr>
                        <w:rFonts w:ascii="Cambria Math" w:hAnsi="Cambria Math" w:cs="Arial"/>
                        <w:sz w:val="24"/>
                        <w:szCs w:val="24"/>
                      </w:rPr>
                      <m:t>1-Y</m:t>
                    </m:r>
                  </m:e>
                </m:d>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e-yi</m:t>
                    </m:r>
                  </m:e>
                </m:d>
                <m:r>
                  <w:rPr>
                    <w:rFonts w:ascii="Cambria Math" w:hAnsi="Cambria Math" w:cs="Arial"/>
                    <w:sz w:val="24"/>
                    <w:szCs w:val="24"/>
                  </w:rPr>
                  <m:t xml:space="preserve">r si 0 ≤Y≤1-r </m:t>
                </m:r>
              </m:e>
              <m:e>
                <m:r>
                  <w:rPr>
                    <w:rFonts w:ascii="Cambria Math" w:hAnsi="Cambria Math" w:cs="Arial"/>
                    <w:sz w:val="24"/>
                    <w:szCs w:val="24"/>
                  </w:rPr>
                  <m:t>yir+</m:t>
                </m:r>
                <m:d>
                  <m:dPr>
                    <m:ctrlPr>
                      <w:rPr>
                        <w:rFonts w:ascii="Cambria Math" w:hAnsi="Cambria Math" w:cs="Arial"/>
                        <w:i/>
                        <w:sz w:val="24"/>
                        <w:szCs w:val="24"/>
                      </w:rPr>
                    </m:ctrlPr>
                  </m:dPr>
                  <m:e>
                    <m:r>
                      <w:rPr>
                        <w:rFonts w:ascii="Cambria Math" w:hAnsi="Cambria Math" w:cs="Arial"/>
                        <w:sz w:val="24"/>
                        <w:szCs w:val="24"/>
                      </w:rPr>
                      <m:t>e-yi</m:t>
                    </m:r>
                  </m:e>
                </m:d>
                <m:r>
                  <w:rPr>
                    <w:rFonts w:ascii="Cambria Math" w:hAnsi="Cambria Math" w:cs="Arial"/>
                    <w:sz w:val="24"/>
                    <w:szCs w:val="24"/>
                  </w:rPr>
                  <m:t xml:space="preserve"> si 1-r ≤Y</m:t>
                </m:r>
              </m:e>
            </m:eqArr>
          </m:e>
        </m:d>
      </m:oMath>
      <w:r w:rsidRPr="00DF4CF0">
        <w:rPr>
          <w:rFonts w:ascii="Cambria" w:eastAsiaTheme="minorEastAsia" w:hAnsi="Cambria" w:cs="Arial"/>
          <w:sz w:val="24"/>
          <w:szCs w:val="24"/>
        </w:rPr>
        <w:t xml:space="preserve">  (2)</w:t>
      </w:r>
    </w:p>
    <w:p w14:paraId="45C857CC" w14:textId="77777777" w:rsidR="00EA207A" w:rsidRPr="00DF4CF0" w:rsidRDefault="00EA207A" w:rsidP="00EA207A">
      <w:pPr>
        <w:spacing w:line="240" w:lineRule="auto"/>
        <w:jc w:val="both"/>
        <w:rPr>
          <w:rFonts w:ascii="Cambria" w:hAnsi="Cambria" w:cs="Arial"/>
          <w:sz w:val="24"/>
          <w:szCs w:val="24"/>
        </w:rPr>
      </w:pPr>
      <w:r w:rsidRPr="00DF4CF0">
        <w:rPr>
          <w:rFonts w:ascii="Cambria" w:hAnsi="Cambria" w:cs="Arial"/>
          <w:sz w:val="24"/>
          <w:szCs w:val="24"/>
        </w:rPr>
        <w:t xml:space="preserve">Por ende, la ecuación (2) se interpreta como, a una mayor cantidad de productores, es conveniente una organización dada que obtienen una mayor cantidad de r o unidades monetarias debido a los beneficios intrínseca de la cooperación como lo es la transmisión del conocimiento y el fortalecimiento de vínculos locales, por consiguiente, la función que analiza el bienestar colectivo de la cooperación (2) es la siguiente: </w:t>
      </w:r>
    </w:p>
    <w:p w14:paraId="31DD17F5" w14:textId="77777777" w:rsidR="00EA207A" w:rsidRPr="00DF4CF0" w:rsidRDefault="00EA207A" w:rsidP="00EA207A">
      <w:pPr>
        <w:spacing w:line="240" w:lineRule="auto"/>
        <w:jc w:val="center"/>
        <w:rPr>
          <w:rFonts w:ascii="Cambria" w:eastAsiaTheme="minorEastAsia" w:hAnsi="Cambria" w:cs="Arial"/>
          <w:sz w:val="24"/>
          <w:szCs w:val="24"/>
        </w:rPr>
      </w:pPr>
      <w:r w:rsidRPr="00DF4CF0">
        <w:rPr>
          <w:rFonts w:ascii="Cambria" w:hAnsi="Cambria" w:cs="Arial"/>
          <w:sz w:val="24"/>
          <w:szCs w:val="24"/>
        </w:rPr>
        <w:t xml:space="preserve">Max (u1+….+un)= </w:t>
      </w:r>
      <m:oMath>
        <m:d>
          <m:dPr>
            <m:begChr m:val="{"/>
            <m:endChr m:val=""/>
            <m:ctrlPr>
              <w:rPr>
                <w:rFonts w:ascii="Cambria Math" w:hAnsi="Cambria Math" w:cs="Arial"/>
                <w:i/>
                <w:sz w:val="24"/>
                <w:szCs w:val="24"/>
              </w:rPr>
            </m:ctrlPr>
          </m:dPr>
          <m:e>
            <m:eqArr>
              <m:eqArrPr>
                <m:ctrlPr>
                  <w:rPr>
                    <w:rFonts w:ascii="Cambria Math" w:hAnsi="Cambria Math" w:cs="Arial"/>
                    <w:i/>
                    <w:sz w:val="24"/>
                    <w:szCs w:val="24"/>
                  </w:rPr>
                </m:ctrlPr>
              </m:eqArrPr>
              <m:e>
                <m:d>
                  <m:dPr>
                    <m:ctrlPr>
                      <w:rPr>
                        <w:rFonts w:ascii="Cambria Math" w:hAnsi="Cambria Math" w:cs="Arial"/>
                        <w:i/>
                        <w:sz w:val="24"/>
                        <w:szCs w:val="24"/>
                      </w:rPr>
                    </m:ctrlPr>
                  </m:dPr>
                  <m:e>
                    <m:r>
                      <w:rPr>
                        <w:rFonts w:ascii="Cambria Math" w:hAnsi="Cambria Math" w:cs="Arial"/>
                        <w:sz w:val="24"/>
                        <w:szCs w:val="24"/>
                      </w:rPr>
                      <m:t>yi+…yn</m:t>
                    </m:r>
                  </m:e>
                </m:d>
                <m:d>
                  <m:dPr>
                    <m:ctrlPr>
                      <w:rPr>
                        <w:rFonts w:ascii="Cambria Math" w:hAnsi="Cambria Math" w:cs="Arial"/>
                        <w:i/>
                        <w:sz w:val="24"/>
                        <w:szCs w:val="24"/>
                      </w:rPr>
                    </m:ctrlPr>
                  </m:dPr>
                  <m:e>
                    <m:r>
                      <w:rPr>
                        <w:rFonts w:ascii="Cambria Math" w:hAnsi="Cambria Math" w:cs="Arial"/>
                        <w:sz w:val="24"/>
                        <w:szCs w:val="24"/>
                      </w:rPr>
                      <m:t>1-Y-r</m:t>
                    </m:r>
                  </m:e>
                </m:d>
                <m:r>
                  <w:rPr>
                    <w:rFonts w:ascii="Cambria Math" w:hAnsi="Cambria Math" w:cs="Arial"/>
                    <w:sz w:val="24"/>
                    <w:szCs w:val="24"/>
                  </w:rPr>
                  <m:t>+ner si 0≤Y≤1-r</m:t>
                </m:r>
              </m:e>
              <m:e>
                <m:r>
                  <w:rPr>
                    <w:rFonts w:ascii="Cambria Math" w:hAnsi="Cambria Math" w:cs="Arial"/>
                    <w:sz w:val="24"/>
                    <w:szCs w:val="24"/>
                  </w:rPr>
                  <m:t>ner si 1-r≤Y</m:t>
                </m:r>
              </m:e>
            </m:eqArr>
          </m:e>
        </m:d>
      </m:oMath>
      <w:r w:rsidRPr="00DF4CF0">
        <w:rPr>
          <w:rFonts w:ascii="Cambria" w:eastAsiaTheme="minorEastAsia" w:hAnsi="Cambria" w:cs="Arial"/>
          <w:sz w:val="24"/>
          <w:szCs w:val="24"/>
        </w:rPr>
        <w:t xml:space="preserve">  (3)</w:t>
      </w:r>
    </w:p>
    <w:p w14:paraId="09ECEC99" w14:textId="77777777"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eastAsiaTheme="minorEastAsia" w:hAnsi="Cambria" w:cs="Arial"/>
          <w:sz w:val="24"/>
          <w:szCs w:val="24"/>
        </w:rPr>
        <w:lastRenderedPageBreak/>
        <w:t xml:space="preserve">Maximizando la función en el tramo </w:t>
      </w:r>
      <m:oMath>
        <m:r>
          <w:rPr>
            <w:rFonts w:ascii="Cambria Math" w:hAnsi="Cambria Math" w:cs="Arial"/>
            <w:sz w:val="24"/>
            <w:szCs w:val="24"/>
          </w:rPr>
          <m:t>0≤Y≤1-r</m:t>
        </m:r>
      </m:oMath>
      <w:r w:rsidRPr="00DF4CF0">
        <w:rPr>
          <w:rFonts w:ascii="Cambria" w:eastAsiaTheme="minorEastAsia" w:hAnsi="Cambria" w:cs="Arial"/>
          <w:sz w:val="24"/>
          <w:szCs w:val="24"/>
        </w:rPr>
        <w:t xml:space="preserve"> tenemos </w:t>
      </w:r>
    </w:p>
    <w:p w14:paraId="613D4DD8" w14:textId="77777777" w:rsidR="00EA207A" w:rsidRPr="00DF4CF0" w:rsidRDefault="00EA207A" w:rsidP="00EA207A">
      <w:pPr>
        <w:spacing w:line="240" w:lineRule="auto"/>
        <w:jc w:val="center"/>
        <w:rPr>
          <w:rFonts w:ascii="Cambria" w:hAnsi="Cambria" w:cs="Arial"/>
          <w:sz w:val="24"/>
          <w:szCs w:val="24"/>
        </w:rPr>
      </w:pPr>
      <w:r w:rsidRPr="00DF4CF0">
        <w:rPr>
          <w:rFonts w:ascii="Cambria" w:eastAsiaTheme="minorEastAsia" w:hAnsi="Cambria" w:cs="Arial"/>
          <w:sz w:val="24"/>
          <w:szCs w:val="24"/>
        </w:rPr>
        <w:t>Max Y(1-Y-r) + n</w:t>
      </w:r>
      <w:r w:rsidRPr="00DF4CF0">
        <w:rPr>
          <w:rFonts w:ascii="Cambria" w:eastAsiaTheme="minorEastAsia" w:hAnsi="Cambria" w:cs="Arial"/>
          <w:sz w:val="24"/>
          <w:szCs w:val="24"/>
          <w:vertAlign w:val="subscript"/>
        </w:rPr>
        <w:t>er</w:t>
      </w:r>
    </w:p>
    <w:p w14:paraId="07E05461" w14:textId="77777777" w:rsidR="00EA207A" w:rsidRPr="00DF4CF0" w:rsidRDefault="00EA207A" w:rsidP="00EA207A">
      <w:pPr>
        <w:spacing w:line="240" w:lineRule="auto"/>
        <w:jc w:val="both"/>
        <w:rPr>
          <w:rFonts w:ascii="Cambria" w:hAnsi="Cambria" w:cs="Arial"/>
          <w:sz w:val="24"/>
          <w:szCs w:val="24"/>
        </w:rPr>
      </w:pPr>
      <w:r w:rsidRPr="00DF4CF0">
        <w:rPr>
          <w:rFonts w:ascii="Cambria" w:hAnsi="Cambria" w:cs="Arial"/>
          <w:sz w:val="24"/>
          <w:szCs w:val="24"/>
        </w:rPr>
        <w:t>Dada la situación de los productores, si estos tienen acceso a ciertas condiciones como nuevos conocimientos para su fase productivas, mejoras productivas como resultado de procesos de investigación que les permite diferenciar, se esperaría que la acción estratégica ideal es la de cooperar entres los agentes locales, tal como se presenta en la función (3).</w:t>
      </w:r>
    </w:p>
    <w:p w14:paraId="4411B8D9" w14:textId="77777777"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hAnsi="Cambria" w:cs="Arial"/>
          <w:sz w:val="24"/>
          <w:szCs w:val="24"/>
        </w:rPr>
        <w:t xml:space="preserve">Sea </w:t>
      </w:r>
      <m:oMath>
        <m:r>
          <w:rPr>
            <w:rFonts w:ascii="Cambria Math" w:hAnsi="Cambria Math" w:cs="Arial"/>
            <w:sz w:val="24"/>
            <w:szCs w:val="24"/>
          </w:rPr>
          <m:t>A=(S1……Sn;u1……un)=</m:t>
        </m:r>
      </m:oMath>
      <w:r w:rsidRPr="00DF4CF0">
        <w:rPr>
          <w:rFonts w:ascii="Cambria" w:eastAsiaTheme="minorEastAsia" w:hAnsi="Cambria" w:cs="Arial"/>
          <w:sz w:val="24"/>
          <w:szCs w:val="24"/>
        </w:rPr>
        <w:t xml:space="preserve">  donde n son los productores que participan en el cooperación y </w:t>
      </w:r>
      <w:r w:rsidRPr="00DF4CF0">
        <w:rPr>
          <w:rFonts w:ascii="Cambria" w:eastAsiaTheme="minorEastAsia" w:hAnsi="Cambria" w:cs="Arial"/>
          <w:i/>
          <w:sz w:val="24"/>
          <w:szCs w:val="24"/>
        </w:rPr>
        <w:t xml:space="preserve">S </w:t>
      </w:r>
      <w:r w:rsidRPr="00DF4CF0">
        <w:rPr>
          <w:rFonts w:ascii="Cambria" w:eastAsiaTheme="minorEastAsia" w:hAnsi="Cambria" w:cs="Arial"/>
          <w:sz w:val="24"/>
          <w:szCs w:val="24"/>
        </w:rPr>
        <w:t xml:space="preserve">representan las estrategias disponibles para cada productor dada su cooperación, mientras que </w:t>
      </w:r>
      <w:r w:rsidRPr="00DF4CF0">
        <w:rPr>
          <w:rFonts w:ascii="Cambria" w:eastAsiaTheme="minorEastAsia" w:hAnsi="Cambria" w:cs="Arial"/>
          <w:i/>
          <w:sz w:val="24"/>
          <w:szCs w:val="24"/>
        </w:rPr>
        <w:t>Si</w:t>
      </w:r>
      <w:r w:rsidRPr="00DF4CF0">
        <w:rPr>
          <w:rFonts w:ascii="Cambria" w:eastAsiaTheme="minorEastAsia" w:hAnsi="Cambria" w:cs="Arial"/>
          <w:sz w:val="24"/>
          <w:szCs w:val="24"/>
        </w:rPr>
        <w:t xml:space="preserve"> = (</w:t>
      </w:r>
      <w:r w:rsidRPr="00DF4CF0">
        <w:rPr>
          <w:rFonts w:ascii="Cambria" w:eastAsiaTheme="minorEastAsia" w:hAnsi="Cambria" w:cs="Arial"/>
          <w:i/>
          <w:sz w:val="24"/>
          <w:szCs w:val="24"/>
        </w:rPr>
        <w:t>s</w:t>
      </w:r>
      <w:r w:rsidRPr="00DF4CF0">
        <w:rPr>
          <w:rFonts w:ascii="Cambria" w:eastAsiaTheme="minorEastAsia" w:hAnsi="Cambria" w:cs="Arial"/>
          <w:i/>
          <w:sz w:val="24"/>
          <w:szCs w:val="24"/>
          <w:vertAlign w:val="subscript"/>
        </w:rPr>
        <w:t>i1</w:t>
      </w:r>
      <w:r w:rsidRPr="00DF4CF0">
        <w:rPr>
          <w:rFonts w:ascii="Cambria" w:eastAsiaTheme="minorEastAsia" w:hAnsi="Cambria" w:cs="Arial"/>
          <w:i/>
          <w:sz w:val="24"/>
          <w:szCs w:val="24"/>
        </w:rPr>
        <w:t>, s</w:t>
      </w:r>
      <w:r w:rsidRPr="00DF4CF0">
        <w:rPr>
          <w:rFonts w:ascii="Cambria" w:eastAsiaTheme="minorEastAsia" w:hAnsi="Cambria" w:cs="Arial"/>
          <w:i/>
          <w:sz w:val="24"/>
          <w:szCs w:val="24"/>
          <w:vertAlign w:val="subscript"/>
        </w:rPr>
        <w:t>i2</w:t>
      </w:r>
      <w:r w:rsidRPr="00DF4CF0">
        <w:rPr>
          <w:rFonts w:ascii="Cambria" w:eastAsiaTheme="minorEastAsia" w:hAnsi="Cambria" w:cs="Arial"/>
          <w:i/>
          <w:sz w:val="24"/>
          <w:szCs w:val="24"/>
        </w:rPr>
        <w:t>,….s</w:t>
      </w:r>
      <w:r w:rsidRPr="00DF4CF0">
        <w:rPr>
          <w:rFonts w:ascii="Cambria" w:eastAsiaTheme="minorEastAsia" w:hAnsi="Cambria" w:cs="Arial"/>
          <w:i/>
          <w:sz w:val="24"/>
          <w:szCs w:val="24"/>
          <w:vertAlign w:val="subscript"/>
        </w:rPr>
        <w:t>in</w:t>
      </w:r>
      <w:r w:rsidRPr="00DF4CF0">
        <w:rPr>
          <w:rFonts w:ascii="Cambria" w:eastAsiaTheme="minorEastAsia" w:hAnsi="Cambria" w:cs="Arial"/>
          <w:sz w:val="24"/>
          <w:szCs w:val="24"/>
        </w:rPr>
        <w:t xml:space="preserve">) como el conjunto de estrategias que cuanta el jugador </w:t>
      </w:r>
      <w:r w:rsidRPr="00DF4CF0">
        <w:rPr>
          <w:rFonts w:ascii="Cambria" w:eastAsiaTheme="minorEastAsia" w:hAnsi="Cambria" w:cs="Arial"/>
          <w:i/>
          <w:sz w:val="24"/>
          <w:szCs w:val="24"/>
        </w:rPr>
        <w:t xml:space="preserve">i </w:t>
      </w:r>
      <w:r w:rsidRPr="00DF4CF0">
        <w:rPr>
          <w:rFonts w:ascii="Cambria" w:eastAsiaTheme="minorEastAsia" w:hAnsi="Cambria" w:cs="Arial"/>
          <w:sz w:val="24"/>
          <w:szCs w:val="24"/>
        </w:rPr>
        <w:t xml:space="preserve">donde se cumple que </w:t>
      </w:r>
      <w:r w:rsidRPr="00DF4CF0">
        <w:rPr>
          <w:rFonts w:ascii="Cambria" w:eastAsiaTheme="minorEastAsia" w:hAnsi="Cambria" w:cs="Arial"/>
          <w:i/>
          <w:sz w:val="24"/>
          <w:szCs w:val="24"/>
        </w:rPr>
        <w:t>s</w:t>
      </w:r>
      <w:r w:rsidRPr="00DF4CF0">
        <w:rPr>
          <w:rFonts w:ascii="Cambria" w:eastAsiaTheme="minorEastAsia" w:hAnsi="Cambria" w:cs="Arial"/>
          <w:i/>
          <w:sz w:val="24"/>
          <w:szCs w:val="24"/>
          <w:vertAlign w:val="subscript"/>
        </w:rPr>
        <w:t>i</w:t>
      </w:r>
      <w:r w:rsidRPr="00DF4CF0">
        <w:rPr>
          <w:rFonts w:ascii="Cambria" w:eastAsiaTheme="minorEastAsia" w:hAnsi="Cambria" w:cs="Arial"/>
          <w:i/>
          <w:sz w:val="24"/>
          <w:szCs w:val="24"/>
        </w:rPr>
        <w:t xml:space="preserve"> </w:t>
      </w:r>
      <m:oMath>
        <m:r>
          <w:rPr>
            <w:rFonts w:ascii="Cambria Math" w:eastAsiaTheme="minorEastAsia" w:hAnsi="Cambria Math" w:cs="Arial"/>
            <w:sz w:val="24"/>
            <w:szCs w:val="24"/>
          </w:rPr>
          <m:t>ϵ</m:t>
        </m:r>
      </m:oMath>
      <w:r w:rsidRPr="00DF4CF0">
        <w:rPr>
          <w:rFonts w:ascii="Cambria" w:eastAsiaTheme="minorEastAsia" w:hAnsi="Cambria" w:cs="Arial"/>
          <w:i/>
          <w:sz w:val="24"/>
          <w:szCs w:val="24"/>
        </w:rPr>
        <w:t xml:space="preserve"> S</w:t>
      </w:r>
      <w:r w:rsidRPr="00DF4CF0">
        <w:rPr>
          <w:rFonts w:ascii="Cambria" w:eastAsiaTheme="minorEastAsia" w:hAnsi="Cambria" w:cs="Arial"/>
          <w:i/>
          <w:sz w:val="24"/>
          <w:szCs w:val="24"/>
          <w:vertAlign w:val="subscript"/>
        </w:rPr>
        <w:t>i</w:t>
      </w:r>
      <w:r w:rsidRPr="00DF4CF0">
        <w:rPr>
          <w:rFonts w:ascii="Cambria" w:eastAsiaTheme="minorEastAsia" w:hAnsi="Cambria" w:cs="Arial"/>
          <w:i/>
          <w:sz w:val="24"/>
          <w:szCs w:val="24"/>
        </w:rPr>
        <w:t xml:space="preserve">.  </w:t>
      </w:r>
      <w:r w:rsidRPr="00DF4CF0">
        <w:rPr>
          <w:rFonts w:ascii="Cambria" w:eastAsiaTheme="minorEastAsia" w:hAnsi="Cambria" w:cs="Arial"/>
          <w:sz w:val="24"/>
          <w:szCs w:val="24"/>
        </w:rPr>
        <w:t xml:space="preserve">Lo que implica que (s1,…..sn) representan una combinación de estrategias para cada productor como resultado de la cooperación. </w:t>
      </w:r>
    </w:p>
    <w:p w14:paraId="76ED2BBA" w14:textId="77777777"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eastAsiaTheme="minorEastAsia" w:hAnsi="Cambria" w:cs="Arial"/>
          <w:sz w:val="24"/>
          <w:szCs w:val="24"/>
        </w:rPr>
        <w:t>Se define U= (u</w:t>
      </w:r>
      <w:r w:rsidRPr="00DF4CF0">
        <w:rPr>
          <w:rFonts w:ascii="Cambria" w:eastAsiaTheme="minorEastAsia" w:hAnsi="Cambria" w:cs="Arial"/>
          <w:sz w:val="24"/>
          <w:szCs w:val="24"/>
          <w:vertAlign w:val="subscript"/>
        </w:rPr>
        <w:t>1</w:t>
      </w:r>
      <w:r w:rsidRPr="00DF4CF0">
        <w:rPr>
          <w:rFonts w:ascii="Cambria" w:eastAsiaTheme="minorEastAsia" w:hAnsi="Cambria" w:cs="Arial"/>
          <w:sz w:val="24"/>
          <w:szCs w:val="24"/>
        </w:rPr>
        <w:t>,…..,u</w:t>
      </w:r>
      <w:r w:rsidRPr="00DF4CF0">
        <w:rPr>
          <w:rFonts w:ascii="Cambria" w:eastAsiaTheme="minorEastAsia" w:hAnsi="Cambria" w:cs="Arial"/>
          <w:sz w:val="24"/>
          <w:szCs w:val="24"/>
          <w:vertAlign w:val="subscript"/>
        </w:rPr>
        <w:t>n</w:t>
      </w:r>
      <w:r w:rsidRPr="00DF4CF0">
        <w:rPr>
          <w:rFonts w:ascii="Cambria" w:eastAsiaTheme="minorEastAsia" w:hAnsi="Cambria" w:cs="Arial"/>
          <w:sz w:val="24"/>
          <w:szCs w:val="24"/>
        </w:rPr>
        <w:t>) la función de beneficios obtenido de la cooperación para cada productor donde se cumple que u</w:t>
      </w:r>
      <w:r w:rsidRPr="00DF4CF0">
        <w:rPr>
          <w:rFonts w:ascii="Cambria" w:eastAsiaTheme="minorEastAsia" w:hAnsi="Cambria" w:cs="Arial"/>
          <w:sz w:val="24"/>
          <w:szCs w:val="24"/>
          <w:vertAlign w:val="subscript"/>
        </w:rPr>
        <w:t>i</w:t>
      </w:r>
      <w:r w:rsidRPr="00DF4CF0">
        <w:rPr>
          <w:rFonts w:ascii="Cambria" w:eastAsiaTheme="minorEastAsia" w:hAnsi="Cambria" w:cs="Arial"/>
          <w:sz w:val="24"/>
          <w:szCs w:val="24"/>
        </w:rPr>
        <w:t>=u</w:t>
      </w:r>
      <w:r w:rsidRPr="00DF4CF0">
        <w:rPr>
          <w:rFonts w:ascii="Cambria" w:eastAsiaTheme="minorEastAsia" w:hAnsi="Cambria" w:cs="Arial"/>
          <w:sz w:val="24"/>
          <w:szCs w:val="24"/>
          <w:vertAlign w:val="subscript"/>
        </w:rPr>
        <w:t>i</w:t>
      </w:r>
      <w:r w:rsidRPr="00DF4CF0">
        <w:rPr>
          <w:rFonts w:ascii="Cambria" w:eastAsiaTheme="minorEastAsia" w:hAnsi="Cambria" w:cs="Arial"/>
          <w:sz w:val="24"/>
          <w:szCs w:val="24"/>
        </w:rPr>
        <w:t>(s</w:t>
      </w:r>
      <w:r w:rsidRPr="00DF4CF0">
        <w:rPr>
          <w:rFonts w:ascii="Cambria" w:eastAsiaTheme="minorEastAsia" w:hAnsi="Cambria" w:cs="Arial"/>
          <w:sz w:val="24"/>
          <w:szCs w:val="24"/>
          <w:vertAlign w:val="subscript"/>
        </w:rPr>
        <w:t>1</w:t>
      </w:r>
      <w:r w:rsidRPr="00DF4CF0">
        <w:rPr>
          <w:rFonts w:ascii="Cambria" w:eastAsiaTheme="minorEastAsia" w:hAnsi="Cambria" w:cs="Arial"/>
          <w:sz w:val="24"/>
          <w:szCs w:val="24"/>
        </w:rPr>
        <w:t>,…s</w:t>
      </w:r>
      <w:r w:rsidRPr="00DF4CF0">
        <w:rPr>
          <w:rFonts w:ascii="Cambria" w:eastAsiaTheme="minorEastAsia" w:hAnsi="Cambria" w:cs="Arial"/>
          <w:sz w:val="24"/>
          <w:szCs w:val="24"/>
          <w:vertAlign w:val="subscript"/>
        </w:rPr>
        <w:t>n</w:t>
      </w:r>
      <w:r w:rsidRPr="00DF4CF0">
        <w:rPr>
          <w:rFonts w:ascii="Cambria" w:eastAsiaTheme="minorEastAsia" w:hAnsi="Cambria" w:cs="Arial"/>
          <w:sz w:val="24"/>
          <w:szCs w:val="24"/>
        </w:rPr>
        <w:t xml:space="preserve">) donde si </w:t>
      </w:r>
      <m:oMath>
        <m:r>
          <w:rPr>
            <w:rFonts w:ascii="Cambria Math" w:eastAsiaTheme="minorEastAsia" w:hAnsi="Cambria Math" w:cs="Arial"/>
            <w:sz w:val="24"/>
            <w:szCs w:val="24"/>
          </w:rPr>
          <m:t>ϵ</m:t>
        </m:r>
      </m:oMath>
      <w:r w:rsidRPr="00DF4CF0">
        <w:rPr>
          <w:rFonts w:ascii="Cambria" w:eastAsiaTheme="minorEastAsia" w:hAnsi="Cambria" w:cs="Arial"/>
          <w:sz w:val="24"/>
          <w:szCs w:val="24"/>
        </w:rPr>
        <w:t xml:space="preserve"> Si.</w:t>
      </w:r>
    </w:p>
    <w:p w14:paraId="03B3890B" w14:textId="77777777" w:rsidR="00EA207A" w:rsidRPr="00DF4CF0" w:rsidRDefault="00EA207A" w:rsidP="00EA207A">
      <w:pPr>
        <w:spacing w:line="240" w:lineRule="auto"/>
        <w:jc w:val="both"/>
        <w:rPr>
          <w:rFonts w:ascii="Cambria" w:hAnsi="Cambria" w:cs="Arial"/>
          <w:sz w:val="24"/>
          <w:szCs w:val="24"/>
        </w:rPr>
      </w:pPr>
      <w:r w:rsidRPr="00DF4CF0">
        <w:rPr>
          <w:rFonts w:ascii="Cambria" w:hAnsi="Cambria" w:cs="Arial"/>
          <w:sz w:val="24"/>
          <w:szCs w:val="24"/>
        </w:rPr>
        <w:t>Lo anterior corresponde para el caso en que el productor apueste por una estrategia de cooperar con otros productores para obtener mayores beneficios al hacer uso de la denominación de origen Tarrazú</w:t>
      </w:r>
    </w:p>
    <w:p w14:paraId="199D11E3" w14:textId="77777777"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eastAsiaTheme="minorEastAsia" w:hAnsi="Cambria" w:cs="Arial"/>
          <w:sz w:val="24"/>
          <w:szCs w:val="24"/>
        </w:rPr>
        <w:t xml:space="preserve">Se plantea una forma característica para cada estrategia (N,v) donde N: (1,…,n) como un subconjunto de productores y v es una función de ingresos v: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X</m:t>
            </m:r>
          </m:e>
          <m:sup>
            <m:r>
              <w:rPr>
                <w:rFonts w:ascii="Cambria Math" w:eastAsiaTheme="minorEastAsia" w:hAnsi="Cambria Math" w:cs="Arial"/>
                <w:sz w:val="24"/>
                <w:szCs w:val="24"/>
              </w:rPr>
              <m:t>N</m:t>
            </m:r>
          </m:sup>
        </m:sSup>
        <m:r>
          <w:rPr>
            <w:rFonts w:ascii="Cambria Math" w:eastAsiaTheme="minorEastAsia" w:hAnsi="Cambria Math" w:cs="Arial"/>
            <w:sz w:val="24"/>
            <w:szCs w:val="24"/>
          </w:rPr>
          <m:t>→R tal que v</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m:t>
            </m:r>
          </m:e>
        </m:d>
        <m:r>
          <w:rPr>
            <w:rFonts w:ascii="Cambria Math" w:eastAsiaTheme="minorEastAsia" w:hAnsi="Cambria Math" w:cs="Arial"/>
            <w:sz w:val="24"/>
            <w:szCs w:val="24"/>
          </w:rPr>
          <m:t>=0</m:t>
        </m:r>
      </m:oMath>
    </w:p>
    <w:p w14:paraId="39C3EF5B" w14:textId="1265D18E"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eastAsiaTheme="minorEastAsia" w:hAnsi="Cambria" w:cs="Arial"/>
          <w:sz w:val="24"/>
          <w:szCs w:val="24"/>
        </w:rPr>
        <w:t xml:space="preserve">Por ende, a los subconjuntos S y N se les llamara coaliciones de productores, que puede plantear estrategias de manera conjunta sin tomar en consideración a otros productores, pero existe la posibilidad de que todos los productores cooperen y formen una única coalición </w:t>
      </w:r>
      <w:sdt>
        <w:sdtPr>
          <w:rPr>
            <w:rFonts w:ascii="Cambria" w:eastAsiaTheme="minorEastAsia" w:hAnsi="Cambria" w:cs="Arial"/>
            <w:sz w:val="24"/>
            <w:szCs w:val="24"/>
          </w:rPr>
          <w:id w:val="-440538375"/>
          <w:citation/>
        </w:sdtPr>
        <w:sdtEndPr/>
        <w:sdtContent>
          <w:r w:rsidR="005C7CB3" w:rsidRPr="00DF4CF0">
            <w:rPr>
              <w:rFonts w:ascii="Cambria" w:eastAsiaTheme="minorEastAsia" w:hAnsi="Cambria" w:cs="Arial"/>
              <w:sz w:val="24"/>
              <w:szCs w:val="24"/>
            </w:rPr>
            <w:fldChar w:fldCharType="begin"/>
          </w:r>
          <w:r w:rsidRPr="00DF4CF0">
            <w:rPr>
              <w:rFonts w:ascii="Cambria" w:eastAsiaTheme="minorEastAsia" w:hAnsi="Cambria" w:cs="Arial"/>
              <w:sz w:val="24"/>
              <w:szCs w:val="24"/>
            </w:rPr>
            <w:instrText xml:space="preserve">CITATION Cer04 \p 461 \l 5130 </w:instrText>
          </w:r>
          <w:r w:rsidR="005C7CB3" w:rsidRPr="00DF4CF0">
            <w:rPr>
              <w:rFonts w:ascii="Cambria" w:eastAsiaTheme="minorEastAsia" w:hAnsi="Cambria" w:cs="Arial"/>
              <w:sz w:val="24"/>
              <w:szCs w:val="24"/>
            </w:rPr>
            <w:fldChar w:fldCharType="separate"/>
          </w:r>
          <w:r w:rsidR="00AF1E1D" w:rsidRPr="00AF1E1D">
            <w:rPr>
              <w:rFonts w:ascii="Cambria" w:eastAsiaTheme="minorEastAsia" w:hAnsi="Cambria" w:cs="Arial"/>
              <w:noProof/>
              <w:sz w:val="24"/>
              <w:szCs w:val="24"/>
            </w:rPr>
            <w:t>(Cerda, Pérez, &amp; Jimeno, 2004, pág. 461)</w:t>
          </w:r>
          <w:r w:rsidR="005C7CB3" w:rsidRPr="00DF4CF0">
            <w:rPr>
              <w:rFonts w:ascii="Cambria" w:eastAsiaTheme="minorEastAsia" w:hAnsi="Cambria" w:cs="Arial"/>
              <w:sz w:val="24"/>
              <w:szCs w:val="24"/>
            </w:rPr>
            <w:fldChar w:fldCharType="end"/>
          </w:r>
        </w:sdtContent>
      </w:sdt>
      <w:r w:rsidRPr="00DF4CF0">
        <w:rPr>
          <w:rFonts w:ascii="Cambria" w:eastAsiaTheme="minorEastAsia" w:hAnsi="Cambria" w:cs="Arial"/>
          <w:sz w:val="24"/>
          <w:szCs w:val="24"/>
        </w:rPr>
        <w:t xml:space="preserve">. </w:t>
      </w:r>
    </w:p>
    <w:p w14:paraId="2CC2513F" w14:textId="7C20F069"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eastAsiaTheme="minorEastAsia" w:hAnsi="Cambria" w:cs="Arial"/>
          <w:sz w:val="24"/>
          <w:szCs w:val="24"/>
        </w:rPr>
        <w:t xml:space="preserve">Para los productores que formen parte del subconjunto S realizan estrategias, y consigo facilitan procesos de innovación y de diferenciación, lo anterior deriva en un beneficio v(S) que son las ganancias comunes. Se plantea un subconjunto de productores fijo (N,v) con su función característica </w:t>
      </w:r>
      <w:r w:rsidRPr="00DF4CF0">
        <w:rPr>
          <w:rFonts w:ascii="Cambria" w:eastAsiaTheme="minorEastAsia" w:hAnsi="Cambria" w:cs="Arial"/>
          <w:i/>
          <w:sz w:val="24"/>
          <w:szCs w:val="24"/>
        </w:rPr>
        <w:t>v</w:t>
      </w:r>
      <w:r w:rsidRPr="00DF4CF0">
        <w:rPr>
          <w:rFonts w:ascii="Cambria" w:eastAsiaTheme="minorEastAsia" w:hAnsi="Cambria" w:cs="Arial"/>
          <w:sz w:val="24"/>
          <w:szCs w:val="24"/>
        </w:rPr>
        <w:t xml:space="preserve"> </w:t>
      </w:r>
      <w:sdt>
        <w:sdtPr>
          <w:rPr>
            <w:rFonts w:ascii="Cambria" w:eastAsiaTheme="minorEastAsia" w:hAnsi="Cambria" w:cs="Arial"/>
            <w:sz w:val="24"/>
            <w:szCs w:val="24"/>
          </w:rPr>
          <w:id w:val="-831060124"/>
          <w:citation/>
        </w:sdtPr>
        <w:sdtEndPr/>
        <w:sdtContent>
          <w:r w:rsidR="005C7CB3" w:rsidRPr="00DF4CF0">
            <w:rPr>
              <w:rFonts w:ascii="Cambria" w:eastAsiaTheme="minorEastAsia" w:hAnsi="Cambria" w:cs="Arial"/>
              <w:sz w:val="24"/>
              <w:szCs w:val="24"/>
            </w:rPr>
            <w:fldChar w:fldCharType="begin"/>
          </w:r>
          <w:r w:rsidRPr="00DF4CF0">
            <w:rPr>
              <w:rFonts w:ascii="Cambria" w:eastAsiaTheme="minorEastAsia" w:hAnsi="Cambria" w:cs="Arial"/>
              <w:sz w:val="24"/>
              <w:szCs w:val="24"/>
            </w:rPr>
            <w:instrText xml:space="preserve">CITATION Rom97 \p 230 \l 5130 </w:instrText>
          </w:r>
          <w:r w:rsidR="005C7CB3" w:rsidRPr="00DF4CF0">
            <w:rPr>
              <w:rFonts w:ascii="Cambria" w:eastAsiaTheme="minorEastAsia" w:hAnsi="Cambria" w:cs="Arial"/>
              <w:sz w:val="24"/>
              <w:szCs w:val="24"/>
            </w:rPr>
            <w:fldChar w:fldCharType="separate"/>
          </w:r>
          <w:r w:rsidR="00AF1E1D" w:rsidRPr="00AF1E1D">
            <w:rPr>
              <w:rFonts w:ascii="Cambria" w:eastAsiaTheme="minorEastAsia" w:hAnsi="Cambria" w:cs="Arial"/>
              <w:noProof/>
              <w:sz w:val="24"/>
              <w:szCs w:val="24"/>
            </w:rPr>
            <w:t>(Romp, 1997, pág. 230)</w:t>
          </w:r>
          <w:r w:rsidR="005C7CB3" w:rsidRPr="00DF4CF0">
            <w:rPr>
              <w:rFonts w:ascii="Cambria" w:eastAsiaTheme="minorEastAsia" w:hAnsi="Cambria" w:cs="Arial"/>
              <w:sz w:val="24"/>
              <w:szCs w:val="24"/>
            </w:rPr>
            <w:fldChar w:fldCharType="end"/>
          </w:r>
        </w:sdtContent>
      </w:sdt>
      <w:r w:rsidRPr="00DF4CF0">
        <w:rPr>
          <w:rFonts w:ascii="Cambria" w:eastAsiaTheme="minorEastAsia" w:hAnsi="Cambria" w:cs="Arial"/>
          <w:sz w:val="24"/>
          <w:szCs w:val="24"/>
        </w:rPr>
        <w:t>.</w:t>
      </w:r>
    </w:p>
    <w:p w14:paraId="35B3B9E6" w14:textId="41BE3B29"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eastAsiaTheme="minorEastAsia" w:hAnsi="Cambria" w:cs="Arial"/>
          <w:sz w:val="24"/>
          <w:szCs w:val="24"/>
        </w:rPr>
        <w:t xml:space="preserve">Sea G los beneficios generales obtenidos de un proceso de cooperación y de innovación expresada de la siguiente manera </w:t>
      </w:r>
      <w:sdt>
        <w:sdtPr>
          <w:rPr>
            <w:rFonts w:ascii="Cambria" w:eastAsiaTheme="minorEastAsia" w:hAnsi="Cambria" w:cs="Arial"/>
            <w:sz w:val="24"/>
            <w:szCs w:val="24"/>
          </w:rPr>
          <w:id w:val="-1051373483"/>
          <w:citation/>
        </w:sdtPr>
        <w:sdtEndPr/>
        <w:sdtContent>
          <w:r w:rsidR="005C7CB3" w:rsidRPr="00DF4CF0">
            <w:rPr>
              <w:rFonts w:ascii="Cambria" w:eastAsiaTheme="minorEastAsia" w:hAnsi="Cambria" w:cs="Arial"/>
              <w:sz w:val="24"/>
              <w:szCs w:val="24"/>
            </w:rPr>
            <w:fldChar w:fldCharType="begin"/>
          </w:r>
          <w:r w:rsidRPr="00DF4CF0">
            <w:rPr>
              <w:rFonts w:ascii="Cambria" w:eastAsiaTheme="minorEastAsia" w:hAnsi="Cambria" w:cs="Arial"/>
              <w:sz w:val="24"/>
              <w:szCs w:val="24"/>
            </w:rPr>
            <w:instrText xml:space="preserve">CITATION Gib93 \p 4 \l 5130 </w:instrText>
          </w:r>
          <w:r w:rsidR="005C7CB3" w:rsidRPr="00DF4CF0">
            <w:rPr>
              <w:rFonts w:ascii="Cambria" w:eastAsiaTheme="minorEastAsia" w:hAnsi="Cambria" w:cs="Arial"/>
              <w:sz w:val="24"/>
              <w:szCs w:val="24"/>
            </w:rPr>
            <w:fldChar w:fldCharType="separate"/>
          </w:r>
          <w:r w:rsidR="00AF1E1D" w:rsidRPr="00AF1E1D">
            <w:rPr>
              <w:rFonts w:ascii="Cambria" w:eastAsiaTheme="minorEastAsia" w:hAnsi="Cambria" w:cs="Arial"/>
              <w:noProof/>
              <w:sz w:val="24"/>
              <w:szCs w:val="24"/>
            </w:rPr>
            <w:t>(Gibbons, 1993, pág. 4)</w:t>
          </w:r>
          <w:r w:rsidR="005C7CB3" w:rsidRPr="00DF4CF0">
            <w:rPr>
              <w:rFonts w:ascii="Cambria" w:eastAsiaTheme="minorEastAsia" w:hAnsi="Cambria" w:cs="Arial"/>
              <w:sz w:val="24"/>
              <w:szCs w:val="24"/>
            </w:rPr>
            <w:fldChar w:fldCharType="end"/>
          </w:r>
        </w:sdtContent>
      </w:sdt>
      <w:r w:rsidRPr="00DF4CF0">
        <w:rPr>
          <w:rFonts w:ascii="Cambria" w:eastAsiaTheme="minorEastAsia" w:hAnsi="Cambria" w:cs="Arial"/>
          <w:sz w:val="24"/>
          <w:szCs w:val="24"/>
        </w:rPr>
        <w:t>:</w:t>
      </w:r>
    </w:p>
    <w:p w14:paraId="4AEF887E" w14:textId="77777777" w:rsidR="00EA207A" w:rsidRPr="00DF4CF0" w:rsidRDefault="00EA207A" w:rsidP="00EA207A">
      <w:pPr>
        <w:spacing w:line="240" w:lineRule="auto"/>
        <w:jc w:val="center"/>
        <w:rPr>
          <w:rFonts w:ascii="Cambria" w:eastAsiaTheme="minorEastAsia" w:hAnsi="Cambria" w:cs="Arial"/>
          <w:sz w:val="24"/>
          <w:szCs w:val="24"/>
        </w:rPr>
      </w:pPr>
      <w:r w:rsidRPr="00DF4CF0">
        <w:rPr>
          <w:rFonts w:ascii="Cambria" w:eastAsiaTheme="minorEastAsia" w:hAnsi="Cambria" w:cs="Arial"/>
          <w:sz w:val="24"/>
          <w:szCs w:val="24"/>
        </w:rPr>
        <w:t>G=</w:t>
      </w:r>
      <m:oMath>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v:</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X</m:t>
                </m:r>
              </m:e>
              <m:sup>
                <m:r>
                  <w:rPr>
                    <w:rFonts w:ascii="Cambria Math" w:eastAsiaTheme="minorEastAsia" w:hAnsi="Cambria Math" w:cs="Arial"/>
                    <w:sz w:val="24"/>
                    <w:szCs w:val="24"/>
                  </w:rPr>
                  <m:t>N</m:t>
                </m:r>
              </m:sup>
            </m:sSup>
            <m:r>
              <w:rPr>
                <w:rFonts w:ascii="Cambria Math" w:eastAsiaTheme="minorEastAsia" w:hAnsi="Cambria Math" w:cs="Arial"/>
                <w:sz w:val="24"/>
                <w:szCs w:val="24"/>
              </w:rPr>
              <m:t>→R; v</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m:t>
                </m:r>
              </m:e>
            </m:d>
            <m:r>
              <w:rPr>
                <w:rFonts w:ascii="Cambria Math" w:eastAsiaTheme="minorEastAsia" w:hAnsi="Cambria Math" w:cs="Arial"/>
                <w:sz w:val="24"/>
                <w:szCs w:val="24"/>
              </w:rPr>
              <m:t>=0</m:t>
            </m:r>
          </m:e>
        </m:d>
      </m:oMath>
    </w:p>
    <w:p w14:paraId="62541EBE" w14:textId="77777777"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eastAsiaTheme="minorEastAsia" w:hAnsi="Cambria" w:cs="Arial"/>
          <w:sz w:val="24"/>
          <w:szCs w:val="24"/>
        </w:rPr>
        <w:t xml:space="preserve">Sea G= (N,v)  una función que explica los beneficios transferibles de la cooperación y transición de conocimientos en las diferentes fases productivas, si N y v están especificados, por ende, un incremento de los participantes de la coalición hace que los beneficios de estos no disminuyan. </w:t>
      </w:r>
    </w:p>
    <w:p w14:paraId="502C381D" w14:textId="77777777"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eastAsiaTheme="minorEastAsia" w:hAnsi="Cambria" w:cs="Arial"/>
          <w:sz w:val="24"/>
          <w:szCs w:val="24"/>
        </w:rPr>
        <w:t xml:space="preserve">Se plantea x= (x1,x2,…,n) </w:t>
      </w:r>
      <m:oMath>
        <m:r>
          <w:rPr>
            <w:rFonts w:ascii="Cambria Math" w:eastAsiaTheme="minorEastAsia" w:hAnsi="Cambria Math" w:cs="Arial"/>
            <w:sz w:val="24"/>
            <w:szCs w:val="24"/>
          </w:rPr>
          <m:t>ϵ</m:t>
        </m:r>
      </m:oMath>
      <w:r w:rsidRPr="00DF4CF0">
        <w:rPr>
          <w:rFonts w:ascii="Cambria" w:eastAsiaTheme="minorEastAsia" w:hAnsi="Cambria" w:cs="Arial"/>
          <w:sz w:val="24"/>
          <w:szCs w:val="24"/>
        </w:rPr>
        <w:t xml:space="preserve"> R un vector de distribución de beneficios como producto de la cooperación que para cada i=1,2,…,n, y xi representa el beneficio que recibe el jugador i. para cualquier coalición. </w:t>
      </w:r>
    </w:p>
    <w:p w14:paraId="4B718940" w14:textId="77777777" w:rsidR="00EA207A" w:rsidRPr="00DF4CF0" w:rsidRDefault="00EA207A" w:rsidP="00EA207A">
      <w:pPr>
        <w:spacing w:line="240" w:lineRule="auto"/>
        <w:jc w:val="center"/>
        <w:rPr>
          <w:rFonts w:ascii="Cambria" w:eastAsiaTheme="minorEastAsia" w:hAnsi="Cambria" w:cs="Arial"/>
          <w:sz w:val="24"/>
          <w:szCs w:val="24"/>
        </w:rPr>
      </w:pPr>
      <w:r w:rsidRPr="00DF4CF0">
        <w:rPr>
          <w:rFonts w:ascii="Cambria" w:eastAsiaTheme="minorEastAsia" w:hAnsi="Cambria" w:cs="Arial"/>
          <w:sz w:val="24"/>
          <w:szCs w:val="24"/>
        </w:rPr>
        <w:lastRenderedPageBreak/>
        <w:t xml:space="preserve">x(S)= </w:t>
      </w:r>
      <m:oMath>
        <m:nary>
          <m:naryPr>
            <m:chr m:val="∑"/>
            <m:limLoc m:val="undOvr"/>
            <m:subHide m:val="1"/>
            <m:supHide m:val="1"/>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xi</m:t>
            </m:r>
          </m:e>
        </m:nary>
      </m:oMath>
    </w:p>
    <w:p w14:paraId="5DAB387C" w14:textId="77777777" w:rsidR="00EA207A" w:rsidRPr="00DF4CF0" w:rsidRDefault="00EA207A" w:rsidP="00EA207A">
      <w:pPr>
        <w:spacing w:line="240" w:lineRule="auto"/>
        <w:jc w:val="both"/>
        <w:rPr>
          <w:rFonts w:ascii="Cambria" w:eastAsiaTheme="minorEastAsia" w:hAnsi="Cambria" w:cs="Arial"/>
          <w:sz w:val="24"/>
          <w:szCs w:val="24"/>
        </w:rPr>
      </w:pPr>
      <w:r w:rsidRPr="00DF4CF0">
        <w:rPr>
          <w:rFonts w:ascii="Cambria" w:eastAsiaTheme="minorEastAsia" w:hAnsi="Cambria" w:cs="Arial"/>
          <w:sz w:val="24"/>
          <w:szCs w:val="24"/>
        </w:rPr>
        <w:t xml:space="preserve">Lo que implica, </w:t>
      </w:r>
    </w:p>
    <w:p w14:paraId="0CA2DDE4" w14:textId="77777777" w:rsidR="00EA207A" w:rsidRPr="00DF4CF0" w:rsidRDefault="00EA207A" w:rsidP="00EA207A">
      <w:pPr>
        <w:spacing w:line="240" w:lineRule="auto"/>
        <w:jc w:val="center"/>
        <w:rPr>
          <w:rFonts w:ascii="Cambria" w:eastAsiaTheme="minorEastAsia" w:hAnsi="Cambria" w:cs="Arial"/>
          <w:sz w:val="24"/>
          <w:szCs w:val="24"/>
        </w:rPr>
      </w:pPr>
      <w:r w:rsidRPr="00DF4CF0">
        <w:rPr>
          <w:rFonts w:ascii="Cambria" w:eastAsiaTheme="minorEastAsia" w:hAnsi="Cambria" w:cs="Arial"/>
          <w:sz w:val="24"/>
          <w:szCs w:val="24"/>
        </w:rPr>
        <w:t>x(J)=</w:t>
      </w:r>
      <m:oMath>
        <m:nary>
          <m:naryPr>
            <m:chr m:val="∑"/>
            <m:limLoc m:val="undOvr"/>
            <m:subHide m:val="1"/>
            <m:supHide m:val="1"/>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xi</m:t>
            </m:r>
          </m:e>
        </m:nary>
      </m:oMath>
    </w:p>
    <w:p w14:paraId="5F273C6F" w14:textId="77777777" w:rsidR="00EA207A" w:rsidRDefault="00EA207A" w:rsidP="00CD0361">
      <w:pPr>
        <w:spacing w:line="240" w:lineRule="auto"/>
        <w:ind w:firstLine="708"/>
        <w:jc w:val="both"/>
        <w:rPr>
          <w:rFonts w:ascii="Cambria" w:eastAsiaTheme="minorEastAsia" w:hAnsi="Cambria" w:cs="Arial"/>
          <w:sz w:val="24"/>
          <w:szCs w:val="24"/>
        </w:rPr>
      </w:pPr>
      <w:r w:rsidRPr="00DF4CF0">
        <w:rPr>
          <w:rFonts w:ascii="Cambria" w:eastAsiaTheme="minorEastAsia" w:hAnsi="Cambria" w:cs="Arial"/>
          <w:sz w:val="24"/>
          <w:szCs w:val="24"/>
        </w:rPr>
        <w:t xml:space="preserve">Que tiene que ser interpretado como la sumatoria de beneficios individuales que reciben los productores son iguales para toda la población, donde existen efectos positivos generales de la organización, lo que cumple que procesos de diferenciación llevados a cabo por los productores tienen impactos positivos en su producción como es el caso del instrumento jurídico de la DO. </w:t>
      </w:r>
    </w:p>
    <w:p w14:paraId="7F464889" w14:textId="2B8D72F2" w:rsidR="00CD0361" w:rsidRDefault="00CD0361" w:rsidP="00EA207A">
      <w:pPr>
        <w:spacing w:line="240" w:lineRule="auto"/>
        <w:jc w:val="both"/>
        <w:rPr>
          <w:rFonts w:ascii="Cambria" w:eastAsiaTheme="minorEastAsia" w:hAnsi="Cambria" w:cs="Arial"/>
          <w:sz w:val="24"/>
          <w:szCs w:val="24"/>
        </w:rPr>
      </w:pPr>
      <w:r>
        <w:rPr>
          <w:rFonts w:ascii="Cambria" w:eastAsiaTheme="minorEastAsia" w:hAnsi="Cambria" w:cs="Arial"/>
          <w:sz w:val="24"/>
          <w:szCs w:val="24"/>
        </w:rPr>
        <w:t xml:space="preserve">Es decir, teóricamente se plantea una diferenciación mediante una denominación de origen es una estrategia que a nivel individual podría aportar efectos positivos, y si más productores adquieren el distintivo, los beneficios crecen, se toma en consideración sus efectos en la cadena a la que forma parte la producción de café, para analizar las implicaciones teóricas de un cambio inicial en la fase e la cadena. </w:t>
      </w:r>
    </w:p>
    <w:p w14:paraId="2040DC86" w14:textId="7CDF7503" w:rsidR="003D5C22" w:rsidRPr="00AF1E1D" w:rsidRDefault="00266050" w:rsidP="00AF1E1D">
      <w:pPr>
        <w:pStyle w:val="Ttulo2"/>
        <w:rPr>
          <w:rFonts w:ascii="Cambria" w:eastAsiaTheme="minorEastAsia" w:hAnsi="Cambria"/>
          <w:b/>
          <w:sz w:val="24"/>
          <w:szCs w:val="24"/>
        </w:rPr>
      </w:pPr>
      <w:bookmarkStart w:id="70" w:name="_Toc527576952"/>
      <w:r>
        <w:rPr>
          <w:rFonts w:ascii="Cambria" w:eastAsiaTheme="minorEastAsia" w:hAnsi="Cambria"/>
          <w:b/>
          <w:color w:val="auto"/>
          <w:sz w:val="24"/>
          <w:szCs w:val="24"/>
        </w:rPr>
        <w:t xml:space="preserve">2.5 </w:t>
      </w:r>
      <w:r w:rsidR="00322C5A" w:rsidRPr="00AF1E1D">
        <w:rPr>
          <w:rFonts w:ascii="Cambria" w:eastAsiaTheme="minorEastAsia" w:hAnsi="Cambria"/>
          <w:b/>
          <w:color w:val="auto"/>
          <w:sz w:val="24"/>
          <w:szCs w:val="24"/>
        </w:rPr>
        <w:t xml:space="preserve">Desarrollo Local y </w:t>
      </w:r>
      <w:r w:rsidR="0009604A">
        <w:rPr>
          <w:rFonts w:ascii="Cambria" w:eastAsiaTheme="minorEastAsia" w:hAnsi="Cambria"/>
          <w:b/>
          <w:color w:val="auto"/>
          <w:sz w:val="24"/>
          <w:szCs w:val="24"/>
        </w:rPr>
        <w:t>Regional</w:t>
      </w:r>
      <w:r>
        <w:rPr>
          <w:rFonts w:ascii="Cambria" w:eastAsiaTheme="minorEastAsia" w:hAnsi="Cambria"/>
          <w:b/>
          <w:color w:val="auto"/>
          <w:sz w:val="24"/>
          <w:szCs w:val="24"/>
        </w:rPr>
        <w:t>: Debates Actuales</w:t>
      </w:r>
      <w:r w:rsidR="0009604A">
        <w:rPr>
          <w:rFonts w:ascii="Cambria" w:eastAsiaTheme="minorEastAsia" w:hAnsi="Cambria"/>
          <w:b/>
          <w:color w:val="auto"/>
          <w:sz w:val="24"/>
          <w:szCs w:val="24"/>
        </w:rPr>
        <w:t xml:space="preserve"> desde una perspectiva territorial</w:t>
      </w:r>
      <w:bookmarkEnd w:id="70"/>
      <w:r w:rsidR="0009604A">
        <w:rPr>
          <w:rFonts w:ascii="Cambria" w:eastAsiaTheme="minorEastAsia" w:hAnsi="Cambria"/>
          <w:b/>
          <w:color w:val="auto"/>
          <w:sz w:val="24"/>
          <w:szCs w:val="24"/>
        </w:rPr>
        <w:t xml:space="preserve"> </w:t>
      </w:r>
      <w:r>
        <w:rPr>
          <w:rFonts w:ascii="Cambria" w:eastAsiaTheme="minorEastAsia" w:hAnsi="Cambria"/>
          <w:b/>
          <w:color w:val="auto"/>
          <w:sz w:val="24"/>
          <w:szCs w:val="24"/>
        </w:rPr>
        <w:t xml:space="preserve"> </w:t>
      </w:r>
      <w:r w:rsidR="00322C5A" w:rsidRPr="00AF1E1D">
        <w:rPr>
          <w:rFonts w:ascii="Cambria" w:eastAsiaTheme="minorEastAsia" w:hAnsi="Cambria"/>
          <w:b/>
          <w:color w:val="auto"/>
          <w:sz w:val="24"/>
          <w:szCs w:val="24"/>
        </w:rPr>
        <w:t xml:space="preserve"> </w:t>
      </w:r>
    </w:p>
    <w:p w14:paraId="2BF7800D" w14:textId="5DD86097" w:rsidR="00322C5A" w:rsidRDefault="00322C5A">
      <w:pPr>
        <w:spacing w:line="240" w:lineRule="auto"/>
        <w:jc w:val="both"/>
        <w:rPr>
          <w:rFonts w:ascii="Cambria" w:eastAsiaTheme="minorEastAsia" w:hAnsi="Cambria" w:cs="Arial"/>
          <w:sz w:val="24"/>
          <w:szCs w:val="24"/>
        </w:rPr>
      </w:pPr>
      <w:r w:rsidRPr="00AF1E1D">
        <w:rPr>
          <w:rFonts w:ascii="Cambria" w:eastAsiaTheme="minorEastAsia" w:hAnsi="Cambria" w:cs="Arial"/>
          <w:sz w:val="24"/>
          <w:szCs w:val="24"/>
        </w:rPr>
        <w:t xml:space="preserve"> </w:t>
      </w:r>
      <w:r w:rsidR="00266050">
        <w:rPr>
          <w:rFonts w:ascii="Cambria" w:eastAsiaTheme="minorEastAsia" w:hAnsi="Cambria" w:cs="Arial"/>
          <w:sz w:val="24"/>
          <w:szCs w:val="24"/>
        </w:rPr>
        <w:tab/>
      </w:r>
      <w:r w:rsidRPr="00AF1E1D">
        <w:rPr>
          <w:rFonts w:ascii="Cambria" w:eastAsiaTheme="minorEastAsia" w:hAnsi="Cambria" w:cs="Arial"/>
          <w:sz w:val="24"/>
          <w:szCs w:val="24"/>
        </w:rPr>
        <w:t xml:space="preserve">En medio de la sintaxis anterior, es necesario realizar un analisis referente a la noción de </w:t>
      </w:r>
      <w:r w:rsidR="00102BE2">
        <w:rPr>
          <w:rFonts w:ascii="Cambria" w:eastAsiaTheme="minorEastAsia" w:hAnsi="Cambria" w:cs="Arial"/>
          <w:sz w:val="24"/>
          <w:szCs w:val="24"/>
        </w:rPr>
        <w:t xml:space="preserve">Desarrollo local y Regional con una perspectiva </w:t>
      </w:r>
      <w:r w:rsidRPr="00AF1E1D">
        <w:rPr>
          <w:rFonts w:ascii="Cambria" w:eastAsiaTheme="minorEastAsia" w:hAnsi="Cambria" w:cs="Arial"/>
          <w:sz w:val="24"/>
          <w:szCs w:val="24"/>
        </w:rPr>
        <w:t>territori</w:t>
      </w:r>
      <w:r w:rsidR="00102BE2">
        <w:rPr>
          <w:rFonts w:ascii="Cambria" w:eastAsiaTheme="minorEastAsia" w:hAnsi="Cambria" w:cs="Arial"/>
          <w:sz w:val="24"/>
          <w:szCs w:val="24"/>
        </w:rPr>
        <w:t>al</w:t>
      </w:r>
      <w:r w:rsidRPr="00AF1E1D">
        <w:rPr>
          <w:rFonts w:ascii="Cambria" w:eastAsiaTheme="minorEastAsia" w:hAnsi="Cambria" w:cs="Arial"/>
          <w:sz w:val="24"/>
          <w:szCs w:val="24"/>
        </w:rPr>
        <w:t xml:space="preserve">,  </w:t>
      </w:r>
      <w:r w:rsidR="00266050">
        <w:rPr>
          <w:rFonts w:ascii="Cambria" w:eastAsiaTheme="minorEastAsia" w:hAnsi="Cambria" w:cs="Arial"/>
          <w:sz w:val="24"/>
          <w:szCs w:val="24"/>
        </w:rPr>
        <w:t xml:space="preserve">partiendo de </w:t>
      </w:r>
      <w:r w:rsidRPr="00AF1E1D">
        <w:rPr>
          <w:rFonts w:ascii="Cambria" w:eastAsiaTheme="minorEastAsia" w:hAnsi="Cambria" w:cs="Arial"/>
          <w:sz w:val="24"/>
          <w:szCs w:val="24"/>
        </w:rPr>
        <w:t xml:space="preserve">antiguos conceptos o </w:t>
      </w:r>
      <w:r w:rsidR="00266050" w:rsidRPr="00322C5A">
        <w:rPr>
          <w:rFonts w:ascii="Cambria" w:eastAsiaTheme="minorEastAsia" w:hAnsi="Cambria" w:cs="Arial"/>
          <w:sz w:val="24"/>
          <w:szCs w:val="24"/>
        </w:rPr>
        <w:t>con</w:t>
      </w:r>
      <w:r w:rsidR="00266050">
        <w:rPr>
          <w:rFonts w:ascii="Cambria" w:eastAsiaTheme="minorEastAsia" w:hAnsi="Cambria" w:cs="Arial"/>
          <w:sz w:val="24"/>
          <w:szCs w:val="24"/>
        </w:rPr>
        <w:t>cepciones sobre el</w:t>
      </w:r>
      <w:r w:rsidRPr="00AF1E1D">
        <w:rPr>
          <w:rFonts w:ascii="Cambria" w:eastAsiaTheme="minorEastAsia" w:hAnsi="Cambria" w:cs="Arial"/>
          <w:sz w:val="24"/>
          <w:szCs w:val="24"/>
        </w:rPr>
        <w:t xml:space="preserve"> territorio</w:t>
      </w:r>
      <w:r w:rsidR="00266050">
        <w:rPr>
          <w:rFonts w:ascii="Cambria" w:eastAsiaTheme="minorEastAsia" w:hAnsi="Cambria" w:cs="Arial"/>
          <w:sz w:val="24"/>
          <w:szCs w:val="24"/>
        </w:rPr>
        <w:t xml:space="preserve"> </w:t>
      </w:r>
      <w:r w:rsidR="00FA74A3">
        <w:rPr>
          <w:rFonts w:ascii="Cambria" w:eastAsiaTheme="minorEastAsia" w:hAnsi="Cambria" w:cs="Arial"/>
          <w:sz w:val="24"/>
          <w:szCs w:val="24"/>
        </w:rPr>
        <w:t xml:space="preserve">para posteriormente construir una definición de desarrollo local que permitan explicar las dinámicas locales de un grupo de actores socioeconómicos. </w:t>
      </w:r>
      <w:r w:rsidRPr="00AF1E1D">
        <w:rPr>
          <w:rFonts w:ascii="Cambria" w:eastAsiaTheme="minorEastAsia" w:hAnsi="Cambria" w:cs="Arial"/>
          <w:sz w:val="24"/>
          <w:szCs w:val="24"/>
        </w:rPr>
        <w:t>Por consiguiente</w:t>
      </w:r>
      <w:r w:rsidR="00266050">
        <w:rPr>
          <w:rFonts w:ascii="Cambria" w:eastAsiaTheme="minorEastAsia" w:hAnsi="Cambria" w:cs="Arial"/>
          <w:sz w:val="24"/>
          <w:szCs w:val="24"/>
        </w:rPr>
        <w:t>,</w:t>
      </w:r>
      <w:r w:rsidRPr="00AF1E1D">
        <w:rPr>
          <w:rFonts w:ascii="Cambria" w:eastAsiaTheme="minorEastAsia" w:hAnsi="Cambria" w:cs="Arial"/>
          <w:sz w:val="24"/>
          <w:szCs w:val="24"/>
        </w:rPr>
        <w:t xml:space="preserve"> los territorios no se define</w:t>
      </w:r>
      <w:r w:rsidR="00266050">
        <w:rPr>
          <w:rFonts w:ascii="Cambria" w:eastAsiaTheme="minorEastAsia" w:hAnsi="Cambria" w:cs="Arial"/>
          <w:sz w:val="24"/>
          <w:szCs w:val="24"/>
        </w:rPr>
        <w:t>n</w:t>
      </w:r>
      <w:r w:rsidRPr="00AF1E1D">
        <w:rPr>
          <w:rFonts w:ascii="Cambria" w:eastAsiaTheme="minorEastAsia" w:hAnsi="Cambria" w:cs="Arial"/>
          <w:sz w:val="24"/>
          <w:szCs w:val="24"/>
        </w:rPr>
        <w:t xml:space="preserve"> por límites fisicos, si no por la naturaleza en como se producce y su interación social (Abromovay, 2006, pag 3.). </w:t>
      </w:r>
      <w:r w:rsidR="00266050">
        <w:rPr>
          <w:rFonts w:ascii="Cambria" w:eastAsiaTheme="minorEastAsia" w:hAnsi="Cambria" w:cs="Arial"/>
          <w:sz w:val="24"/>
          <w:szCs w:val="24"/>
        </w:rPr>
        <w:t xml:space="preserve"> L</w:t>
      </w:r>
      <w:r w:rsidRPr="00AF1E1D">
        <w:rPr>
          <w:rFonts w:ascii="Cambria" w:eastAsiaTheme="minorEastAsia" w:hAnsi="Cambria" w:cs="Arial"/>
          <w:sz w:val="24"/>
          <w:szCs w:val="24"/>
        </w:rPr>
        <w:t>a noción de territorio impide la confusión entre crecimiento económico y proceso de desarrollo.</w:t>
      </w:r>
      <w:r w:rsidR="00102BE2">
        <w:rPr>
          <w:rFonts w:ascii="Cambria" w:eastAsiaTheme="minorEastAsia" w:hAnsi="Cambria" w:cs="Arial"/>
          <w:sz w:val="24"/>
          <w:szCs w:val="24"/>
        </w:rPr>
        <w:t xml:space="preserve"> </w:t>
      </w:r>
    </w:p>
    <w:p w14:paraId="50FE6F60" w14:textId="5335EDE3" w:rsidR="00102BE2" w:rsidRPr="00AF1E1D" w:rsidRDefault="00102BE2" w:rsidP="00AF1E1D">
      <w:pPr>
        <w:spacing w:line="240" w:lineRule="auto"/>
        <w:jc w:val="both"/>
        <w:rPr>
          <w:rFonts w:ascii="Cambria" w:eastAsiaTheme="minorEastAsia" w:hAnsi="Cambria" w:cs="Arial"/>
          <w:sz w:val="24"/>
          <w:szCs w:val="24"/>
        </w:rPr>
      </w:pPr>
      <w:r>
        <w:rPr>
          <w:rFonts w:ascii="Cambria" w:eastAsiaTheme="minorEastAsia" w:hAnsi="Cambria" w:cs="Arial"/>
          <w:sz w:val="24"/>
          <w:szCs w:val="24"/>
        </w:rPr>
        <w:tab/>
        <w:t xml:space="preserve">Es decir, definir Desarrollo Local y Regional, implica necesariamente iniciar análisis referente a conceptos territoriales para explicar los diferentes dinámicas económicas sujetas a características propias de las unidades territoriales.  </w:t>
      </w:r>
    </w:p>
    <w:p w14:paraId="20342CA1" w14:textId="77777777" w:rsidR="00FA74A3" w:rsidRDefault="00322C5A" w:rsidP="00322C5A">
      <w:pPr>
        <w:spacing w:line="240" w:lineRule="auto"/>
        <w:jc w:val="both"/>
        <w:rPr>
          <w:rFonts w:ascii="Cambria" w:eastAsiaTheme="minorEastAsia" w:hAnsi="Cambria" w:cs="Arial"/>
          <w:sz w:val="24"/>
          <w:szCs w:val="24"/>
        </w:rPr>
      </w:pPr>
      <w:r w:rsidRPr="00AF1E1D">
        <w:rPr>
          <w:rFonts w:ascii="Cambria" w:eastAsiaTheme="minorEastAsia" w:hAnsi="Cambria" w:cs="Arial"/>
          <w:sz w:val="24"/>
          <w:szCs w:val="24"/>
        </w:rPr>
        <w:t xml:space="preserve"> </w:t>
      </w:r>
      <w:r w:rsidR="00266050">
        <w:rPr>
          <w:rFonts w:ascii="Cambria" w:eastAsiaTheme="minorEastAsia" w:hAnsi="Cambria" w:cs="Arial"/>
          <w:sz w:val="24"/>
          <w:szCs w:val="24"/>
        </w:rPr>
        <w:tab/>
      </w:r>
      <w:r w:rsidRPr="00AF1E1D">
        <w:rPr>
          <w:rFonts w:ascii="Cambria" w:eastAsiaTheme="minorEastAsia" w:hAnsi="Cambria" w:cs="Arial"/>
          <w:sz w:val="24"/>
          <w:szCs w:val="24"/>
        </w:rPr>
        <w:t xml:space="preserve">La nueva Sociología Económica ofrece una idea sobre el territorio, ya que plantea “el territorio está formado por un conjunto de lazos capaces de fortalecer la identidad de sus actores, el emprendimiento de acciones en común en base de la confianza que pudieron construir” (Abromovay, 2006, pag 8.)  Es mediante dicho enfoque que se realizan aportes importantes sobre la cooperación entre actores y en especial en sus capacidades basadas en ordenes sociales y sus relaciones con otros individuos.  Es por tanto, que la cooperación social tiene que ser entendida como “un resultado del intento de los diferentes grupos sociales de moldar sus reglas básicas” (Abromovay, 2006, pag 9.). </w:t>
      </w:r>
    </w:p>
    <w:p w14:paraId="2BF03A3F" w14:textId="379EBC19" w:rsidR="00322C5A" w:rsidRPr="00AF1E1D" w:rsidRDefault="00322C5A" w:rsidP="00AF1E1D">
      <w:pPr>
        <w:spacing w:line="240" w:lineRule="auto"/>
        <w:ind w:firstLine="708"/>
        <w:jc w:val="both"/>
        <w:rPr>
          <w:rFonts w:ascii="Cambria" w:eastAsiaTheme="minorEastAsia" w:hAnsi="Cambria" w:cs="Arial"/>
          <w:sz w:val="24"/>
          <w:szCs w:val="24"/>
        </w:rPr>
      </w:pPr>
      <w:r w:rsidRPr="00AF1E1D">
        <w:rPr>
          <w:rFonts w:ascii="Cambria" w:eastAsiaTheme="minorEastAsia" w:hAnsi="Cambria" w:cs="Arial"/>
          <w:sz w:val="24"/>
          <w:szCs w:val="24"/>
        </w:rPr>
        <w:t>En lo referente a los temas sobre el Desarrollo Territorial se observan diferentes enfoques entre ellos el institucionalismo económico y los de la  teoría de la localización, donde los enfoque</w:t>
      </w:r>
      <w:r w:rsidR="00FA74A3">
        <w:rPr>
          <w:rFonts w:ascii="Cambria" w:eastAsiaTheme="minorEastAsia" w:hAnsi="Cambria" w:cs="Arial"/>
          <w:sz w:val="24"/>
          <w:szCs w:val="24"/>
        </w:rPr>
        <w:t>s</w:t>
      </w:r>
      <w:r w:rsidRPr="00AF1E1D">
        <w:rPr>
          <w:rFonts w:ascii="Cambria" w:eastAsiaTheme="minorEastAsia" w:hAnsi="Cambria" w:cs="Arial"/>
          <w:sz w:val="24"/>
          <w:szCs w:val="24"/>
        </w:rPr>
        <w:t xml:space="preserve"> institucionalistas tienen como objeto de estudio el crear toda una institucionalidad que permite generar sinergias entre los actores locales heterogéneos </w:t>
      </w:r>
      <w:sdt>
        <w:sdtPr>
          <w:rPr>
            <w:rFonts w:ascii="Cambria" w:eastAsiaTheme="minorEastAsia" w:hAnsi="Cambria" w:cs="Arial"/>
            <w:sz w:val="24"/>
            <w:szCs w:val="24"/>
          </w:rPr>
          <w:id w:val="-1033967234"/>
          <w:citation/>
        </w:sdtPr>
        <w:sdtEndPr/>
        <w:sdtContent>
          <w:r w:rsidRPr="00AF1E1D">
            <w:rPr>
              <w:rFonts w:ascii="Cambria" w:eastAsiaTheme="minorEastAsia" w:hAnsi="Cambria" w:cs="Arial"/>
              <w:sz w:val="24"/>
              <w:szCs w:val="24"/>
            </w:rPr>
            <w:fldChar w:fldCharType="begin"/>
          </w:r>
          <w:r w:rsidRPr="00AF1E1D">
            <w:rPr>
              <w:rFonts w:ascii="Cambria" w:eastAsiaTheme="minorEastAsia" w:hAnsi="Cambria" w:cs="Arial"/>
              <w:sz w:val="24"/>
              <w:szCs w:val="24"/>
            </w:rPr>
            <w:instrText xml:space="preserve">CITATION Cor07 \p 128 \l 5130 </w:instrText>
          </w:r>
          <w:r w:rsidRPr="00AF1E1D">
            <w:rPr>
              <w:rFonts w:ascii="Cambria" w:eastAsiaTheme="minorEastAsia" w:hAnsi="Cambria" w:cs="Arial"/>
              <w:sz w:val="24"/>
              <w:szCs w:val="24"/>
            </w:rPr>
            <w:fldChar w:fldCharType="separate"/>
          </w:r>
          <w:r w:rsidR="00AF1E1D" w:rsidRPr="00AF1E1D">
            <w:rPr>
              <w:rFonts w:ascii="Cambria" w:eastAsiaTheme="minorEastAsia" w:hAnsi="Cambria" w:cs="Arial"/>
              <w:noProof/>
              <w:sz w:val="24"/>
              <w:szCs w:val="24"/>
            </w:rPr>
            <w:t>(Corenzo, 2007, pág. 128)</w:t>
          </w:r>
          <w:r w:rsidRPr="00AF1E1D">
            <w:rPr>
              <w:rFonts w:ascii="Cambria" w:eastAsiaTheme="minorEastAsia" w:hAnsi="Cambria" w:cs="Arial"/>
              <w:sz w:val="24"/>
              <w:szCs w:val="24"/>
            </w:rPr>
            <w:fldChar w:fldCharType="end"/>
          </w:r>
        </w:sdtContent>
      </w:sdt>
      <w:r w:rsidRPr="00AF1E1D">
        <w:rPr>
          <w:rFonts w:ascii="Cambria" w:eastAsiaTheme="minorEastAsia" w:hAnsi="Cambria" w:cs="Arial"/>
          <w:sz w:val="24"/>
          <w:szCs w:val="24"/>
        </w:rPr>
        <w:t xml:space="preserve"> y de la teoría de la localización se pueden destacar los beneficios de la concentración para la creación de economías a escala sobre los </w:t>
      </w:r>
      <w:r w:rsidRPr="00AF1E1D">
        <w:rPr>
          <w:rFonts w:ascii="Cambria" w:eastAsiaTheme="minorEastAsia" w:hAnsi="Cambria" w:cs="Arial"/>
          <w:sz w:val="24"/>
          <w:szCs w:val="24"/>
        </w:rPr>
        <w:lastRenderedPageBreak/>
        <w:t xml:space="preserve">territorios con características intrínsecas que pueden aportar ventajas comparativas que pueden generar cambios significativos en términos de competitividad y atracción de inversiones </w:t>
      </w:r>
      <w:sdt>
        <w:sdtPr>
          <w:rPr>
            <w:rFonts w:ascii="Cambria" w:eastAsiaTheme="minorEastAsia" w:hAnsi="Cambria" w:cs="Arial"/>
            <w:sz w:val="24"/>
            <w:szCs w:val="24"/>
          </w:rPr>
          <w:id w:val="-1989545558"/>
          <w:citation/>
        </w:sdtPr>
        <w:sdtEndPr/>
        <w:sdtContent>
          <w:r w:rsidRPr="00AF1E1D">
            <w:rPr>
              <w:rFonts w:ascii="Cambria" w:eastAsiaTheme="minorEastAsia" w:hAnsi="Cambria" w:cs="Arial"/>
              <w:sz w:val="24"/>
              <w:szCs w:val="24"/>
            </w:rPr>
            <w:fldChar w:fldCharType="begin"/>
          </w:r>
          <w:r w:rsidRPr="00AF1E1D">
            <w:rPr>
              <w:rFonts w:ascii="Cambria" w:eastAsiaTheme="minorEastAsia" w:hAnsi="Cambria" w:cs="Arial"/>
              <w:sz w:val="24"/>
              <w:szCs w:val="24"/>
            </w:rPr>
            <w:instrText xml:space="preserve">CITATION Cor07 \p 128 \l 5130 </w:instrText>
          </w:r>
          <w:r w:rsidRPr="00AF1E1D">
            <w:rPr>
              <w:rFonts w:ascii="Cambria" w:eastAsiaTheme="minorEastAsia" w:hAnsi="Cambria" w:cs="Arial"/>
              <w:sz w:val="24"/>
              <w:szCs w:val="24"/>
            </w:rPr>
            <w:fldChar w:fldCharType="separate"/>
          </w:r>
          <w:r w:rsidR="00AF1E1D" w:rsidRPr="00AF1E1D">
            <w:rPr>
              <w:rFonts w:ascii="Cambria" w:eastAsiaTheme="minorEastAsia" w:hAnsi="Cambria" w:cs="Arial"/>
              <w:noProof/>
              <w:sz w:val="24"/>
              <w:szCs w:val="24"/>
            </w:rPr>
            <w:t>(Corenzo, 2007, pág. 128)</w:t>
          </w:r>
          <w:r w:rsidRPr="00AF1E1D">
            <w:rPr>
              <w:rFonts w:ascii="Cambria" w:eastAsiaTheme="minorEastAsia" w:hAnsi="Cambria" w:cs="Arial"/>
              <w:sz w:val="24"/>
              <w:szCs w:val="24"/>
            </w:rPr>
            <w:fldChar w:fldCharType="end"/>
          </w:r>
        </w:sdtContent>
      </w:sdt>
      <w:r w:rsidRPr="00AF1E1D">
        <w:rPr>
          <w:rFonts w:ascii="Cambria" w:eastAsiaTheme="minorEastAsia" w:hAnsi="Cambria" w:cs="Arial"/>
          <w:sz w:val="24"/>
          <w:szCs w:val="24"/>
        </w:rPr>
        <w:t>.</w:t>
      </w:r>
    </w:p>
    <w:p w14:paraId="5C72BEB0" w14:textId="0E9A0E53" w:rsidR="00FA74A3" w:rsidRDefault="00322C5A" w:rsidP="00FA74A3">
      <w:pPr>
        <w:spacing w:line="240" w:lineRule="auto"/>
        <w:ind w:firstLine="708"/>
        <w:jc w:val="both"/>
        <w:rPr>
          <w:rFonts w:ascii="Cambria" w:eastAsiaTheme="minorEastAsia" w:hAnsi="Cambria" w:cs="Arial"/>
          <w:sz w:val="24"/>
          <w:szCs w:val="24"/>
        </w:rPr>
      </w:pPr>
      <w:r w:rsidRPr="00AF1E1D">
        <w:rPr>
          <w:rFonts w:ascii="Cambria" w:eastAsiaTheme="minorEastAsia" w:hAnsi="Cambria" w:cs="Arial"/>
          <w:sz w:val="24"/>
          <w:szCs w:val="24"/>
        </w:rPr>
        <w:t>Al realizar una revisión de lo que se ha desarrollado sobre el territorio se obtiene la siguiente definición “construcción social que remite a un proceso de construcción político-institucional, socio-productivo y simbólico-</w:t>
      </w:r>
      <w:r w:rsidR="00992225" w:rsidRPr="00AF1E1D">
        <w:rPr>
          <w:rFonts w:ascii="Cambria" w:eastAsiaTheme="minorEastAsia" w:hAnsi="Cambria" w:cs="Arial"/>
          <w:sz w:val="24"/>
          <w:szCs w:val="24"/>
        </w:rPr>
        <w:t>identitario</w:t>
      </w:r>
      <w:r w:rsidRPr="00AF1E1D">
        <w:rPr>
          <w:rFonts w:ascii="Cambria" w:eastAsiaTheme="minorEastAsia" w:hAnsi="Cambria" w:cs="Arial"/>
          <w:sz w:val="24"/>
          <w:szCs w:val="24"/>
        </w:rPr>
        <w:t xml:space="preserve"> donde distintos niveles jurisdiccionales, actores y sectores productivos interrelaciónales confluyen y constituyen un entramado de relaciones en lugar determinado”  </w:t>
      </w:r>
      <w:sdt>
        <w:sdtPr>
          <w:rPr>
            <w:rFonts w:ascii="Cambria" w:eastAsiaTheme="minorEastAsia" w:hAnsi="Cambria" w:cs="Arial"/>
            <w:sz w:val="24"/>
            <w:szCs w:val="24"/>
          </w:rPr>
          <w:id w:val="1045791911"/>
          <w:citation/>
        </w:sdtPr>
        <w:sdtEndPr/>
        <w:sdtContent>
          <w:r w:rsidRPr="00AF1E1D">
            <w:rPr>
              <w:rFonts w:ascii="Cambria" w:eastAsiaTheme="minorEastAsia" w:hAnsi="Cambria" w:cs="Arial"/>
              <w:sz w:val="24"/>
              <w:szCs w:val="24"/>
            </w:rPr>
            <w:fldChar w:fldCharType="begin"/>
          </w:r>
          <w:r w:rsidRPr="00AF1E1D">
            <w:rPr>
              <w:rFonts w:ascii="Cambria" w:eastAsiaTheme="minorEastAsia" w:hAnsi="Cambria" w:cs="Arial"/>
              <w:sz w:val="24"/>
              <w:szCs w:val="24"/>
            </w:rPr>
            <w:instrText xml:space="preserve">CITATION Cas08 \p 5 \l 5130 </w:instrText>
          </w:r>
          <w:r w:rsidRPr="00AF1E1D">
            <w:rPr>
              <w:rFonts w:ascii="Cambria" w:eastAsiaTheme="minorEastAsia" w:hAnsi="Cambria" w:cs="Arial"/>
              <w:sz w:val="24"/>
              <w:szCs w:val="24"/>
            </w:rPr>
            <w:fldChar w:fldCharType="separate"/>
          </w:r>
          <w:r w:rsidR="00AF1E1D" w:rsidRPr="00AF1E1D">
            <w:rPr>
              <w:rFonts w:ascii="Cambria" w:eastAsiaTheme="minorEastAsia" w:hAnsi="Cambria" w:cs="Arial"/>
              <w:noProof/>
              <w:sz w:val="24"/>
              <w:szCs w:val="24"/>
            </w:rPr>
            <w:t>(Casalis, 2008, pág. 5)</w:t>
          </w:r>
          <w:r w:rsidRPr="00AF1E1D">
            <w:rPr>
              <w:rFonts w:ascii="Cambria" w:eastAsiaTheme="minorEastAsia" w:hAnsi="Cambria" w:cs="Arial"/>
              <w:sz w:val="24"/>
              <w:szCs w:val="24"/>
            </w:rPr>
            <w:fldChar w:fldCharType="end"/>
          </w:r>
        </w:sdtContent>
      </w:sdt>
      <w:r w:rsidR="00FA74A3">
        <w:rPr>
          <w:rFonts w:ascii="Cambria" w:eastAsiaTheme="minorEastAsia" w:hAnsi="Cambria" w:cs="Arial"/>
          <w:sz w:val="24"/>
          <w:szCs w:val="24"/>
        </w:rPr>
        <w:t>.  P</w:t>
      </w:r>
      <w:r w:rsidRPr="00AF1E1D">
        <w:rPr>
          <w:rFonts w:ascii="Cambria" w:eastAsiaTheme="minorEastAsia" w:hAnsi="Cambria" w:cs="Arial"/>
          <w:sz w:val="24"/>
          <w:szCs w:val="24"/>
        </w:rPr>
        <w:t xml:space="preserve">or consiguiente, territorio implica “un conjunto de recursos humanos, sociales, económicos y de las relaciones que se producen entre ellos, no solo el espacio en la que se producen los hechos sino donde también se generan las dispuesta, es decir, es el resultado de un proceso de construcción social, político y simbólico”. </w:t>
      </w:r>
      <w:sdt>
        <w:sdtPr>
          <w:rPr>
            <w:rFonts w:ascii="Cambria" w:eastAsiaTheme="minorEastAsia" w:hAnsi="Cambria" w:cs="Arial"/>
            <w:sz w:val="24"/>
            <w:szCs w:val="24"/>
          </w:rPr>
          <w:id w:val="1734044350"/>
          <w:citation/>
        </w:sdtPr>
        <w:sdtEndPr/>
        <w:sdtContent>
          <w:r w:rsidRPr="00AF1E1D">
            <w:rPr>
              <w:rFonts w:ascii="Cambria" w:eastAsiaTheme="minorEastAsia" w:hAnsi="Cambria" w:cs="Arial"/>
              <w:sz w:val="24"/>
              <w:szCs w:val="24"/>
            </w:rPr>
            <w:fldChar w:fldCharType="begin"/>
          </w:r>
          <w:r w:rsidRPr="00AF1E1D">
            <w:rPr>
              <w:rFonts w:ascii="Cambria" w:eastAsiaTheme="minorEastAsia" w:hAnsi="Cambria" w:cs="Arial"/>
              <w:sz w:val="24"/>
              <w:szCs w:val="24"/>
            </w:rPr>
            <w:instrText xml:space="preserve">CITATION Cas08 \p 5 \l 5130 </w:instrText>
          </w:r>
          <w:r w:rsidRPr="00AF1E1D">
            <w:rPr>
              <w:rFonts w:ascii="Cambria" w:eastAsiaTheme="minorEastAsia" w:hAnsi="Cambria" w:cs="Arial"/>
              <w:sz w:val="24"/>
              <w:szCs w:val="24"/>
            </w:rPr>
            <w:fldChar w:fldCharType="separate"/>
          </w:r>
          <w:r w:rsidR="00AF1E1D" w:rsidRPr="00AF1E1D">
            <w:rPr>
              <w:rFonts w:ascii="Cambria" w:eastAsiaTheme="minorEastAsia" w:hAnsi="Cambria" w:cs="Arial"/>
              <w:noProof/>
              <w:sz w:val="24"/>
              <w:szCs w:val="24"/>
            </w:rPr>
            <w:t>(Casalis, 2008, pág. 5)</w:t>
          </w:r>
          <w:r w:rsidRPr="00AF1E1D">
            <w:rPr>
              <w:rFonts w:ascii="Cambria" w:eastAsiaTheme="minorEastAsia" w:hAnsi="Cambria" w:cs="Arial"/>
              <w:sz w:val="24"/>
              <w:szCs w:val="24"/>
            </w:rPr>
            <w:fldChar w:fldCharType="end"/>
          </w:r>
        </w:sdtContent>
      </w:sdt>
      <w:r w:rsidRPr="00AF1E1D">
        <w:rPr>
          <w:rFonts w:ascii="Cambria" w:eastAsiaTheme="minorEastAsia" w:hAnsi="Cambria" w:cs="Arial"/>
          <w:sz w:val="24"/>
          <w:szCs w:val="24"/>
        </w:rPr>
        <w:t>.</w:t>
      </w:r>
    </w:p>
    <w:p w14:paraId="5662E3F3" w14:textId="12CB4A3B" w:rsidR="00FA74A3" w:rsidRDefault="00322C5A" w:rsidP="00FA74A3">
      <w:pPr>
        <w:spacing w:line="240" w:lineRule="auto"/>
        <w:ind w:firstLine="708"/>
        <w:jc w:val="both"/>
        <w:rPr>
          <w:rFonts w:ascii="Cambria" w:eastAsiaTheme="minorEastAsia" w:hAnsi="Cambria" w:cs="Arial"/>
          <w:sz w:val="24"/>
          <w:szCs w:val="24"/>
        </w:rPr>
      </w:pPr>
      <w:r w:rsidRPr="00AF1E1D">
        <w:rPr>
          <w:rFonts w:ascii="Cambria" w:eastAsiaTheme="minorEastAsia" w:hAnsi="Cambria" w:cs="Arial"/>
          <w:sz w:val="24"/>
          <w:szCs w:val="24"/>
        </w:rPr>
        <w:t xml:space="preserve">Con base a lo anterior, actualmente se observa como los gobiernos transfieren funciones a gobiernos locales, </w:t>
      </w:r>
      <w:r w:rsidR="00C46E82" w:rsidRPr="00AF1E1D">
        <w:rPr>
          <w:rFonts w:ascii="Cambria" w:eastAsiaTheme="minorEastAsia" w:hAnsi="Cambria" w:cs="Arial"/>
          <w:sz w:val="24"/>
          <w:szCs w:val="24"/>
        </w:rPr>
        <w:t>también</w:t>
      </w:r>
      <w:r w:rsidRPr="00AF1E1D">
        <w:rPr>
          <w:rFonts w:ascii="Cambria" w:eastAsiaTheme="minorEastAsia" w:hAnsi="Cambria" w:cs="Arial"/>
          <w:sz w:val="24"/>
          <w:szCs w:val="24"/>
        </w:rPr>
        <w:t xml:space="preserve"> por otra variedad de razones los territorios </w:t>
      </w:r>
      <w:r w:rsidR="00C46E82" w:rsidRPr="00AF1E1D">
        <w:rPr>
          <w:rFonts w:ascii="Cambria" w:eastAsiaTheme="minorEastAsia" w:hAnsi="Cambria" w:cs="Arial"/>
          <w:sz w:val="24"/>
          <w:szCs w:val="24"/>
        </w:rPr>
        <w:t>están</w:t>
      </w:r>
      <w:r w:rsidRPr="00AF1E1D">
        <w:rPr>
          <w:rFonts w:ascii="Cambria" w:eastAsiaTheme="minorEastAsia" w:hAnsi="Cambria" w:cs="Arial"/>
          <w:sz w:val="24"/>
          <w:szCs w:val="24"/>
        </w:rPr>
        <w:t xml:space="preserve"> siendo </w:t>
      </w:r>
      <w:r w:rsidR="00C46E82" w:rsidRPr="00AF1E1D">
        <w:rPr>
          <w:rFonts w:ascii="Cambria" w:eastAsiaTheme="minorEastAsia" w:hAnsi="Cambria" w:cs="Arial"/>
          <w:sz w:val="24"/>
          <w:szCs w:val="24"/>
        </w:rPr>
        <w:t>rev</w:t>
      </w:r>
      <w:r w:rsidR="00C46E82">
        <w:rPr>
          <w:rFonts w:ascii="Cambria" w:eastAsiaTheme="minorEastAsia" w:hAnsi="Cambria" w:cs="Arial"/>
          <w:sz w:val="24"/>
          <w:szCs w:val="24"/>
        </w:rPr>
        <w:t>a</w:t>
      </w:r>
      <w:r w:rsidR="00C46E82" w:rsidRPr="00AF1E1D">
        <w:rPr>
          <w:rFonts w:ascii="Cambria" w:eastAsiaTheme="minorEastAsia" w:hAnsi="Cambria" w:cs="Arial"/>
          <w:sz w:val="24"/>
          <w:szCs w:val="24"/>
        </w:rPr>
        <w:t>l</w:t>
      </w:r>
      <w:r w:rsidR="00C46E82">
        <w:rPr>
          <w:rFonts w:ascii="Cambria" w:eastAsiaTheme="minorEastAsia" w:hAnsi="Cambria" w:cs="Arial"/>
          <w:sz w:val="24"/>
          <w:szCs w:val="24"/>
        </w:rPr>
        <w:t>o</w:t>
      </w:r>
      <w:r w:rsidR="00C46E82" w:rsidRPr="00AF1E1D">
        <w:rPr>
          <w:rFonts w:ascii="Cambria" w:eastAsiaTheme="minorEastAsia" w:hAnsi="Cambria" w:cs="Arial"/>
          <w:sz w:val="24"/>
          <w:szCs w:val="24"/>
        </w:rPr>
        <w:t>riza</w:t>
      </w:r>
      <w:r w:rsidR="00C46E82">
        <w:rPr>
          <w:rFonts w:ascii="Cambria" w:eastAsiaTheme="minorEastAsia" w:hAnsi="Cambria" w:cs="Arial"/>
          <w:sz w:val="24"/>
          <w:szCs w:val="24"/>
        </w:rPr>
        <w:t>d</w:t>
      </w:r>
      <w:r w:rsidR="00C46E82" w:rsidRPr="00AF1E1D">
        <w:rPr>
          <w:rFonts w:ascii="Cambria" w:eastAsiaTheme="minorEastAsia" w:hAnsi="Cambria" w:cs="Arial"/>
          <w:sz w:val="24"/>
          <w:szCs w:val="24"/>
        </w:rPr>
        <w:t>os</w:t>
      </w:r>
      <w:r w:rsidRPr="00AF1E1D">
        <w:rPr>
          <w:rFonts w:ascii="Cambria" w:eastAsiaTheme="minorEastAsia" w:hAnsi="Cambria" w:cs="Arial"/>
          <w:sz w:val="24"/>
          <w:szCs w:val="24"/>
        </w:rPr>
        <w:t xml:space="preserve"> en la globalización, tanto que son el nuevo referente para la competencia internacional por capital, tecnología y mercados, por tanto existe una marcada </w:t>
      </w:r>
      <w:r w:rsidR="00C46E82" w:rsidRPr="00AF1E1D">
        <w:rPr>
          <w:rFonts w:ascii="Cambria" w:eastAsiaTheme="minorEastAsia" w:hAnsi="Cambria" w:cs="Arial"/>
          <w:sz w:val="24"/>
          <w:szCs w:val="24"/>
        </w:rPr>
        <w:t>reasignación</w:t>
      </w:r>
      <w:r w:rsidRPr="00AF1E1D">
        <w:rPr>
          <w:rFonts w:ascii="Cambria" w:eastAsiaTheme="minorEastAsia" w:hAnsi="Cambria" w:cs="Arial"/>
          <w:sz w:val="24"/>
          <w:szCs w:val="24"/>
        </w:rPr>
        <w:t xml:space="preserve"> de responsabilidades, en donde el gobierno se limita a </w:t>
      </w:r>
      <w:r w:rsidR="00C46E82" w:rsidRPr="00AF1E1D">
        <w:rPr>
          <w:rFonts w:ascii="Cambria" w:eastAsiaTheme="minorEastAsia" w:hAnsi="Cambria" w:cs="Arial"/>
          <w:sz w:val="24"/>
          <w:szCs w:val="24"/>
        </w:rPr>
        <w:t>políticas</w:t>
      </w:r>
      <w:r w:rsidRPr="00AF1E1D">
        <w:rPr>
          <w:rFonts w:ascii="Cambria" w:eastAsiaTheme="minorEastAsia" w:hAnsi="Cambria" w:cs="Arial"/>
          <w:sz w:val="24"/>
          <w:szCs w:val="24"/>
        </w:rPr>
        <w:t xml:space="preserve"> meramente macroeconómicas (política Fiscal, Monetaria) dejando a potestad  de los gobiernos locales el desarrollo y el crecimiento económico.  Es decir, los territorios son los responsables de activar factores para el crecimiento económico y el desarrollo de entes territoriales. </w:t>
      </w:r>
    </w:p>
    <w:p w14:paraId="6C099A54" w14:textId="69FBCBB6" w:rsidR="00322C5A" w:rsidRPr="00AF1E1D" w:rsidRDefault="00322C5A" w:rsidP="00AF1E1D">
      <w:pPr>
        <w:spacing w:line="240" w:lineRule="auto"/>
        <w:ind w:firstLine="708"/>
        <w:jc w:val="both"/>
        <w:rPr>
          <w:rFonts w:ascii="Cambria" w:eastAsiaTheme="minorEastAsia" w:hAnsi="Cambria" w:cs="Arial"/>
          <w:sz w:val="24"/>
          <w:szCs w:val="24"/>
        </w:rPr>
      </w:pPr>
      <w:r w:rsidRPr="00AF1E1D">
        <w:rPr>
          <w:rFonts w:ascii="Cambria" w:eastAsiaTheme="minorEastAsia" w:hAnsi="Cambria" w:cs="Arial"/>
          <w:sz w:val="24"/>
          <w:szCs w:val="24"/>
        </w:rPr>
        <w:t xml:space="preserve">Es mediante el </w:t>
      </w:r>
      <w:r w:rsidR="00C46E82" w:rsidRPr="00AF1E1D">
        <w:rPr>
          <w:rFonts w:ascii="Cambria" w:eastAsiaTheme="minorEastAsia" w:hAnsi="Cambria" w:cs="Arial"/>
          <w:sz w:val="24"/>
          <w:szCs w:val="24"/>
        </w:rPr>
        <w:t>análisis</w:t>
      </w:r>
      <w:r w:rsidRPr="00AF1E1D">
        <w:rPr>
          <w:rFonts w:ascii="Cambria" w:eastAsiaTheme="minorEastAsia" w:hAnsi="Cambria" w:cs="Arial"/>
          <w:sz w:val="24"/>
          <w:szCs w:val="24"/>
        </w:rPr>
        <w:t xml:space="preserve"> de la descentralización en los territorios, cuando surge otro concepto de importancia, el de Desarrollo </w:t>
      </w:r>
      <w:r w:rsidR="00FA74A3" w:rsidRPr="00322C5A">
        <w:rPr>
          <w:rFonts w:ascii="Cambria" w:eastAsiaTheme="minorEastAsia" w:hAnsi="Cambria" w:cs="Arial"/>
          <w:sz w:val="24"/>
          <w:szCs w:val="24"/>
        </w:rPr>
        <w:t>Endógeno</w:t>
      </w:r>
      <w:r w:rsidRPr="00AF1E1D">
        <w:rPr>
          <w:rFonts w:ascii="Cambria" w:eastAsiaTheme="minorEastAsia" w:hAnsi="Cambria" w:cs="Arial"/>
          <w:sz w:val="24"/>
          <w:szCs w:val="24"/>
        </w:rPr>
        <w:t xml:space="preserve"> </w:t>
      </w:r>
      <w:r w:rsidR="00FA74A3">
        <w:rPr>
          <w:rFonts w:ascii="Cambria" w:eastAsiaTheme="minorEastAsia" w:hAnsi="Cambria" w:cs="Arial"/>
          <w:sz w:val="24"/>
          <w:szCs w:val="24"/>
        </w:rPr>
        <w:t xml:space="preserve">donde los </w:t>
      </w:r>
      <w:r w:rsidRPr="00AF1E1D">
        <w:rPr>
          <w:rFonts w:ascii="Cambria" w:eastAsiaTheme="minorEastAsia" w:hAnsi="Cambria" w:cs="Arial"/>
          <w:sz w:val="24"/>
          <w:szCs w:val="24"/>
        </w:rPr>
        <w:t xml:space="preserve">territorios locales adquieren un mayor protagonismo en </w:t>
      </w:r>
      <w:r w:rsidR="00C46E82" w:rsidRPr="00AF1E1D">
        <w:rPr>
          <w:rFonts w:ascii="Cambria" w:eastAsiaTheme="minorEastAsia" w:hAnsi="Cambria" w:cs="Arial"/>
          <w:sz w:val="24"/>
          <w:szCs w:val="24"/>
        </w:rPr>
        <w:t>ámbitos</w:t>
      </w:r>
      <w:r w:rsidRPr="00AF1E1D">
        <w:rPr>
          <w:rFonts w:ascii="Cambria" w:eastAsiaTheme="minorEastAsia" w:hAnsi="Cambria" w:cs="Arial"/>
          <w:sz w:val="24"/>
          <w:szCs w:val="24"/>
        </w:rPr>
        <w:t xml:space="preserve"> </w:t>
      </w:r>
      <w:r w:rsidR="00C46E82" w:rsidRPr="00AF1E1D">
        <w:rPr>
          <w:rFonts w:ascii="Cambria" w:eastAsiaTheme="minorEastAsia" w:hAnsi="Cambria" w:cs="Arial"/>
          <w:sz w:val="24"/>
          <w:szCs w:val="24"/>
        </w:rPr>
        <w:t>específicos</w:t>
      </w:r>
      <w:r w:rsidRPr="00AF1E1D">
        <w:rPr>
          <w:rFonts w:ascii="Cambria" w:eastAsiaTheme="minorEastAsia" w:hAnsi="Cambria" w:cs="Arial"/>
          <w:sz w:val="24"/>
          <w:szCs w:val="24"/>
        </w:rPr>
        <w:t xml:space="preserve"> de crecimiento y bienestar (Madoery, 2008, pag 59.).  </w:t>
      </w:r>
      <w:r w:rsidR="00120BC5">
        <w:rPr>
          <w:rFonts w:ascii="Cambria" w:eastAsiaTheme="minorEastAsia" w:hAnsi="Cambria" w:cs="Arial"/>
          <w:sz w:val="24"/>
          <w:szCs w:val="24"/>
        </w:rPr>
        <w:t xml:space="preserve">Por ende, </w:t>
      </w:r>
      <w:r w:rsidRPr="00AF1E1D">
        <w:rPr>
          <w:rFonts w:ascii="Cambria" w:eastAsiaTheme="minorEastAsia" w:hAnsi="Cambria" w:cs="Arial"/>
          <w:sz w:val="24"/>
          <w:szCs w:val="24"/>
        </w:rPr>
        <w:t xml:space="preserve">Moderey (2008) sustenta que cambios en las sociedades contemporáneas implican una serie de </w:t>
      </w:r>
      <w:r w:rsidR="00C46E82" w:rsidRPr="00AF1E1D">
        <w:rPr>
          <w:rFonts w:ascii="Cambria" w:eastAsiaTheme="minorEastAsia" w:hAnsi="Cambria" w:cs="Arial"/>
          <w:sz w:val="24"/>
          <w:szCs w:val="24"/>
        </w:rPr>
        <w:t>consecuencias</w:t>
      </w:r>
      <w:r w:rsidRPr="00AF1E1D">
        <w:rPr>
          <w:rFonts w:ascii="Cambria" w:eastAsiaTheme="minorEastAsia" w:hAnsi="Cambria" w:cs="Arial"/>
          <w:sz w:val="24"/>
          <w:szCs w:val="24"/>
        </w:rPr>
        <w:t xml:space="preserve"> qu</w:t>
      </w:r>
      <w:r w:rsidR="00C46E82">
        <w:rPr>
          <w:rFonts w:ascii="Cambria" w:eastAsiaTheme="minorEastAsia" w:hAnsi="Cambria" w:cs="Arial"/>
          <w:sz w:val="24"/>
          <w:szCs w:val="24"/>
        </w:rPr>
        <w:t>e</w:t>
      </w:r>
      <w:r w:rsidRPr="00AF1E1D">
        <w:rPr>
          <w:rFonts w:ascii="Cambria" w:eastAsiaTheme="minorEastAsia" w:hAnsi="Cambria" w:cs="Arial"/>
          <w:sz w:val="24"/>
          <w:szCs w:val="24"/>
        </w:rPr>
        <w:t xml:space="preserve"> afectan el concepto de territorio, y a la vez una reformulación del concepto de Desarrollo. </w:t>
      </w:r>
      <w:r w:rsidR="00120BC5">
        <w:rPr>
          <w:rFonts w:ascii="Cambria" w:eastAsiaTheme="minorEastAsia" w:hAnsi="Cambria" w:cs="Arial"/>
          <w:sz w:val="24"/>
          <w:szCs w:val="24"/>
        </w:rPr>
        <w:t xml:space="preserve">  </w:t>
      </w:r>
      <w:r w:rsidRPr="00AF1E1D">
        <w:rPr>
          <w:rFonts w:ascii="Cambria" w:eastAsiaTheme="minorEastAsia" w:hAnsi="Cambria" w:cs="Arial"/>
          <w:sz w:val="24"/>
          <w:szCs w:val="24"/>
        </w:rPr>
        <w:t xml:space="preserve">Surgen definiciones </w:t>
      </w:r>
      <w:r w:rsidR="00120BC5">
        <w:rPr>
          <w:rFonts w:ascii="Cambria" w:eastAsiaTheme="minorEastAsia" w:hAnsi="Cambria" w:cs="Arial"/>
          <w:sz w:val="24"/>
          <w:szCs w:val="24"/>
        </w:rPr>
        <w:t xml:space="preserve">como la </w:t>
      </w:r>
      <w:r w:rsidRPr="00AF1E1D">
        <w:rPr>
          <w:rFonts w:ascii="Cambria" w:eastAsiaTheme="minorEastAsia" w:hAnsi="Cambria" w:cs="Arial"/>
          <w:sz w:val="24"/>
          <w:szCs w:val="24"/>
        </w:rPr>
        <w:t xml:space="preserve">capacidad para transformar el sistema </w:t>
      </w:r>
      <w:r w:rsidR="00C46E82" w:rsidRPr="00AF1E1D">
        <w:rPr>
          <w:rFonts w:ascii="Cambria" w:eastAsiaTheme="minorEastAsia" w:hAnsi="Cambria" w:cs="Arial"/>
          <w:sz w:val="24"/>
          <w:szCs w:val="24"/>
        </w:rPr>
        <w:t>socioeconómico</w:t>
      </w:r>
      <w:r w:rsidRPr="00AF1E1D">
        <w:rPr>
          <w:rFonts w:ascii="Cambria" w:eastAsiaTheme="minorEastAsia" w:hAnsi="Cambria" w:cs="Arial"/>
          <w:sz w:val="24"/>
          <w:szCs w:val="24"/>
        </w:rPr>
        <w:t xml:space="preserve">, la habilidad para reaccionar a los </w:t>
      </w:r>
      <w:r w:rsidR="00C46E82" w:rsidRPr="00AF1E1D">
        <w:rPr>
          <w:rFonts w:ascii="Cambria" w:eastAsiaTheme="minorEastAsia" w:hAnsi="Cambria" w:cs="Arial"/>
          <w:sz w:val="24"/>
          <w:szCs w:val="24"/>
        </w:rPr>
        <w:t>desafíos</w:t>
      </w:r>
      <w:r w:rsidRPr="00AF1E1D">
        <w:rPr>
          <w:rFonts w:ascii="Cambria" w:eastAsiaTheme="minorEastAsia" w:hAnsi="Cambria" w:cs="Arial"/>
          <w:sz w:val="24"/>
          <w:szCs w:val="24"/>
        </w:rPr>
        <w:t xml:space="preserve"> externos y promover el aprendizaje social, así como la habilidad para </w:t>
      </w:r>
      <w:r w:rsidR="00C46E82" w:rsidRPr="00AF1E1D">
        <w:rPr>
          <w:rFonts w:ascii="Cambria" w:eastAsiaTheme="minorEastAsia" w:hAnsi="Cambria" w:cs="Arial"/>
          <w:sz w:val="24"/>
          <w:szCs w:val="24"/>
        </w:rPr>
        <w:t>introducir</w:t>
      </w:r>
      <w:r w:rsidRPr="00AF1E1D">
        <w:rPr>
          <w:rFonts w:ascii="Cambria" w:eastAsiaTheme="minorEastAsia" w:hAnsi="Cambria" w:cs="Arial"/>
          <w:sz w:val="24"/>
          <w:szCs w:val="24"/>
        </w:rPr>
        <w:t xml:space="preserve"> formas </w:t>
      </w:r>
      <w:r w:rsidR="00C46E82" w:rsidRPr="00AF1E1D">
        <w:rPr>
          <w:rFonts w:ascii="Cambria" w:eastAsiaTheme="minorEastAsia" w:hAnsi="Cambria" w:cs="Arial"/>
          <w:sz w:val="24"/>
          <w:szCs w:val="24"/>
        </w:rPr>
        <w:t>específicas</w:t>
      </w:r>
      <w:r w:rsidRPr="00AF1E1D">
        <w:rPr>
          <w:rFonts w:ascii="Cambria" w:eastAsiaTheme="minorEastAsia" w:hAnsi="Cambria" w:cs="Arial"/>
          <w:sz w:val="24"/>
          <w:szCs w:val="24"/>
        </w:rPr>
        <w:t xml:space="preserve"> de regulación social local</w:t>
      </w:r>
      <w:r w:rsidR="00120BC5">
        <w:rPr>
          <w:rFonts w:ascii="Cambria" w:eastAsiaTheme="minorEastAsia" w:hAnsi="Cambria" w:cs="Arial"/>
          <w:sz w:val="24"/>
          <w:szCs w:val="24"/>
        </w:rPr>
        <w:t>.</w:t>
      </w:r>
    </w:p>
    <w:p w14:paraId="4772899E" w14:textId="41FB1303" w:rsidR="00322C5A" w:rsidRPr="00AF1E1D" w:rsidRDefault="00322C5A" w:rsidP="00AF1E1D">
      <w:pPr>
        <w:spacing w:line="240" w:lineRule="auto"/>
        <w:ind w:firstLine="708"/>
        <w:jc w:val="both"/>
        <w:rPr>
          <w:rFonts w:ascii="Cambria" w:eastAsiaTheme="minorEastAsia" w:hAnsi="Cambria" w:cs="Arial"/>
          <w:sz w:val="24"/>
          <w:szCs w:val="24"/>
        </w:rPr>
      </w:pPr>
      <w:r w:rsidRPr="00AF1E1D">
        <w:rPr>
          <w:rFonts w:ascii="Cambria" w:eastAsiaTheme="minorEastAsia" w:hAnsi="Cambria" w:cs="Arial"/>
          <w:sz w:val="24"/>
          <w:szCs w:val="24"/>
        </w:rPr>
        <w:t xml:space="preserve">Por lo tanto, el Desarrollo Económico Local es entendido como un proceso de </w:t>
      </w:r>
      <w:r w:rsidR="00C46E82" w:rsidRPr="00AF1E1D">
        <w:rPr>
          <w:rFonts w:ascii="Cambria" w:eastAsiaTheme="minorEastAsia" w:hAnsi="Cambria" w:cs="Arial"/>
          <w:sz w:val="24"/>
          <w:szCs w:val="24"/>
        </w:rPr>
        <w:t>crecimiento</w:t>
      </w:r>
      <w:r w:rsidRPr="00AF1E1D">
        <w:rPr>
          <w:rFonts w:ascii="Cambria" w:eastAsiaTheme="minorEastAsia" w:hAnsi="Cambria" w:cs="Arial"/>
          <w:sz w:val="24"/>
          <w:szCs w:val="24"/>
        </w:rPr>
        <w:t xml:space="preserve"> y cambio estructural que mediante la utilización del potencial de desarrollo existente en el territorio conduce a la mejora del bienestar de la población de una localidad o una región (CEPAL, 2000, pag 5.).  Una vez cuando un territorio es capaz de realizar un cambio en la estructura de desarrollo, se puede definir como Desarrollo Local </w:t>
      </w:r>
      <w:r w:rsidR="00C46E82" w:rsidRPr="00AF1E1D">
        <w:rPr>
          <w:rFonts w:ascii="Cambria" w:eastAsiaTheme="minorEastAsia" w:hAnsi="Cambria" w:cs="Arial"/>
          <w:sz w:val="24"/>
          <w:szCs w:val="24"/>
        </w:rPr>
        <w:t>Endógeno</w:t>
      </w:r>
      <w:r w:rsidRPr="00AF1E1D">
        <w:rPr>
          <w:rFonts w:ascii="Cambria" w:eastAsiaTheme="minorEastAsia" w:hAnsi="Cambria" w:cs="Arial"/>
          <w:sz w:val="24"/>
          <w:szCs w:val="24"/>
        </w:rPr>
        <w:t xml:space="preserve">.  Por consiguiente, desde las perspectivas anteriores se puede afirmar que lo social de un territorio se integra con lo </w:t>
      </w:r>
      <w:r w:rsidR="00C46E82" w:rsidRPr="00AF1E1D">
        <w:rPr>
          <w:rFonts w:ascii="Cambria" w:eastAsiaTheme="minorEastAsia" w:hAnsi="Cambria" w:cs="Arial"/>
          <w:sz w:val="24"/>
          <w:szCs w:val="24"/>
        </w:rPr>
        <w:t>económico</w:t>
      </w:r>
      <w:r w:rsidRPr="00AF1E1D">
        <w:rPr>
          <w:rFonts w:ascii="Cambria" w:eastAsiaTheme="minorEastAsia" w:hAnsi="Cambria" w:cs="Arial"/>
          <w:sz w:val="24"/>
          <w:szCs w:val="24"/>
        </w:rPr>
        <w:t xml:space="preserve">, elemento que van transformando la estructura generando </w:t>
      </w:r>
      <w:r w:rsidR="00120BC5" w:rsidRPr="00322C5A">
        <w:rPr>
          <w:rFonts w:ascii="Cambria" w:eastAsiaTheme="minorEastAsia" w:hAnsi="Cambria" w:cs="Arial"/>
          <w:sz w:val="24"/>
          <w:szCs w:val="24"/>
        </w:rPr>
        <w:t>economías</w:t>
      </w:r>
      <w:r w:rsidRPr="00AF1E1D">
        <w:rPr>
          <w:rFonts w:ascii="Cambria" w:eastAsiaTheme="minorEastAsia" w:hAnsi="Cambria" w:cs="Arial"/>
          <w:sz w:val="24"/>
          <w:szCs w:val="24"/>
        </w:rPr>
        <w:t xml:space="preserve"> locales. </w:t>
      </w:r>
    </w:p>
    <w:p w14:paraId="06315F2E" w14:textId="7C37CBE0" w:rsidR="003A0848" w:rsidRDefault="003A0848" w:rsidP="003A0848">
      <w:pPr>
        <w:spacing w:line="240" w:lineRule="auto"/>
        <w:ind w:firstLine="708"/>
        <w:jc w:val="both"/>
        <w:rPr>
          <w:rFonts w:ascii="Cambria" w:hAnsi="Cambria" w:cs="Times New Roman"/>
          <w:sz w:val="24"/>
          <w:szCs w:val="24"/>
        </w:rPr>
      </w:pPr>
      <w:r w:rsidRPr="00AF1E1D">
        <w:rPr>
          <w:rFonts w:ascii="Cambria" w:hAnsi="Cambria" w:cs="Times New Roman"/>
          <w:sz w:val="24"/>
          <w:szCs w:val="24"/>
        </w:rPr>
        <w:t xml:space="preserve">Dado lo anterior, </w:t>
      </w:r>
      <w:r>
        <w:rPr>
          <w:rFonts w:ascii="Cambria" w:hAnsi="Cambria" w:cs="Times New Roman"/>
          <w:sz w:val="24"/>
          <w:szCs w:val="24"/>
        </w:rPr>
        <w:t>se</w:t>
      </w:r>
      <w:r w:rsidRPr="00AF1E1D">
        <w:rPr>
          <w:rFonts w:ascii="Cambria" w:hAnsi="Cambria" w:cs="Times New Roman"/>
          <w:sz w:val="24"/>
          <w:szCs w:val="24"/>
        </w:rPr>
        <w:t xml:space="preserve"> puede definir como Desarrollo </w:t>
      </w:r>
      <w:r>
        <w:rPr>
          <w:rFonts w:ascii="Cambria" w:hAnsi="Cambria" w:cs="Times New Roman"/>
          <w:sz w:val="24"/>
          <w:szCs w:val="24"/>
        </w:rPr>
        <w:t>Local incluyendo el territorio</w:t>
      </w:r>
      <w:r w:rsidRPr="00AF1E1D">
        <w:rPr>
          <w:rFonts w:ascii="Cambria" w:hAnsi="Cambria" w:cs="Times New Roman"/>
          <w:sz w:val="24"/>
          <w:szCs w:val="24"/>
        </w:rPr>
        <w:t xml:space="preserve"> como una promoción de las capacidades, donde se destaca la participación de los agentes locales debido a su enfoque participativo</w:t>
      </w:r>
      <w:r>
        <w:rPr>
          <w:rFonts w:ascii="Cambria" w:hAnsi="Cambria" w:cs="Times New Roman"/>
          <w:sz w:val="24"/>
          <w:szCs w:val="24"/>
        </w:rPr>
        <w:t>.  A</w:t>
      </w:r>
      <w:r w:rsidRPr="00AF1E1D">
        <w:rPr>
          <w:rFonts w:ascii="Cambria" w:hAnsi="Cambria" w:cs="Times New Roman"/>
          <w:sz w:val="24"/>
          <w:szCs w:val="24"/>
        </w:rPr>
        <w:t>l concepto también se le puede agregar el concepto de unidades locales como el conjunto de relaciones institucionales-</w:t>
      </w:r>
      <w:r w:rsidRPr="00AF1E1D">
        <w:rPr>
          <w:rFonts w:ascii="Cambria" w:hAnsi="Cambria" w:cs="Times New Roman"/>
          <w:sz w:val="24"/>
          <w:szCs w:val="24"/>
        </w:rPr>
        <w:lastRenderedPageBreak/>
        <w:t xml:space="preserve">sociales-económicas-culturales presentes dentro de un territorio, y que su constante intercambio hace que se defina una senda común de desarrollo aprovechando las potencialidades presentes en la unidad en específico. </w:t>
      </w:r>
    </w:p>
    <w:p w14:paraId="7BADD05E" w14:textId="77777777" w:rsidR="00E7634B" w:rsidRDefault="00C853CC" w:rsidP="003A0848">
      <w:pPr>
        <w:spacing w:line="240" w:lineRule="auto"/>
        <w:ind w:firstLine="708"/>
        <w:jc w:val="both"/>
        <w:rPr>
          <w:rFonts w:ascii="Cambria" w:hAnsi="Cambria" w:cs="Times New Roman"/>
          <w:sz w:val="24"/>
          <w:szCs w:val="24"/>
        </w:rPr>
      </w:pPr>
      <w:r>
        <w:rPr>
          <w:rFonts w:ascii="Cambria" w:hAnsi="Cambria" w:cs="Times New Roman"/>
          <w:sz w:val="24"/>
          <w:szCs w:val="24"/>
        </w:rPr>
        <w:t xml:space="preserve">En marco del presente trabajo de investigación se asume el concepto de territorio para explicar toda la dinámica </w:t>
      </w:r>
      <w:r w:rsidR="00E7634B">
        <w:rPr>
          <w:rFonts w:ascii="Cambria" w:hAnsi="Cambria" w:cs="Times New Roman"/>
          <w:sz w:val="24"/>
          <w:szCs w:val="24"/>
        </w:rPr>
        <w:t xml:space="preserve">que se presenta en la región de los Santos referente a la Denominación de Origen Tarrazú  debido al común denominador de características de la región, además, que aunque el proyecto abarca un tema regional, su efecto en las economías locales es territorial. </w:t>
      </w:r>
    </w:p>
    <w:p w14:paraId="676B91A1" w14:textId="055F64AF" w:rsidR="00C853CC" w:rsidRDefault="00E7634B" w:rsidP="003A0848">
      <w:pPr>
        <w:spacing w:line="240" w:lineRule="auto"/>
        <w:ind w:firstLine="708"/>
        <w:jc w:val="both"/>
        <w:rPr>
          <w:rFonts w:ascii="Cambria" w:hAnsi="Cambria" w:cs="Times New Roman"/>
          <w:sz w:val="24"/>
          <w:szCs w:val="24"/>
        </w:rPr>
      </w:pPr>
      <w:r>
        <w:rPr>
          <w:rFonts w:ascii="Cambria" w:hAnsi="Cambria" w:cs="Times New Roman"/>
          <w:sz w:val="24"/>
          <w:szCs w:val="24"/>
        </w:rPr>
        <w:t xml:space="preserve">Por ende, no se pueden plantear conceptos como la formulación de estrategias individuales como se definieron anteriormente con efectos colectivos positivos, si no existe un ligamen con </w:t>
      </w:r>
      <w:r w:rsidR="00E96BC3">
        <w:rPr>
          <w:rFonts w:ascii="Cambria" w:hAnsi="Cambria" w:cs="Times New Roman"/>
          <w:sz w:val="24"/>
          <w:szCs w:val="24"/>
        </w:rPr>
        <w:t>D</w:t>
      </w:r>
      <w:r>
        <w:rPr>
          <w:rFonts w:ascii="Cambria" w:hAnsi="Cambria" w:cs="Times New Roman"/>
          <w:sz w:val="24"/>
          <w:szCs w:val="24"/>
        </w:rPr>
        <w:t xml:space="preserve">esarrollo </w:t>
      </w:r>
      <w:r w:rsidR="00E96BC3">
        <w:rPr>
          <w:rFonts w:ascii="Cambria" w:hAnsi="Cambria" w:cs="Times New Roman"/>
          <w:sz w:val="24"/>
          <w:szCs w:val="24"/>
        </w:rPr>
        <w:t>L</w:t>
      </w:r>
      <w:r>
        <w:rPr>
          <w:rFonts w:ascii="Cambria" w:hAnsi="Cambria" w:cs="Times New Roman"/>
          <w:sz w:val="24"/>
          <w:szCs w:val="24"/>
        </w:rPr>
        <w:t>ocal</w:t>
      </w:r>
      <w:r w:rsidR="00E96BC3">
        <w:rPr>
          <w:rFonts w:ascii="Cambria" w:hAnsi="Cambria" w:cs="Times New Roman"/>
          <w:sz w:val="24"/>
          <w:szCs w:val="24"/>
        </w:rPr>
        <w:t xml:space="preserve">, el cual, aunque el planteamiento de la DO es formulada para generar efectos sobre los productores, efectos sobre estos, afectan la actividad económica local, el cual, el enfoque de Cadenas Globales de Valor brindan explicaciones sobre los cambios en la dinámica de la cadena de café en caso de sea operativo. </w:t>
      </w:r>
    </w:p>
    <w:p w14:paraId="37A632E4" w14:textId="1E5ECC2F" w:rsidR="00E96BC3" w:rsidRDefault="00E96BC3" w:rsidP="003A0848">
      <w:pPr>
        <w:spacing w:line="240" w:lineRule="auto"/>
        <w:ind w:firstLine="708"/>
        <w:jc w:val="both"/>
        <w:rPr>
          <w:rFonts w:ascii="Cambria" w:hAnsi="Cambria" w:cs="Times New Roman"/>
          <w:sz w:val="24"/>
          <w:szCs w:val="24"/>
        </w:rPr>
      </w:pPr>
      <w:r>
        <w:rPr>
          <w:rFonts w:ascii="Cambria" w:hAnsi="Cambria" w:cs="Times New Roman"/>
          <w:sz w:val="24"/>
          <w:szCs w:val="24"/>
        </w:rPr>
        <w:t xml:space="preserve">En mediante el uso del concepto de autonomía territorial planteado en esta investigación, sumado a los conceptos de capacidades de transformación territoriales que se busca de explicar como una proyecto jurídico presenta implicaciones a estructuras tradicionales de producción que modifican relaciones económicas y sociales de determinados grupos de interés, a la vez potencian el uso de otros recursos locales o características con efecto positivo en la actividad económica local.  </w:t>
      </w:r>
    </w:p>
    <w:p w14:paraId="3AEED021" w14:textId="1A2E936C" w:rsidR="00815006" w:rsidRPr="00AF1E1D" w:rsidRDefault="00815006" w:rsidP="00AF1E1D">
      <w:pPr>
        <w:spacing w:line="240" w:lineRule="auto"/>
        <w:jc w:val="both"/>
        <w:rPr>
          <w:rFonts w:ascii="Cambria" w:hAnsi="Cambria" w:cs="Times New Roman"/>
          <w:sz w:val="24"/>
          <w:szCs w:val="24"/>
        </w:rPr>
      </w:pPr>
    </w:p>
    <w:p w14:paraId="3E0BE54E" w14:textId="77777777" w:rsidR="00E433C9" w:rsidRDefault="00E433C9" w:rsidP="00FC2D87">
      <w:pPr>
        <w:spacing w:line="240" w:lineRule="auto"/>
        <w:rPr>
          <w:rFonts w:ascii="Cambria" w:hAnsi="Cambria"/>
          <w:sz w:val="24"/>
          <w:szCs w:val="24"/>
          <w:lang w:eastAsia="es-CR"/>
        </w:rPr>
      </w:pPr>
    </w:p>
    <w:p w14:paraId="6C8E56B9" w14:textId="2BA1E98D" w:rsidR="00E96BC3" w:rsidRDefault="00E96BC3" w:rsidP="00FC2D87">
      <w:pPr>
        <w:spacing w:line="240" w:lineRule="auto"/>
        <w:rPr>
          <w:rFonts w:ascii="Cambria" w:hAnsi="Cambria"/>
          <w:sz w:val="24"/>
          <w:szCs w:val="24"/>
          <w:lang w:eastAsia="es-CR"/>
        </w:rPr>
      </w:pPr>
    </w:p>
    <w:p w14:paraId="7D8980E3" w14:textId="1F228D49" w:rsidR="00E96BC3" w:rsidRDefault="00E96BC3" w:rsidP="00FC2D87">
      <w:pPr>
        <w:spacing w:line="240" w:lineRule="auto"/>
        <w:rPr>
          <w:rFonts w:ascii="Cambria" w:hAnsi="Cambria"/>
          <w:sz w:val="24"/>
          <w:szCs w:val="24"/>
          <w:lang w:eastAsia="es-CR"/>
        </w:rPr>
      </w:pPr>
    </w:p>
    <w:p w14:paraId="0B92F713" w14:textId="201D474E" w:rsidR="00E96BC3" w:rsidRDefault="00E96BC3" w:rsidP="00FC2D87">
      <w:pPr>
        <w:spacing w:line="240" w:lineRule="auto"/>
        <w:rPr>
          <w:rFonts w:ascii="Cambria" w:hAnsi="Cambria"/>
          <w:sz w:val="24"/>
          <w:szCs w:val="24"/>
          <w:lang w:eastAsia="es-CR"/>
        </w:rPr>
      </w:pPr>
    </w:p>
    <w:p w14:paraId="1E45460B" w14:textId="629CCB24" w:rsidR="00E96BC3" w:rsidRDefault="00E96BC3" w:rsidP="00FC2D87">
      <w:pPr>
        <w:spacing w:line="240" w:lineRule="auto"/>
        <w:rPr>
          <w:rFonts w:ascii="Cambria" w:hAnsi="Cambria"/>
          <w:sz w:val="24"/>
          <w:szCs w:val="24"/>
          <w:lang w:eastAsia="es-CR"/>
        </w:rPr>
      </w:pPr>
    </w:p>
    <w:p w14:paraId="342A184B" w14:textId="4DF2C485" w:rsidR="00E96BC3" w:rsidRDefault="00E96BC3" w:rsidP="00FC2D87">
      <w:pPr>
        <w:spacing w:line="240" w:lineRule="auto"/>
        <w:rPr>
          <w:rFonts w:ascii="Cambria" w:hAnsi="Cambria"/>
          <w:sz w:val="24"/>
          <w:szCs w:val="24"/>
          <w:lang w:eastAsia="es-CR"/>
        </w:rPr>
      </w:pPr>
    </w:p>
    <w:p w14:paraId="756A02E5" w14:textId="7EFE108F" w:rsidR="00E96BC3" w:rsidRDefault="00E96BC3" w:rsidP="00FC2D87">
      <w:pPr>
        <w:spacing w:line="240" w:lineRule="auto"/>
        <w:rPr>
          <w:rFonts w:ascii="Cambria" w:hAnsi="Cambria"/>
          <w:sz w:val="24"/>
          <w:szCs w:val="24"/>
          <w:lang w:eastAsia="es-CR"/>
        </w:rPr>
      </w:pPr>
    </w:p>
    <w:p w14:paraId="73CE4A70" w14:textId="4C0A9AB4" w:rsidR="00E96BC3" w:rsidRDefault="00E96BC3" w:rsidP="00FC2D87">
      <w:pPr>
        <w:spacing w:line="240" w:lineRule="auto"/>
        <w:rPr>
          <w:rFonts w:ascii="Cambria" w:hAnsi="Cambria"/>
          <w:sz w:val="24"/>
          <w:szCs w:val="24"/>
          <w:lang w:eastAsia="es-CR"/>
        </w:rPr>
      </w:pPr>
    </w:p>
    <w:p w14:paraId="4DDDDA82" w14:textId="53149560" w:rsidR="00E96BC3" w:rsidRDefault="00E96BC3" w:rsidP="00FC2D87">
      <w:pPr>
        <w:spacing w:line="240" w:lineRule="auto"/>
        <w:rPr>
          <w:rFonts w:ascii="Cambria" w:hAnsi="Cambria"/>
          <w:sz w:val="24"/>
          <w:szCs w:val="24"/>
          <w:lang w:eastAsia="es-CR"/>
        </w:rPr>
      </w:pPr>
    </w:p>
    <w:p w14:paraId="57B37025" w14:textId="19E22757" w:rsidR="00E96BC3" w:rsidRDefault="00E96BC3" w:rsidP="00FC2D87">
      <w:pPr>
        <w:spacing w:line="240" w:lineRule="auto"/>
        <w:rPr>
          <w:rFonts w:ascii="Cambria" w:hAnsi="Cambria"/>
          <w:sz w:val="24"/>
          <w:szCs w:val="24"/>
          <w:lang w:eastAsia="es-CR"/>
        </w:rPr>
      </w:pPr>
    </w:p>
    <w:p w14:paraId="140BFDAA" w14:textId="2B0F1A0E" w:rsidR="00E96BC3" w:rsidRDefault="00E96BC3" w:rsidP="00FC2D87">
      <w:pPr>
        <w:spacing w:line="240" w:lineRule="auto"/>
        <w:rPr>
          <w:rFonts w:ascii="Cambria" w:hAnsi="Cambria"/>
          <w:sz w:val="24"/>
          <w:szCs w:val="24"/>
          <w:lang w:eastAsia="es-CR"/>
        </w:rPr>
      </w:pPr>
    </w:p>
    <w:p w14:paraId="68DA90A7" w14:textId="77777777" w:rsidR="003A0848" w:rsidRDefault="003A0848" w:rsidP="00FC2D87">
      <w:pPr>
        <w:spacing w:line="240" w:lineRule="auto"/>
        <w:rPr>
          <w:rFonts w:ascii="Cambria" w:hAnsi="Cambria"/>
          <w:sz w:val="24"/>
          <w:szCs w:val="24"/>
          <w:lang w:eastAsia="es-CR"/>
        </w:rPr>
      </w:pPr>
    </w:p>
    <w:p w14:paraId="460DE52A" w14:textId="77777777" w:rsidR="00102BE2" w:rsidRPr="00AF1E1D" w:rsidRDefault="00102BE2" w:rsidP="00AF1E1D">
      <w:pPr>
        <w:pStyle w:val="Ttulo1"/>
        <w:jc w:val="center"/>
        <w:rPr>
          <w:rFonts w:ascii="Cambria" w:hAnsi="Cambria"/>
          <w:b/>
          <w:color w:val="auto"/>
          <w:sz w:val="28"/>
          <w:szCs w:val="28"/>
        </w:rPr>
      </w:pPr>
    </w:p>
    <w:p w14:paraId="06F3CD9E" w14:textId="32BC5E66" w:rsidR="00102BE2" w:rsidRPr="00AF1E1D" w:rsidRDefault="00102BE2" w:rsidP="00AF1E1D">
      <w:pPr>
        <w:jc w:val="center"/>
        <w:rPr>
          <w:lang w:eastAsia="es-CR"/>
        </w:rPr>
      </w:pPr>
      <w:r w:rsidRPr="00AF1E1D">
        <w:rPr>
          <w:rFonts w:ascii="Cambria" w:hAnsi="Cambria"/>
          <w:b/>
          <w:sz w:val="28"/>
          <w:szCs w:val="28"/>
        </w:rPr>
        <w:t xml:space="preserve">Capitulo </w:t>
      </w:r>
      <w:r>
        <w:rPr>
          <w:rFonts w:ascii="Cambria" w:hAnsi="Cambria"/>
          <w:b/>
          <w:sz w:val="28"/>
          <w:szCs w:val="28"/>
        </w:rPr>
        <w:t>III</w:t>
      </w:r>
      <w:r w:rsidR="003A0848" w:rsidRPr="00AF1E1D">
        <w:rPr>
          <w:rFonts w:ascii="Cambria" w:hAnsi="Cambria" w:cstheme="majorBidi"/>
          <w:b/>
          <w:sz w:val="28"/>
          <w:szCs w:val="28"/>
        </w:rPr>
        <w:t>:</w:t>
      </w:r>
      <w:r>
        <w:rPr>
          <w:rFonts w:ascii="Cambria" w:hAnsi="Cambria"/>
          <w:b/>
          <w:sz w:val="28"/>
          <w:szCs w:val="28"/>
        </w:rPr>
        <w:t xml:space="preserve"> M</w:t>
      </w:r>
      <w:r w:rsidRPr="00AF1E1D">
        <w:rPr>
          <w:rFonts w:ascii="Cambria" w:hAnsi="Cambria"/>
          <w:b/>
          <w:sz w:val="28"/>
          <w:szCs w:val="28"/>
        </w:rPr>
        <w:t>etodología de la investigación</w:t>
      </w:r>
    </w:p>
    <w:p w14:paraId="2D69B3F9" w14:textId="77777777" w:rsidR="003636F4" w:rsidRDefault="00EA207A" w:rsidP="00FC2D87">
      <w:pPr>
        <w:pStyle w:val="Ttulo2"/>
        <w:spacing w:line="240" w:lineRule="auto"/>
        <w:rPr>
          <w:rFonts w:ascii="Cambria" w:hAnsi="Cambria" w:cs="Arial"/>
          <w:b/>
          <w:color w:val="auto"/>
          <w:sz w:val="24"/>
          <w:szCs w:val="24"/>
        </w:rPr>
      </w:pPr>
      <w:bookmarkStart w:id="71" w:name="_Toc527576953"/>
      <w:r>
        <w:rPr>
          <w:rFonts w:ascii="Cambria" w:hAnsi="Cambria" w:cs="Arial"/>
          <w:b/>
          <w:color w:val="auto"/>
          <w:sz w:val="24"/>
          <w:szCs w:val="24"/>
        </w:rPr>
        <w:t>3</w:t>
      </w:r>
      <w:r w:rsidR="003636F4" w:rsidRPr="00431183">
        <w:rPr>
          <w:rFonts w:ascii="Cambria" w:hAnsi="Cambria" w:cs="Arial"/>
          <w:b/>
          <w:color w:val="auto"/>
          <w:sz w:val="24"/>
          <w:szCs w:val="24"/>
        </w:rPr>
        <w:t xml:space="preserve">.1 </w:t>
      </w:r>
      <w:r w:rsidR="0017531B" w:rsidRPr="00431183">
        <w:rPr>
          <w:rFonts w:ascii="Cambria" w:hAnsi="Cambria" w:cs="Arial"/>
          <w:b/>
          <w:color w:val="auto"/>
          <w:sz w:val="24"/>
          <w:szCs w:val="24"/>
        </w:rPr>
        <w:t>Método de Investigación</w:t>
      </w:r>
      <w:bookmarkEnd w:id="71"/>
      <w:r w:rsidR="0017531B" w:rsidRPr="00431183">
        <w:rPr>
          <w:rFonts w:ascii="Cambria" w:hAnsi="Cambria" w:cs="Arial"/>
          <w:b/>
          <w:color w:val="auto"/>
          <w:sz w:val="24"/>
          <w:szCs w:val="24"/>
        </w:rPr>
        <w:t xml:space="preserve"> </w:t>
      </w:r>
    </w:p>
    <w:p w14:paraId="44DA17B5" w14:textId="5827A233" w:rsidR="009A378B" w:rsidRDefault="003A0848">
      <w:pPr>
        <w:spacing w:line="240" w:lineRule="auto"/>
        <w:jc w:val="both"/>
        <w:rPr>
          <w:rFonts w:ascii="Cambria" w:hAnsi="Cambria" w:cs="Arial"/>
          <w:sz w:val="24"/>
          <w:szCs w:val="24"/>
        </w:rPr>
      </w:pPr>
      <w:r w:rsidRPr="00AF1E1D">
        <w:rPr>
          <w:rFonts w:ascii="Cambria" w:hAnsi="Cambria" w:cs="Arial"/>
          <w:sz w:val="24"/>
          <w:szCs w:val="24"/>
        </w:rPr>
        <w:tab/>
      </w:r>
      <w:r w:rsidR="002E1669" w:rsidRPr="00431183">
        <w:rPr>
          <w:rFonts w:ascii="Cambria" w:hAnsi="Cambria" w:cs="Arial"/>
          <w:sz w:val="24"/>
          <w:szCs w:val="24"/>
        </w:rPr>
        <w:t>P</w:t>
      </w:r>
      <w:r w:rsidR="0017531B" w:rsidRPr="00431183">
        <w:rPr>
          <w:rFonts w:ascii="Cambria" w:hAnsi="Cambria" w:cs="Arial"/>
          <w:sz w:val="24"/>
          <w:szCs w:val="24"/>
        </w:rPr>
        <w:t>ara el caso de la investigación</w:t>
      </w:r>
      <w:r>
        <w:rPr>
          <w:rFonts w:ascii="Cambria" w:hAnsi="Cambria" w:cs="Arial"/>
          <w:sz w:val="24"/>
          <w:szCs w:val="24"/>
        </w:rPr>
        <w:t xml:space="preserve"> el método </w:t>
      </w:r>
      <w:r w:rsidR="0017531B" w:rsidRPr="00431183">
        <w:rPr>
          <w:rFonts w:ascii="Cambria" w:hAnsi="Cambria" w:cs="Arial"/>
          <w:sz w:val="24"/>
          <w:szCs w:val="24"/>
        </w:rPr>
        <w:t xml:space="preserve">el utilizado </w:t>
      </w:r>
      <w:r w:rsidR="000B46DE" w:rsidRPr="00431183">
        <w:rPr>
          <w:rFonts w:ascii="Cambria" w:hAnsi="Cambria" w:cs="Arial"/>
          <w:sz w:val="24"/>
          <w:szCs w:val="24"/>
        </w:rPr>
        <w:t>fue</w:t>
      </w:r>
      <w:r w:rsidR="0017531B" w:rsidRPr="00431183">
        <w:rPr>
          <w:rFonts w:ascii="Cambria" w:hAnsi="Cambria" w:cs="Arial"/>
          <w:sz w:val="24"/>
          <w:szCs w:val="24"/>
        </w:rPr>
        <w:t xml:space="preserve"> el lógico deductivo debido a que la investigación pa</w:t>
      </w:r>
      <w:r w:rsidR="00F85527" w:rsidRPr="00431183">
        <w:rPr>
          <w:rFonts w:ascii="Cambria" w:hAnsi="Cambria" w:cs="Arial"/>
          <w:sz w:val="24"/>
          <w:szCs w:val="24"/>
        </w:rPr>
        <w:t>rtió</w:t>
      </w:r>
      <w:r w:rsidR="0017531B" w:rsidRPr="00431183">
        <w:rPr>
          <w:rFonts w:ascii="Cambria" w:hAnsi="Cambria" w:cs="Arial"/>
          <w:sz w:val="24"/>
          <w:szCs w:val="24"/>
        </w:rPr>
        <w:t xml:space="preserve"> de hechos conocidos para llegar a conclusiones desconocidas, </w:t>
      </w:r>
      <w:r w:rsidR="00F85527" w:rsidRPr="00431183">
        <w:rPr>
          <w:rFonts w:ascii="Cambria" w:hAnsi="Cambria" w:cs="Arial"/>
          <w:sz w:val="24"/>
          <w:szCs w:val="24"/>
        </w:rPr>
        <w:t>permitiendo adaptarse a</w:t>
      </w:r>
      <w:r w:rsidR="0017531B" w:rsidRPr="00431183">
        <w:rPr>
          <w:rFonts w:ascii="Cambria" w:hAnsi="Cambria" w:cs="Arial"/>
          <w:sz w:val="24"/>
          <w:szCs w:val="24"/>
        </w:rPr>
        <w:t xml:space="preserve"> los propósitos de la investigación. En especial, se </w:t>
      </w:r>
      <w:r w:rsidR="002A44C6" w:rsidRPr="00431183">
        <w:rPr>
          <w:rFonts w:ascii="Cambria" w:hAnsi="Cambria" w:cs="Arial"/>
          <w:sz w:val="24"/>
          <w:szCs w:val="24"/>
        </w:rPr>
        <w:t>enfoc</w:t>
      </w:r>
      <w:r w:rsidR="00D2794F" w:rsidRPr="00431183">
        <w:rPr>
          <w:rFonts w:ascii="Cambria" w:hAnsi="Cambria" w:cs="Arial"/>
          <w:sz w:val="24"/>
          <w:szCs w:val="24"/>
        </w:rPr>
        <w:t>ó</w:t>
      </w:r>
      <w:r w:rsidR="0017531B" w:rsidRPr="00431183">
        <w:rPr>
          <w:rFonts w:ascii="Cambria" w:hAnsi="Cambria" w:cs="Arial"/>
          <w:sz w:val="24"/>
          <w:szCs w:val="24"/>
        </w:rPr>
        <w:t xml:space="preserve"> en el método indirecto debido a que el análisis de varias premisas o variables </w:t>
      </w:r>
      <w:r w:rsidR="00D2794F" w:rsidRPr="00431183">
        <w:rPr>
          <w:rFonts w:ascii="Cambria" w:hAnsi="Cambria" w:cs="Arial"/>
          <w:sz w:val="24"/>
          <w:szCs w:val="24"/>
        </w:rPr>
        <w:t>logró</w:t>
      </w:r>
      <w:r w:rsidR="0017531B" w:rsidRPr="00431183">
        <w:rPr>
          <w:rFonts w:ascii="Cambria" w:hAnsi="Cambria" w:cs="Arial"/>
          <w:sz w:val="24"/>
          <w:szCs w:val="24"/>
        </w:rPr>
        <w:t xml:space="preserve"> una serie de conclusiones referentes al fenómeno que se </w:t>
      </w:r>
      <w:r w:rsidR="00D2794F" w:rsidRPr="00431183">
        <w:rPr>
          <w:rFonts w:ascii="Cambria" w:hAnsi="Cambria" w:cs="Arial"/>
          <w:sz w:val="24"/>
          <w:szCs w:val="24"/>
        </w:rPr>
        <w:t>buscaba</w:t>
      </w:r>
      <w:r w:rsidR="0017531B" w:rsidRPr="00431183">
        <w:rPr>
          <w:rFonts w:ascii="Cambria" w:hAnsi="Cambria" w:cs="Arial"/>
          <w:sz w:val="24"/>
          <w:szCs w:val="24"/>
        </w:rPr>
        <w:t xml:space="preserve"> expl</w:t>
      </w:r>
      <w:r w:rsidR="00072E8A" w:rsidRPr="00431183">
        <w:rPr>
          <w:rFonts w:ascii="Cambria" w:hAnsi="Cambria" w:cs="Arial"/>
          <w:sz w:val="24"/>
          <w:szCs w:val="24"/>
        </w:rPr>
        <w:t>ica</w:t>
      </w:r>
      <w:r w:rsidR="00D2794F" w:rsidRPr="00431183">
        <w:rPr>
          <w:rFonts w:ascii="Cambria" w:hAnsi="Cambria" w:cs="Arial"/>
          <w:sz w:val="24"/>
          <w:szCs w:val="24"/>
        </w:rPr>
        <w:t>r</w:t>
      </w:r>
      <w:r w:rsidR="00072E8A" w:rsidRPr="00431183">
        <w:rPr>
          <w:rFonts w:ascii="Cambria" w:hAnsi="Cambria" w:cs="Arial"/>
          <w:sz w:val="24"/>
          <w:szCs w:val="24"/>
        </w:rPr>
        <w:t xml:space="preserve"> en el presente trabajo.</w:t>
      </w:r>
    </w:p>
    <w:p w14:paraId="5ECBFF38" w14:textId="45973E8B" w:rsidR="00BC23CC" w:rsidRPr="00431183" w:rsidRDefault="00F068B1" w:rsidP="00AF1E1D">
      <w:pPr>
        <w:spacing w:line="240" w:lineRule="auto"/>
        <w:jc w:val="both"/>
        <w:rPr>
          <w:rFonts w:ascii="Cambria" w:hAnsi="Cambria" w:cs="Arial"/>
          <w:sz w:val="24"/>
          <w:szCs w:val="24"/>
        </w:rPr>
      </w:pPr>
      <w:r>
        <w:rPr>
          <w:rFonts w:ascii="Cambria" w:hAnsi="Cambria" w:cs="Arial"/>
          <w:sz w:val="24"/>
          <w:szCs w:val="24"/>
        </w:rPr>
        <w:tab/>
        <w:t>En este caso de parte de</w:t>
      </w:r>
      <w:r w:rsidR="00BC23CC">
        <w:rPr>
          <w:rFonts w:ascii="Cambria" w:hAnsi="Cambria" w:cs="Arial"/>
          <w:sz w:val="24"/>
          <w:szCs w:val="24"/>
        </w:rPr>
        <w:t xml:space="preserve"> los hechos conocidos, que es lo referente a la implementación de la Denominación de Origen Tarrazu en la producción local o regional, sus efectos en la actividad económica local, por otro lado, están los aportes que se pueden generar desde el programa de Banca para el Desarrollo en el desarrollo de una serie de inversiones locales para hacer operativa la DO.  Por consiguiente, se pretende realizar inferencia sobre elementos conocidos para llegar a conclusiones desconocidas</w:t>
      </w:r>
    </w:p>
    <w:p w14:paraId="21CAC8EC" w14:textId="226A8E64" w:rsidR="00EA207A" w:rsidRPr="00431183" w:rsidRDefault="00EA207A" w:rsidP="00AF1E1D">
      <w:pPr>
        <w:pStyle w:val="Ttulo2"/>
        <w:spacing w:line="240" w:lineRule="auto"/>
      </w:pPr>
      <w:bookmarkStart w:id="72" w:name="_Toc527576954"/>
      <w:r>
        <w:rPr>
          <w:rFonts w:ascii="Cambria" w:hAnsi="Cambria" w:cs="Arial"/>
          <w:b/>
          <w:color w:val="auto"/>
          <w:sz w:val="24"/>
          <w:szCs w:val="24"/>
        </w:rPr>
        <w:t>3</w:t>
      </w:r>
      <w:r w:rsidR="003636F4" w:rsidRPr="00431183">
        <w:rPr>
          <w:rFonts w:ascii="Cambria" w:hAnsi="Cambria" w:cs="Arial"/>
          <w:b/>
          <w:color w:val="auto"/>
          <w:sz w:val="24"/>
          <w:szCs w:val="24"/>
        </w:rPr>
        <w:t xml:space="preserve">.2 </w:t>
      </w:r>
      <w:r w:rsidR="002A44C6" w:rsidRPr="00431183">
        <w:rPr>
          <w:rFonts w:ascii="Cambria" w:hAnsi="Cambria" w:cs="Arial"/>
          <w:b/>
          <w:color w:val="auto"/>
          <w:sz w:val="24"/>
          <w:szCs w:val="24"/>
        </w:rPr>
        <w:t>Tipo de investigación</w:t>
      </w:r>
      <w:bookmarkEnd w:id="72"/>
      <w:r w:rsidR="002A44C6" w:rsidRPr="00431183">
        <w:rPr>
          <w:rFonts w:ascii="Cambria" w:hAnsi="Cambria" w:cs="Arial"/>
          <w:b/>
          <w:color w:val="auto"/>
          <w:sz w:val="24"/>
          <w:szCs w:val="24"/>
        </w:rPr>
        <w:t xml:space="preserve"> </w:t>
      </w:r>
    </w:p>
    <w:p w14:paraId="5C91D418" w14:textId="63207FE1" w:rsidR="004836BC" w:rsidRDefault="00BC23CC" w:rsidP="00431183">
      <w:pPr>
        <w:spacing w:line="240" w:lineRule="auto"/>
        <w:ind w:firstLine="708"/>
        <w:jc w:val="both"/>
        <w:rPr>
          <w:rFonts w:ascii="Cambria" w:hAnsi="Cambria" w:cs="Arial"/>
          <w:sz w:val="24"/>
          <w:szCs w:val="24"/>
        </w:rPr>
      </w:pPr>
      <w:r>
        <w:rPr>
          <w:rFonts w:ascii="Cambria" w:hAnsi="Cambria" w:cs="Arial"/>
          <w:sz w:val="24"/>
          <w:szCs w:val="24"/>
        </w:rPr>
        <w:t>P</w:t>
      </w:r>
      <w:r w:rsidR="002A44C6" w:rsidRPr="00431183">
        <w:rPr>
          <w:rFonts w:ascii="Cambria" w:hAnsi="Cambria" w:cs="Arial"/>
          <w:sz w:val="24"/>
          <w:szCs w:val="24"/>
        </w:rPr>
        <w:t xml:space="preserve">ara la presente investigación </w:t>
      </w:r>
      <w:r w:rsidR="00F85527" w:rsidRPr="00431183">
        <w:rPr>
          <w:rFonts w:ascii="Cambria" w:hAnsi="Cambria" w:cs="Arial"/>
          <w:sz w:val="24"/>
          <w:szCs w:val="24"/>
        </w:rPr>
        <w:t>se utilizó el</w:t>
      </w:r>
      <w:r w:rsidR="002A44C6" w:rsidRPr="00431183">
        <w:rPr>
          <w:rFonts w:ascii="Cambria" w:hAnsi="Cambria" w:cs="Arial"/>
          <w:sz w:val="24"/>
          <w:szCs w:val="24"/>
        </w:rPr>
        <w:t xml:space="preserve"> tipo correlacional</w:t>
      </w:r>
      <w:r w:rsidR="003A0848">
        <w:rPr>
          <w:rFonts w:ascii="Cambria" w:hAnsi="Cambria" w:cs="Arial"/>
          <w:sz w:val="24"/>
          <w:szCs w:val="24"/>
        </w:rPr>
        <w:t xml:space="preserve">- </w:t>
      </w:r>
      <w:r w:rsidR="002A44C6" w:rsidRPr="00431183">
        <w:rPr>
          <w:rFonts w:ascii="Cambria" w:hAnsi="Cambria" w:cs="Arial"/>
          <w:sz w:val="24"/>
          <w:szCs w:val="24"/>
        </w:rPr>
        <w:t>causal debido a que busc</w:t>
      </w:r>
      <w:r>
        <w:rPr>
          <w:rFonts w:ascii="Cambria" w:hAnsi="Cambria" w:cs="Arial"/>
          <w:sz w:val="24"/>
          <w:szCs w:val="24"/>
        </w:rPr>
        <w:t>a</w:t>
      </w:r>
      <w:r w:rsidR="002A44C6" w:rsidRPr="00431183">
        <w:rPr>
          <w:rFonts w:ascii="Cambria" w:hAnsi="Cambria" w:cs="Arial"/>
          <w:sz w:val="24"/>
          <w:szCs w:val="24"/>
        </w:rPr>
        <w:t xml:space="preserve"> una explicación teórica a un fenómeno o evento observado mediante el uso de una teoría, y</w:t>
      </w:r>
      <w:r w:rsidR="00F85527" w:rsidRPr="00431183">
        <w:rPr>
          <w:rFonts w:ascii="Cambria" w:hAnsi="Cambria" w:cs="Arial"/>
          <w:sz w:val="24"/>
          <w:szCs w:val="24"/>
        </w:rPr>
        <w:t xml:space="preserve"> así</w:t>
      </w:r>
      <w:r w:rsidR="002A44C6" w:rsidRPr="00431183">
        <w:rPr>
          <w:rFonts w:ascii="Cambria" w:hAnsi="Cambria" w:cs="Arial"/>
          <w:sz w:val="24"/>
          <w:szCs w:val="24"/>
        </w:rPr>
        <w:t xml:space="preserve"> brindar respuestas referentes a situaciones observadas actualmente, además, </w:t>
      </w:r>
      <w:r w:rsidR="00F85527" w:rsidRPr="00431183">
        <w:rPr>
          <w:rFonts w:ascii="Cambria" w:hAnsi="Cambria" w:cs="Arial"/>
          <w:sz w:val="24"/>
          <w:szCs w:val="24"/>
        </w:rPr>
        <w:t>infiere</w:t>
      </w:r>
      <w:r w:rsidR="002A44C6" w:rsidRPr="00431183">
        <w:rPr>
          <w:rFonts w:ascii="Cambria" w:hAnsi="Cambria" w:cs="Arial"/>
          <w:sz w:val="24"/>
          <w:szCs w:val="24"/>
        </w:rPr>
        <w:t xml:space="preserve"> si tales variables explican eventos (causalidad)</w:t>
      </w:r>
      <w:r w:rsidR="003A0848">
        <w:rPr>
          <w:rFonts w:ascii="Cambria" w:hAnsi="Cambria" w:cs="Arial"/>
          <w:sz w:val="24"/>
          <w:szCs w:val="24"/>
        </w:rPr>
        <w:t xml:space="preserve">. </w:t>
      </w:r>
    </w:p>
    <w:p w14:paraId="12D26C56" w14:textId="7B5950BC" w:rsidR="003A0848" w:rsidRPr="00431183" w:rsidRDefault="00BC23CC" w:rsidP="00AF1E1D">
      <w:pPr>
        <w:spacing w:line="240" w:lineRule="auto"/>
        <w:ind w:firstLine="708"/>
        <w:jc w:val="both"/>
        <w:rPr>
          <w:rFonts w:ascii="Cambria" w:hAnsi="Cambria" w:cs="Arial"/>
          <w:sz w:val="24"/>
          <w:szCs w:val="24"/>
        </w:rPr>
      </w:pPr>
      <w:r>
        <w:rPr>
          <w:rFonts w:ascii="Cambria" w:hAnsi="Cambria" w:cs="Arial"/>
          <w:sz w:val="24"/>
          <w:szCs w:val="24"/>
        </w:rPr>
        <w:t>S</w:t>
      </w:r>
      <w:r w:rsidR="003A0848">
        <w:rPr>
          <w:rFonts w:ascii="Cambria" w:hAnsi="Cambria" w:cs="Arial"/>
          <w:sz w:val="24"/>
          <w:szCs w:val="24"/>
        </w:rPr>
        <w:t>e determina el hecho correlacional como lo es la participación de Banca para el Desarrollo en la consolidación de la Denominación de Origen</w:t>
      </w:r>
      <w:r w:rsidR="00FE0DCB">
        <w:rPr>
          <w:rFonts w:ascii="Cambria" w:hAnsi="Cambria" w:cs="Arial"/>
          <w:sz w:val="24"/>
          <w:szCs w:val="24"/>
        </w:rPr>
        <w:t xml:space="preserve"> para su implementación de la Zona de los Santos.</w:t>
      </w:r>
    </w:p>
    <w:p w14:paraId="618276EE" w14:textId="77777777" w:rsidR="0017531B" w:rsidRDefault="00EA207A" w:rsidP="00FC2D87">
      <w:pPr>
        <w:pStyle w:val="Ttulo2"/>
        <w:spacing w:line="240" w:lineRule="auto"/>
        <w:rPr>
          <w:rFonts w:ascii="Cambria" w:hAnsi="Cambria" w:cs="Arial"/>
          <w:b/>
          <w:color w:val="auto"/>
          <w:sz w:val="24"/>
          <w:szCs w:val="24"/>
        </w:rPr>
      </w:pPr>
      <w:bookmarkStart w:id="73" w:name="_Toc527576955"/>
      <w:r>
        <w:rPr>
          <w:rFonts w:ascii="Cambria" w:hAnsi="Cambria" w:cs="Arial"/>
          <w:b/>
          <w:color w:val="auto"/>
          <w:sz w:val="24"/>
          <w:szCs w:val="24"/>
        </w:rPr>
        <w:t>3</w:t>
      </w:r>
      <w:r w:rsidR="003636F4" w:rsidRPr="00431183">
        <w:rPr>
          <w:rFonts w:ascii="Cambria" w:hAnsi="Cambria" w:cs="Arial"/>
          <w:b/>
          <w:color w:val="auto"/>
          <w:sz w:val="24"/>
          <w:szCs w:val="24"/>
        </w:rPr>
        <w:t xml:space="preserve">.3 </w:t>
      </w:r>
      <w:r w:rsidR="0017531B" w:rsidRPr="00431183">
        <w:rPr>
          <w:rFonts w:ascii="Cambria" w:hAnsi="Cambria" w:cs="Arial"/>
          <w:b/>
          <w:color w:val="auto"/>
          <w:sz w:val="24"/>
          <w:szCs w:val="24"/>
        </w:rPr>
        <w:t xml:space="preserve">Tipo de Análisis de </w:t>
      </w:r>
      <w:r w:rsidR="002A44C6" w:rsidRPr="00431183">
        <w:rPr>
          <w:rFonts w:ascii="Cambria" w:hAnsi="Cambria" w:cs="Arial"/>
          <w:b/>
          <w:color w:val="auto"/>
          <w:sz w:val="24"/>
          <w:szCs w:val="24"/>
        </w:rPr>
        <w:t>la investigación</w:t>
      </w:r>
      <w:bookmarkEnd w:id="73"/>
    </w:p>
    <w:p w14:paraId="65197CF9" w14:textId="77777777" w:rsidR="00EA207A" w:rsidRPr="00431183" w:rsidRDefault="00EA207A" w:rsidP="00431183"/>
    <w:p w14:paraId="1DDC479B" w14:textId="7C7DD478" w:rsidR="0017531B" w:rsidRPr="00431183" w:rsidRDefault="003A0848" w:rsidP="00431183">
      <w:pPr>
        <w:spacing w:line="240" w:lineRule="auto"/>
        <w:ind w:firstLine="708"/>
        <w:jc w:val="both"/>
        <w:rPr>
          <w:rFonts w:ascii="Cambria" w:hAnsi="Cambria" w:cs="Arial"/>
          <w:sz w:val="24"/>
          <w:szCs w:val="24"/>
        </w:rPr>
      </w:pPr>
      <w:r>
        <w:rPr>
          <w:rFonts w:ascii="Cambria" w:hAnsi="Cambria" w:cs="Arial"/>
          <w:sz w:val="24"/>
          <w:szCs w:val="24"/>
        </w:rPr>
        <w:t xml:space="preserve">Existen varios tipos de </w:t>
      </w:r>
      <w:r w:rsidR="0017531B" w:rsidRPr="00431183">
        <w:rPr>
          <w:rFonts w:ascii="Cambria" w:hAnsi="Cambria" w:cs="Arial"/>
          <w:sz w:val="24"/>
          <w:szCs w:val="24"/>
        </w:rPr>
        <w:t xml:space="preserve">investigaciones entre cualitativas y cuantitativas; entendiendo por investigación cuantitativa aquella que recoge y analiza datos numéricos o cuantitativos, mientras que la investigación de características cualitativas parte de la narración de fenómenos que son observados mediante el uso de técnicos como los trabajos de campo y las técnicas de observación. </w:t>
      </w:r>
    </w:p>
    <w:p w14:paraId="26B3D569" w14:textId="77777777" w:rsidR="0017531B" w:rsidRPr="00431183" w:rsidRDefault="0017531B" w:rsidP="00431183">
      <w:pPr>
        <w:spacing w:line="240" w:lineRule="auto"/>
        <w:ind w:firstLine="708"/>
        <w:jc w:val="both"/>
        <w:rPr>
          <w:rFonts w:ascii="Cambria" w:hAnsi="Cambria" w:cs="Arial"/>
          <w:sz w:val="24"/>
          <w:szCs w:val="24"/>
        </w:rPr>
      </w:pPr>
      <w:r w:rsidRPr="00431183">
        <w:rPr>
          <w:rFonts w:ascii="Cambria" w:hAnsi="Cambria" w:cs="Arial"/>
          <w:sz w:val="24"/>
          <w:szCs w:val="24"/>
        </w:rPr>
        <w:t>Por lo tanto, una diferencia marcada entre los dos tipos de análisis es que las investigaciones cuantitativas buscan explicar fenómenos o eventos mediante una asociación de variables, mientras que las investigaciones de carácter cualitativo realizan sus explicaciones de eventos o fenómenos en contextos estructurales y situacionales.</w:t>
      </w:r>
    </w:p>
    <w:p w14:paraId="5C0ED74A" w14:textId="024CF8D5" w:rsidR="0017531B" w:rsidRPr="00431183" w:rsidRDefault="0017531B" w:rsidP="00431183">
      <w:pPr>
        <w:spacing w:line="240" w:lineRule="auto"/>
        <w:ind w:firstLine="708"/>
        <w:jc w:val="both"/>
        <w:rPr>
          <w:rFonts w:ascii="Cambria" w:hAnsi="Cambria" w:cs="Arial"/>
          <w:sz w:val="24"/>
          <w:szCs w:val="24"/>
        </w:rPr>
      </w:pPr>
      <w:r w:rsidRPr="00431183">
        <w:rPr>
          <w:rFonts w:ascii="Cambria" w:hAnsi="Cambria" w:cs="Arial"/>
          <w:sz w:val="24"/>
          <w:szCs w:val="24"/>
        </w:rPr>
        <w:t>Para el caso de la investigación se presenta una investigación mixta debido a que asocia un método inductivo indirecto, entendiendo este tipo de investigaciones como la relación que existe entre dos variables de análisis, además determinar si existe una influencia de una variable con respecto a la otra. Pero para el caso presente se utiliz</w:t>
      </w:r>
      <w:r w:rsidR="00F85527" w:rsidRPr="00431183">
        <w:rPr>
          <w:rFonts w:ascii="Cambria" w:hAnsi="Cambria" w:cs="Arial"/>
          <w:sz w:val="24"/>
          <w:szCs w:val="24"/>
        </w:rPr>
        <w:t>ó</w:t>
      </w:r>
      <w:r w:rsidRPr="00431183">
        <w:rPr>
          <w:rFonts w:ascii="Cambria" w:hAnsi="Cambria" w:cs="Arial"/>
          <w:sz w:val="24"/>
          <w:szCs w:val="24"/>
        </w:rPr>
        <w:t xml:space="preserve"> </w:t>
      </w:r>
      <w:r w:rsidRPr="00431183">
        <w:rPr>
          <w:rFonts w:ascii="Cambria" w:hAnsi="Cambria" w:cs="Arial"/>
          <w:sz w:val="24"/>
          <w:szCs w:val="24"/>
        </w:rPr>
        <w:lastRenderedPageBreak/>
        <w:t xml:space="preserve">varias premisas porque se </w:t>
      </w:r>
      <w:r w:rsidR="00F85527" w:rsidRPr="00431183">
        <w:rPr>
          <w:rFonts w:ascii="Cambria" w:hAnsi="Cambria" w:cs="Arial"/>
          <w:sz w:val="24"/>
          <w:szCs w:val="24"/>
        </w:rPr>
        <w:t>estudia</w:t>
      </w:r>
      <w:r w:rsidRPr="00431183">
        <w:rPr>
          <w:rFonts w:ascii="Cambria" w:hAnsi="Cambria" w:cs="Arial"/>
          <w:sz w:val="24"/>
          <w:szCs w:val="24"/>
        </w:rPr>
        <w:t xml:space="preserve"> un fenómeno o evento a partir de una serie de variables. </w:t>
      </w:r>
    </w:p>
    <w:p w14:paraId="406609ED" w14:textId="77777777" w:rsidR="0017531B" w:rsidRPr="00431183" w:rsidRDefault="002E1669" w:rsidP="00431183">
      <w:pPr>
        <w:spacing w:line="240" w:lineRule="auto"/>
        <w:ind w:firstLine="708"/>
        <w:jc w:val="both"/>
        <w:rPr>
          <w:rFonts w:ascii="Cambria" w:hAnsi="Cambria" w:cs="Arial"/>
          <w:sz w:val="24"/>
          <w:szCs w:val="24"/>
        </w:rPr>
      </w:pPr>
      <w:r w:rsidRPr="00431183">
        <w:rPr>
          <w:rFonts w:ascii="Cambria" w:hAnsi="Cambria" w:cs="Arial"/>
          <w:sz w:val="24"/>
          <w:szCs w:val="24"/>
        </w:rPr>
        <w:t>S</w:t>
      </w:r>
      <w:r w:rsidR="0017531B" w:rsidRPr="00431183">
        <w:rPr>
          <w:rFonts w:ascii="Cambria" w:hAnsi="Cambria" w:cs="Arial"/>
          <w:sz w:val="24"/>
          <w:szCs w:val="24"/>
        </w:rPr>
        <w:t>e presenta una relación entre</w:t>
      </w:r>
      <w:r w:rsidR="005209B5" w:rsidRPr="00431183">
        <w:rPr>
          <w:rFonts w:ascii="Cambria" w:hAnsi="Cambria" w:cs="Arial"/>
          <w:sz w:val="24"/>
          <w:szCs w:val="24"/>
        </w:rPr>
        <w:t xml:space="preserve"> la denominación de origen en la Zona de los Santos</w:t>
      </w:r>
      <w:r w:rsidR="0017531B" w:rsidRPr="00431183">
        <w:rPr>
          <w:rFonts w:ascii="Cambria" w:hAnsi="Cambria" w:cs="Arial"/>
          <w:sz w:val="24"/>
          <w:szCs w:val="24"/>
        </w:rPr>
        <w:t xml:space="preserve"> y </w:t>
      </w:r>
      <w:r w:rsidR="002A44C6" w:rsidRPr="00431183">
        <w:rPr>
          <w:rFonts w:ascii="Cambria" w:hAnsi="Cambria" w:cs="Arial"/>
          <w:sz w:val="24"/>
          <w:szCs w:val="24"/>
        </w:rPr>
        <w:t xml:space="preserve">como una serie de instrumentos </w:t>
      </w:r>
      <w:r w:rsidR="0017531B" w:rsidRPr="00431183">
        <w:rPr>
          <w:rFonts w:ascii="Cambria" w:hAnsi="Cambria" w:cs="Arial"/>
          <w:sz w:val="24"/>
          <w:szCs w:val="24"/>
        </w:rPr>
        <w:t>financiero</w:t>
      </w:r>
      <w:r w:rsidR="002A44C6" w:rsidRPr="00431183">
        <w:rPr>
          <w:rFonts w:ascii="Cambria" w:hAnsi="Cambria" w:cs="Arial"/>
          <w:sz w:val="24"/>
          <w:szCs w:val="24"/>
        </w:rPr>
        <w:t xml:space="preserve">s pueden contribuir a crear un nuevo estilo de desarrollo para la región, además, realiza un análisis referente a los agentes económicos locales dinámicas internas y externas, lo que explica </w:t>
      </w:r>
      <w:r w:rsidR="00D2794F" w:rsidRPr="00431183">
        <w:rPr>
          <w:rFonts w:ascii="Cambria" w:hAnsi="Cambria" w:cs="Arial"/>
          <w:sz w:val="24"/>
          <w:szCs w:val="24"/>
        </w:rPr>
        <w:t xml:space="preserve">la </w:t>
      </w:r>
      <w:r w:rsidR="002A44C6" w:rsidRPr="00431183">
        <w:rPr>
          <w:rFonts w:ascii="Cambria" w:hAnsi="Cambria" w:cs="Arial"/>
          <w:sz w:val="24"/>
          <w:szCs w:val="24"/>
        </w:rPr>
        <w:t>utiliza</w:t>
      </w:r>
      <w:r w:rsidR="00D2794F" w:rsidRPr="00431183">
        <w:rPr>
          <w:rFonts w:ascii="Cambria" w:hAnsi="Cambria" w:cs="Arial"/>
          <w:sz w:val="24"/>
          <w:szCs w:val="24"/>
        </w:rPr>
        <w:t>ción de</w:t>
      </w:r>
      <w:r w:rsidR="002A44C6" w:rsidRPr="00431183">
        <w:rPr>
          <w:rFonts w:ascii="Cambria" w:hAnsi="Cambria" w:cs="Arial"/>
          <w:sz w:val="24"/>
          <w:szCs w:val="24"/>
        </w:rPr>
        <w:t xml:space="preserve"> métodos cualitativos y cuantitativos. </w:t>
      </w:r>
      <w:r w:rsidR="0017531B" w:rsidRPr="00431183">
        <w:rPr>
          <w:rFonts w:ascii="Cambria" w:hAnsi="Cambria" w:cs="Arial"/>
          <w:sz w:val="24"/>
          <w:szCs w:val="24"/>
        </w:rPr>
        <w:t xml:space="preserve">    </w:t>
      </w:r>
    </w:p>
    <w:p w14:paraId="25978CFC" w14:textId="77777777" w:rsidR="0017531B" w:rsidRPr="00431183" w:rsidRDefault="00EA207A" w:rsidP="00431183">
      <w:pPr>
        <w:pStyle w:val="Ttulo2"/>
        <w:spacing w:line="240" w:lineRule="auto"/>
        <w:jc w:val="both"/>
        <w:rPr>
          <w:rFonts w:ascii="Cambria" w:hAnsi="Cambria" w:cs="Arial"/>
          <w:b/>
          <w:color w:val="auto"/>
          <w:sz w:val="24"/>
          <w:szCs w:val="24"/>
        </w:rPr>
      </w:pPr>
      <w:bookmarkStart w:id="74" w:name="_Toc527576956"/>
      <w:r>
        <w:rPr>
          <w:rFonts w:ascii="Cambria" w:hAnsi="Cambria" w:cs="Arial"/>
          <w:b/>
          <w:color w:val="auto"/>
          <w:sz w:val="24"/>
          <w:szCs w:val="24"/>
        </w:rPr>
        <w:t>3</w:t>
      </w:r>
      <w:r w:rsidR="003636F4" w:rsidRPr="00431183">
        <w:rPr>
          <w:rFonts w:ascii="Cambria" w:hAnsi="Cambria" w:cs="Arial"/>
          <w:b/>
          <w:color w:val="auto"/>
          <w:sz w:val="24"/>
          <w:szCs w:val="24"/>
        </w:rPr>
        <w:t xml:space="preserve">.4 </w:t>
      </w:r>
      <w:r w:rsidR="0017531B" w:rsidRPr="00431183">
        <w:rPr>
          <w:rFonts w:ascii="Cambria" w:hAnsi="Cambria" w:cs="Arial"/>
          <w:b/>
          <w:color w:val="auto"/>
          <w:sz w:val="24"/>
          <w:szCs w:val="24"/>
        </w:rPr>
        <w:t>Definición de la población de Estudio</w:t>
      </w:r>
      <w:bookmarkEnd w:id="74"/>
      <w:r w:rsidR="0017531B" w:rsidRPr="00431183">
        <w:rPr>
          <w:rFonts w:ascii="Cambria" w:hAnsi="Cambria" w:cs="Arial"/>
          <w:b/>
          <w:color w:val="auto"/>
          <w:sz w:val="24"/>
          <w:szCs w:val="24"/>
        </w:rPr>
        <w:t xml:space="preserve"> </w:t>
      </w:r>
    </w:p>
    <w:p w14:paraId="420868C1" w14:textId="77777777" w:rsidR="002A44C6" w:rsidRPr="00431183" w:rsidRDefault="00EA207A" w:rsidP="00431183">
      <w:pPr>
        <w:pStyle w:val="Ttulo3"/>
        <w:spacing w:line="240" w:lineRule="auto"/>
        <w:rPr>
          <w:rFonts w:ascii="Cambria" w:hAnsi="Cambria" w:cs="Arial"/>
          <w:b/>
          <w:color w:val="auto"/>
        </w:rPr>
      </w:pPr>
      <w:bookmarkStart w:id="75" w:name="_Toc527576957"/>
      <w:r>
        <w:rPr>
          <w:rFonts w:ascii="Cambria" w:hAnsi="Cambria" w:cs="Arial"/>
          <w:b/>
          <w:color w:val="auto"/>
        </w:rPr>
        <w:t>3</w:t>
      </w:r>
      <w:r w:rsidR="003636F4" w:rsidRPr="00431183">
        <w:rPr>
          <w:rFonts w:ascii="Cambria" w:hAnsi="Cambria" w:cs="Arial"/>
          <w:b/>
          <w:color w:val="auto"/>
        </w:rPr>
        <w:t xml:space="preserve">.4.1 </w:t>
      </w:r>
      <w:r w:rsidR="002A44C6" w:rsidRPr="00431183">
        <w:rPr>
          <w:rFonts w:ascii="Cambria" w:hAnsi="Cambria" w:cs="Arial"/>
          <w:b/>
          <w:color w:val="auto"/>
        </w:rPr>
        <w:t>Fuentes de información:</w:t>
      </w:r>
      <w:bookmarkEnd w:id="75"/>
      <w:r w:rsidR="00BF7AED" w:rsidRPr="00431183">
        <w:rPr>
          <w:rFonts w:ascii="Cambria" w:hAnsi="Cambria" w:cs="Arial"/>
          <w:b/>
          <w:color w:val="auto"/>
        </w:rPr>
        <w:t xml:space="preserve">  </w:t>
      </w:r>
    </w:p>
    <w:p w14:paraId="4EE71EE0" w14:textId="42C847F5" w:rsidR="002E33EA" w:rsidRPr="00431183" w:rsidRDefault="00BF7AED"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Para el caso de las fuentes de información, el presente estudio </w:t>
      </w:r>
      <w:r w:rsidR="00D2794F" w:rsidRPr="00431183">
        <w:rPr>
          <w:rFonts w:ascii="Cambria" w:hAnsi="Cambria" w:cs="Arial"/>
          <w:sz w:val="24"/>
          <w:szCs w:val="24"/>
        </w:rPr>
        <w:t xml:space="preserve">utilizó </w:t>
      </w:r>
      <w:r w:rsidRPr="00431183">
        <w:rPr>
          <w:rFonts w:ascii="Cambria" w:hAnsi="Cambria" w:cs="Arial"/>
          <w:sz w:val="24"/>
          <w:szCs w:val="24"/>
        </w:rPr>
        <w:t xml:space="preserve">fuentes primarias y secundarias.  </w:t>
      </w:r>
      <w:r w:rsidR="00522419" w:rsidRPr="00431183">
        <w:rPr>
          <w:rFonts w:ascii="Cambria" w:hAnsi="Cambria" w:cs="Arial"/>
          <w:sz w:val="24"/>
          <w:szCs w:val="24"/>
        </w:rPr>
        <w:t xml:space="preserve">Entre las fuentes primarias sobresalen en especial los agentes económicos locales, </w:t>
      </w:r>
      <w:r w:rsidR="00D2794F" w:rsidRPr="00431183">
        <w:rPr>
          <w:rFonts w:ascii="Cambria" w:hAnsi="Cambria" w:cs="Arial"/>
          <w:sz w:val="24"/>
          <w:szCs w:val="24"/>
        </w:rPr>
        <w:t>como</w:t>
      </w:r>
      <w:r w:rsidR="00522419" w:rsidRPr="00431183">
        <w:rPr>
          <w:rFonts w:ascii="Cambria" w:hAnsi="Cambria" w:cs="Arial"/>
          <w:sz w:val="24"/>
          <w:szCs w:val="24"/>
        </w:rPr>
        <w:t xml:space="preserve"> los productores de café de los cantones de Dota, Tarrazú y León Cortes, Cooperativas de la región y demás organizaciones, para obtener información de </w:t>
      </w:r>
      <w:r w:rsidR="000E2190">
        <w:rPr>
          <w:rFonts w:ascii="Cambria" w:hAnsi="Cambria" w:cs="Arial"/>
          <w:sz w:val="24"/>
          <w:szCs w:val="24"/>
        </w:rPr>
        <w:t>interés</w:t>
      </w:r>
      <w:r w:rsidR="00522419" w:rsidRPr="00431183">
        <w:rPr>
          <w:rFonts w:ascii="Cambria" w:hAnsi="Cambria" w:cs="Arial"/>
          <w:sz w:val="24"/>
          <w:szCs w:val="24"/>
        </w:rPr>
        <w:t xml:space="preserve"> se </w:t>
      </w:r>
      <w:r w:rsidR="00D2794F" w:rsidRPr="00431183">
        <w:rPr>
          <w:rFonts w:ascii="Cambria" w:hAnsi="Cambria" w:cs="Arial"/>
          <w:sz w:val="24"/>
          <w:szCs w:val="24"/>
        </w:rPr>
        <w:t xml:space="preserve">realizó </w:t>
      </w:r>
      <w:r w:rsidR="00522419" w:rsidRPr="00431183">
        <w:rPr>
          <w:rFonts w:ascii="Cambria" w:hAnsi="Cambria" w:cs="Arial"/>
          <w:sz w:val="24"/>
          <w:szCs w:val="24"/>
        </w:rPr>
        <w:t xml:space="preserve">muestreos </w:t>
      </w:r>
      <w:r w:rsidR="00D2794F" w:rsidRPr="00431183">
        <w:rPr>
          <w:rFonts w:ascii="Cambria" w:hAnsi="Cambria" w:cs="Arial"/>
          <w:sz w:val="24"/>
          <w:szCs w:val="24"/>
        </w:rPr>
        <w:t xml:space="preserve">aleatorios </w:t>
      </w:r>
      <w:r w:rsidR="00522419" w:rsidRPr="00431183">
        <w:rPr>
          <w:rFonts w:ascii="Cambria" w:hAnsi="Cambria" w:cs="Arial"/>
          <w:sz w:val="24"/>
          <w:szCs w:val="24"/>
        </w:rPr>
        <w:t xml:space="preserve">entre los productores de café y con respecto a las otras organizaciones como cooperativas se </w:t>
      </w:r>
      <w:r w:rsidR="00D2794F" w:rsidRPr="00431183">
        <w:rPr>
          <w:rFonts w:ascii="Cambria" w:hAnsi="Cambria" w:cs="Arial"/>
          <w:sz w:val="24"/>
          <w:szCs w:val="24"/>
        </w:rPr>
        <w:t xml:space="preserve">realizó </w:t>
      </w:r>
      <w:r w:rsidR="00522419" w:rsidRPr="00431183">
        <w:rPr>
          <w:rFonts w:ascii="Cambria" w:hAnsi="Cambria" w:cs="Arial"/>
          <w:sz w:val="24"/>
          <w:szCs w:val="24"/>
        </w:rPr>
        <w:t xml:space="preserve">entrevistas </w:t>
      </w:r>
      <w:r w:rsidR="00D2794F" w:rsidRPr="00431183">
        <w:rPr>
          <w:rFonts w:ascii="Cambria" w:hAnsi="Cambria" w:cs="Arial"/>
          <w:sz w:val="24"/>
          <w:szCs w:val="24"/>
        </w:rPr>
        <w:t>y</w:t>
      </w:r>
      <w:r w:rsidR="00522419" w:rsidRPr="00431183">
        <w:rPr>
          <w:rFonts w:ascii="Cambria" w:hAnsi="Cambria" w:cs="Arial"/>
          <w:sz w:val="24"/>
          <w:szCs w:val="24"/>
        </w:rPr>
        <w:t xml:space="preserve"> trabajo de campo a los r</w:t>
      </w:r>
      <w:r w:rsidR="00E70137" w:rsidRPr="00431183">
        <w:rPr>
          <w:rFonts w:ascii="Cambria" w:hAnsi="Cambria" w:cs="Arial"/>
          <w:sz w:val="24"/>
          <w:szCs w:val="24"/>
        </w:rPr>
        <w:t xml:space="preserve">epresentantes más importantes. </w:t>
      </w:r>
      <w:r w:rsidR="002E1669" w:rsidRPr="00431183">
        <w:rPr>
          <w:rFonts w:ascii="Cambria" w:hAnsi="Cambria" w:cs="Arial"/>
          <w:sz w:val="24"/>
          <w:szCs w:val="24"/>
        </w:rPr>
        <w:tab/>
      </w:r>
    </w:p>
    <w:p w14:paraId="13986586" w14:textId="187D6284" w:rsidR="002E33EA" w:rsidRPr="00431183" w:rsidRDefault="00522419" w:rsidP="00431183">
      <w:pPr>
        <w:spacing w:line="240" w:lineRule="auto"/>
        <w:ind w:firstLine="708"/>
        <w:jc w:val="both"/>
        <w:rPr>
          <w:rFonts w:ascii="Cambria" w:hAnsi="Cambria" w:cs="Arial"/>
          <w:sz w:val="24"/>
          <w:szCs w:val="24"/>
        </w:rPr>
      </w:pPr>
      <w:r w:rsidRPr="00431183">
        <w:rPr>
          <w:rFonts w:ascii="Cambria" w:hAnsi="Cambria" w:cs="Arial"/>
          <w:sz w:val="24"/>
          <w:szCs w:val="24"/>
        </w:rPr>
        <w:t>Como fuentes secundarias sobre los datos publicados por el Instituto Nacional de Estadísticas y Cen</w:t>
      </w:r>
      <w:r w:rsidR="000E2190">
        <w:rPr>
          <w:rFonts w:ascii="Cambria" w:hAnsi="Cambria" w:cs="Arial"/>
          <w:sz w:val="24"/>
          <w:szCs w:val="24"/>
        </w:rPr>
        <w:t>s</w:t>
      </w:r>
      <w:r w:rsidRPr="00431183">
        <w:rPr>
          <w:rFonts w:ascii="Cambria" w:hAnsi="Cambria" w:cs="Arial"/>
          <w:sz w:val="24"/>
          <w:szCs w:val="24"/>
        </w:rPr>
        <w:t>os (INEC)</w:t>
      </w:r>
      <w:r w:rsidR="00181685" w:rsidRPr="00431183">
        <w:rPr>
          <w:rFonts w:ascii="Cambria" w:hAnsi="Cambria" w:cs="Arial"/>
          <w:sz w:val="24"/>
          <w:szCs w:val="24"/>
        </w:rPr>
        <w:t xml:space="preserve"> en la encuesta continua de Empleo donde se </w:t>
      </w:r>
      <w:r w:rsidR="000B46DE" w:rsidRPr="00431183">
        <w:rPr>
          <w:rFonts w:ascii="Cambria" w:hAnsi="Cambria" w:cs="Arial"/>
          <w:sz w:val="24"/>
          <w:szCs w:val="24"/>
        </w:rPr>
        <w:t>obtuvo indicadores</w:t>
      </w:r>
      <w:r w:rsidR="00181685" w:rsidRPr="00431183">
        <w:rPr>
          <w:rFonts w:ascii="Cambria" w:hAnsi="Cambria" w:cs="Arial"/>
          <w:sz w:val="24"/>
          <w:szCs w:val="24"/>
        </w:rPr>
        <w:t xml:space="preserve"> sobre empleo, ingreso entre otras variables de importancia a tomar en consideración, además datos publicados en el Censo Agropecuario que se realizó en el 2014 referente a cantidad de hectáreas dedicadas al cultivo, concentra</w:t>
      </w:r>
      <w:r w:rsidR="00E70137" w:rsidRPr="00431183">
        <w:rPr>
          <w:rFonts w:ascii="Cambria" w:hAnsi="Cambria" w:cs="Arial"/>
          <w:sz w:val="24"/>
          <w:szCs w:val="24"/>
        </w:rPr>
        <w:t xml:space="preserve">ción por productor entre otros. </w:t>
      </w:r>
    </w:p>
    <w:p w14:paraId="587B799B" w14:textId="77777777" w:rsidR="00181685" w:rsidRPr="00431183" w:rsidRDefault="00181685"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Otras de las fuentes secundarias para explicar las actividades económicas que se realizan en la región de los Santos; </w:t>
      </w:r>
      <w:r w:rsidR="00D2794F" w:rsidRPr="00431183">
        <w:rPr>
          <w:rFonts w:ascii="Cambria" w:hAnsi="Cambria" w:cs="Arial"/>
          <w:sz w:val="24"/>
          <w:szCs w:val="24"/>
        </w:rPr>
        <w:t>están las</w:t>
      </w:r>
      <w:r w:rsidRPr="00431183">
        <w:rPr>
          <w:rFonts w:ascii="Cambria" w:hAnsi="Cambria" w:cs="Arial"/>
          <w:sz w:val="24"/>
          <w:szCs w:val="24"/>
        </w:rPr>
        <w:t xml:space="preserve"> bases de datos dispuestas por el Instituto del Café en Costa Rica (ICAFE) y Cafés Finos de Costa Rica, debido a que tales organizaciones cuentan con históricos de exportación de café ya sea en volumen como diferenciado y los principales destinos de exportación</w:t>
      </w:r>
      <w:r w:rsidR="00A005C7" w:rsidRPr="00431183">
        <w:rPr>
          <w:rFonts w:ascii="Cambria" w:hAnsi="Cambria" w:cs="Arial"/>
          <w:sz w:val="24"/>
          <w:szCs w:val="24"/>
        </w:rPr>
        <w:t xml:space="preserve">, entre otras variables que interesan analizar. </w:t>
      </w:r>
    </w:p>
    <w:p w14:paraId="13F5046E" w14:textId="77777777" w:rsidR="00A005C7" w:rsidRPr="00431183" w:rsidRDefault="00A005C7"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Finalmente, se hará referencia a otras fuentes de información como estudios externos sobre la actividad cafetalera, comercio internacional del café entre otros. </w:t>
      </w:r>
    </w:p>
    <w:p w14:paraId="39B7B0A0" w14:textId="77777777" w:rsidR="003636F4" w:rsidRDefault="00EA207A" w:rsidP="00FC2D87">
      <w:pPr>
        <w:pStyle w:val="Ttulo2"/>
        <w:spacing w:line="240" w:lineRule="auto"/>
        <w:rPr>
          <w:rFonts w:ascii="Cambria" w:hAnsi="Cambria" w:cs="Arial"/>
          <w:b/>
          <w:color w:val="auto"/>
          <w:sz w:val="24"/>
          <w:szCs w:val="24"/>
        </w:rPr>
      </w:pPr>
      <w:bookmarkStart w:id="76" w:name="_Toc527576958"/>
      <w:r>
        <w:rPr>
          <w:rFonts w:ascii="Cambria" w:hAnsi="Cambria" w:cs="Arial"/>
          <w:b/>
          <w:color w:val="auto"/>
          <w:sz w:val="24"/>
          <w:szCs w:val="24"/>
        </w:rPr>
        <w:t>3</w:t>
      </w:r>
      <w:r w:rsidR="003636F4" w:rsidRPr="00431183">
        <w:rPr>
          <w:rFonts w:ascii="Cambria" w:hAnsi="Cambria" w:cs="Arial"/>
          <w:b/>
          <w:color w:val="auto"/>
          <w:sz w:val="24"/>
          <w:szCs w:val="24"/>
        </w:rPr>
        <w:t xml:space="preserve">.5 </w:t>
      </w:r>
      <w:r w:rsidR="00D1010F" w:rsidRPr="00431183">
        <w:rPr>
          <w:rFonts w:ascii="Cambria" w:hAnsi="Cambria" w:cs="Arial"/>
          <w:b/>
          <w:color w:val="auto"/>
          <w:sz w:val="24"/>
          <w:szCs w:val="24"/>
        </w:rPr>
        <w:t>Selección de la muestra de Productores</w:t>
      </w:r>
      <w:bookmarkEnd w:id="76"/>
      <w:r w:rsidR="00D1010F" w:rsidRPr="00431183">
        <w:rPr>
          <w:rFonts w:ascii="Cambria" w:hAnsi="Cambria" w:cs="Arial"/>
          <w:b/>
          <w:color w:val="auto"/>
          <w:sz w:val="24"/>
          <w:szCs w:val="24"/>
        </w:rPr>
        <w:t xml:space="preserve"> </w:t>
      </w:r>
    </w:p>
    <w:p w14:paraId="56FFBA99" w14:textId="77777777" w:rsidR="00EA207A" w:rsidRPr="00431183" w:rsidRDefault="00EA207A" w:rsidP="00431183"/>
    <w:p w14:paraId="2BA65C92" w14:textId="77777777" w:rsidR="00280218" w:rsidRPr="00431183" w:rsidRDefault="00F22210" w:rsidP="00431183">
      <w:pPr>
        <w:spacing w:line="240" w:lineRule="auto"/>
        <w:ind w:firstLine="708"/>
        <w:jc w:val="both"/>
        <w:rPr>
          <w:rFonts w:ascii="Cambria" w:hAnsi="Cambria" w:cs="Arial"/>
          <w:sz w:val="24"/>
          <w:szCs w:val="24"/>
        </w:rPr>
      </w:pPr>
      <w:r w:rsidRPr="00431183">
        <w:rPr>
          <w:rFonts w:ascii="Cambria" w:hAnsi="Cambria" w:cs="Arial"/>
          <w:sz w:val="24"/>
          <w:szCs w:val="24"/>
        </w:rPr>
        <w:t>Da</w:t>
      </w:r>
      <w:r w:rsidR="002E1669" w:rsidRPr="00431183">
        <w:rPr>
          <w:rFonts w:ascii="Cambria" w:hAnsi="Cambria" w:cs="Arial"/>
          <w:sz w:val="24"/>
          <w:szCs w:val="24"/>
        </w:rPr>
        <w:t>d</w:t>
      </w:r>
      <w:r w:rsidRPr="00431183">
        <w:rPr>
          <w:rFonts w:ascii="Cambria" w:hAnsi="Cambria" w:cs="Arial"/>
          <w:sz w:val="24"/>
          <w:szCs w:val="24"/>
        </w:rPr>
        <w:t xml:space="preserve">o a la característica de la región y como es un estudio aplicado a productores de tres cantones, es indispensable aplicar la técnica </w:t>
      </w:r>
      <w:r w:rsidR="00CC1D9D" w:rsidRPr="00431183">
        <w:rPr>
          <w:rFonts w:ascii="Cambria" w:hAnsi="Cambria" w:cs="Arial"/>
          <w:sz w:val="24"/>
          <w:szCs w:val="24"/>
        </w:rPr>
        <w:t>de muestreo</w:t>
      </w:r>
      <w:r w:rsidR="00280218" w:rsidRPr="00431183">
        <w:rPr>
          <w:rFonts w:ascii="Cambria" w:hAnsi="Cambria" w:cs="Arial"/>
          <w:sz w:val="24"/>
          <w:szCs w:val="24"/>
        </w:rPr>
        <w:t xml:space="preserve"> por conglomerados, o áreas geográficas debido a que permite la observación del total de elementos de cada conglomerado elegido mediante un muestreo intencional, y para la selección del tamaño de la muestra se utilizara la siguiente expresión matemática: </w:t>
      </w:r>
    </w:p>
    <w:p w14:paraId="283A107A" w14:textId="77777777" w:rsidR="00280218" w:rsidRPr="00431183" w:rsidRDefault="00280218" w:rsidP="00431183">
      <w:pPr>
        <w:spacing w:line="240" w:lineRule="auto"/>
        <w:jc w:val="both"/>
        <w:rPr>
          <w:rFonts w:ascii="Cambria" w:eastAsiaTheme="minorEastAsia" w:hAnsi="Cambria"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N*</m:t>
              </m:r>
              <m:sSubSup>
                <m:sSubSupPr>
                  <m:ctrlPr>
                    <w:rPr>
                      <w:rFonts w:ascii="Cambria Math" w:hAnsi="Cambria Math" w:cs="Arial"/>
                      <w:i/>
                      <w:sz w:val="24"/>
                      <w:szCs w:val="24"/>
                    </w:rPr>
                  </m:ctrlPr>
                </m:sSubSupPr>
                <m:e>
                  <m:r>
                    <w:rPr>
                      <w:rFonts w:ascii="Cambria Math" w:hAnsi="Cambria Math" w:cs="Arial"/>
                      <w:sz w:val="24"/>
                      <w:szCs w:val="24"/>
                    </w:rPr>
                    <m:t>Z</m:t>
                  </m:r>
                </m:e>
                <m:sub>
                  <m:r>
                    <w:rPr>
                      <w:rFonts w:ascii="Cambria Math" w:hAnsi="Cambria Math" w:cs="Arial"/>
                      <w:sz w:val="24"/>
                      <w:szCs w:val="24"/>
                    </w:rPr>
                    <m:t>α</m:t>
                  </m:r>
                </m:sub>
                <m:sup>
                  <m:r>
                    <w:rPr>
                      <w:rFonts w:ascii="Cambria Math" w:hAnsi="Cambria Math" w:cs="Arial"/>
                      <w:sz w:val="24"/>
                      <w:szCs w:val="24"/>
                    </w:rPr>
                    <m:t>2</m:t>
                  </m:r>
                </m:sup>
              </m:sSubSup>
              <m:r>
                <w:rPr>
                  <w:rFonts w:ascii="Cambria Math" w:hAnsi="Cambria Math" w:cs="Arial"/>
                  <w:sz w:val="24"/>
                  <w:szCs w:val="24"/>
                </w:rPr>
                <m:t>*p*q</m:t>
              </m:r>
            </m:num>
            <m:den>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N-1</m:t>
                  </m:r>
                </m:e>
              </m:d>
              <m:r>
                <w:rPr>
                  <w:rFonts w:ascii="Cambria Math" w:hAnsi="Cambria Math" w:cs="Arial"/>
                  <w:sz w:val="24"/>
                  <w:szCs w:val="24"/>
                </w:rPr>
                <m:t>+</m:t>
              </m:r>
              <m:sSubSup>
                <m:sSubSupPr>
                  <m:ctrlPr>
                    <w:rPr>
                      <w:rFonts w:ascii="Cambria Math" w:hAnsi="Cambria Math" w:cs="Arial"/>
                      <w:i/>
                      <w:sz w:val="24"/>
                      <w:szCs w:val="24"/>
                    </w:rPr>
                  </m:ctrlPr>
                </m:sSubSupPr>
                <m:e>
                  <m:r>
                    <w:rPr>
                      <w:rFonts w:ascii="Cambria Math" w:hAnsi="Cambria Math" w:cs="Arial"/>
                      <w:sz w:val="24"/>
                      <w:szCs w:val="24"/>
                    </w:rPr>
                    <m:t>Z</m:t>
                  </m:r>
                </m:e>
                <m:sub>
                  <m:r>
                    <w:rPr>
                      <w:rFonts w:ascii="Cambria Math" w:hAnsi="Cambria Math" w:cs="Arial"/>
                      <w:sz w:val="24"/>
                      <w:szCs w:val="24"/>
                    </w:rPr>
                    <m:t>α</m:t>
                  </m:r>
                </m:sub>
                <m:sup>
                  <m:r>
                    <w:rPr>
                      <w:rFonts w:ascii="Cambria Math" w:hAnsi="Cambria Math" w:cs="Arial"/>
                      <w:sz w:val="24"/>
                      <w:szCs w:val="24"/>
                    </w:rPr>
                    <m:t>2</m:t>
                  </m:r>
                </m:sup>
              </m:sSubSup>
              <m:r>
                <w:rPr>
                  <w:rFonts w:ascii="Cambria Math" w:hAnsi="Cambria Math" w:cs="Arial"/>
                  <w:sz w:val="24"/>
                  <w:szCs w:val="24"/>
                </w:rPr>
                <m:t>*p*q</m:t>
              </m:r>
            </m:den>
          </m:f>
        </m:oMath>
      </m:oMathPara>
    </w:p>
    <w:p w14:paraId="38E5E7C7" w14:textId="31B2F1BD" w:rsidR="00A25AE4" w:rsidRDefault="00280218" w:rsidP="00FC2D87">
      <w:pPr>
        <w:spacing w:line="240" w:lineRule="auto"/>
        <w:jc w:val="both"/>
        <w:rPr>
          <w:rFonts w:ascii="Cambria" w:eastAsiaTheme="minorEastAsia" w:hAnsi="Cambria" w:cs="Arial"/>
          <w:b/>
        </w:rPr>
      </w:pPr>
      <w:r w:rsidRPr="00431183">
        <w:rPr>
          <w:rFonts w:ascii="Cambria" w:eastAsiaTheme="minorEastAsia" w:hAnsi="Cambria" w:cs="Arial"/>
          <w:sz w:val="24"/>
          <w:szCs w:val="24"/>
        </w:rPr>
        <w:t>Donde</w:t>
      </w:r>
    </w:p>
    <w:p w14:paraId="74D28339" w14:textId="38F0A8DE" w:rsidR="00EA207A" w:rsidRPr="00AF1E1D" w:rsidRDefault="00102BE2" w:rsidP="00AF1E1D">
      <w:pPr>
        <w:pStyle w:val="Descripcin"/>
        <w:rPr>
          <w:rFonts w:ascii="Cambria" w:eastAsiaTheme="minorEastAsia" w:hAnsi="Cambria" w:cs="Arial"/>
          <w:b/>
          <w:i w:val="0"/>
          <w:color w:val="auto"/>
          <w:sz w:val="22"/>
          <w:szCs w:val="22"/>
        </w:rPr>
      </w:pPr>
      <w:bookmarkStart w:id="77" w:name="_Toc527576359"/>
      <w:r w:rsidRPr="00AF1E1D">
        <w:rPr>
          <w:rFonts w:ascii="Cambria" w:hAnsi="Cambria"/>
          <w:b/>
          <w:i w:val="0"/>
          <w:color w:val="auto"/>
          <w:sz w:val="22"/>
          <w:szCs w:val="22"/>
        </w:rPr>
        <w:lastRenderedPageBreak/>
        <w:t xml:space="preserve">Tabla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00CE6395">
        <w:rPr>
          <w:rFonts w:ascii="Cambria" w:hAnsi="Cambria"/>
          <w:b/>
          <w:i w:val="0"/>
          <w:noProof/>
          <w:color w:val="auto"/>
          <w:sz w:val="22"/>
          <w:szCs w:val="22"/>
        </w:rPr>
        <w:t>1</w:t>
      </w:r>
      <w:bookmarkEnd w:id="77"/>
      <w:r w:rsidRPr="00AF1E1D">
        <w:rPr>
          <w:rFonts w:ascii="Cambria" w:hAnsi="Cambria"/>
          <w:b/>
          <w:i w:val="0"/>
          <w:color w:val="auto"/>
          <w:sz w:val="22"/>
          <w:szCs w:val="22"/>
        </w:rPr>
        <w:fldChar w:fldCharType="end"/>
      </w:r>
      <w:r w:rsidR="00EA207A" w:rsidRPr="00AF1E1D">
        <w:rPr>
          <w:rFonts w:ascii="Cambria" w:eastAsiaTheme="minorEastAsia" w:hAnsi="Cambria" w:cs="Arial"/>
          <w:b/>
          <w:i w:val="0"/>
          <w:color w:val="auto"/>
          <w:sz w:val="22"/>
          <w:szCs w:val="22"/>
        </w:rPr>
        <w:t xml:space="preserve"> </w:t>
      </w:r>
    </w:p>
    <w:p w14:paraId="4B01195E" w14:textId="0939DEA6" w:rsidR="00EA207A" w:rsidRPr="00AF1E1D" w:rsidRDefault="00EA207A" w:rsidP="00431183">
      <w:pPr>
        <w:spacing w:line="240" w:lineRule="auto"/>
        <w:jc w:val="both"/>
        <w:rPr>
          <w:rFonts w:ascii="Cambria" w:eastAsiaTheme="minorEastAsia" w:hAnsi="Cambria" w:cs="Arial"/>
          <w:b/>
        </w:rPr>
      </w:pPr>
      <w:r w:rsidRPr="00AF1E1D">
        <w:rPr>
          <w:rFonts w:ascii="Cambria" w:eastAsiaTheme="minorEastAsia" w:hAnsi="Cambria" w:cs="Arial"/>
          <w:b/>
        </w:rPr>
        <w:t xml:space="preserve">Especificación de las variables para </w:t>
      </w:r>
      <w:r w:rsidR="000E2190" w:rsidRPr="00AF1E1D">
        <w:rPr>
          <w:rFonts w:ascii="Cambria" w:eastAsiaTheme="minorEastAsia" w:hAnsi="Cambria" w:cs="Arial"/>
          <w:b/>
        </w:rPr>
        <w:t>cálculo</w:t>
      </w:r>
      <w:r w:rsidRPr="00AF1E1D">
        <w:rPr>
          <w:rFonts w:ascii="Cambria" w:eastAsiaTheme="minorEastAsia" w:hAnsi="Cambria" w:cs="Arial"/>
          <w:b/>
        </w:rPr>
        <w:t xml:space="preserve"> de la muestr</w:t>
      </w:r>
      <w:r w:rsidR="000E2190" w:rsidRPr="00AF1E1D">
        <w:rPr>
          <w:rFonts w:ascii="Cambria" w:eastAsiaTheme="minorEastAsia" w:hAnsi="Cambria" w:cs="Arial"/>
          <w:b/>
        </w:rPr>
        <w:t>a</w:t>
      </w:r>
      <w:r w:rsidRPr="00AF1E1D">
        <w:rPr>
          <w:rFonts w:ascii="Cambria" w:eastAsiaTheme="minorEastAsia" w:hAnsi="Cambria" w:cs="Arial"/>
          <w:b/>
        </w:rPr>
        <w:t xml:space="preserve"> </w:t>
      </w:r>
    </w:p>
    <w:tbl>
      <w:tblPr>
        <w:tblStyle w:val="Tablanormal21"/>
        <w:tblpPr w:leftFromText="180" w:rightFromText="180" w:vertAnchor="text" w:horzAnchor="margin" w:tblpY="69"/>
        <w:tblW w:w="9535" w:type="dxa"/>
        <w:tblLook w:val="04A0" w:firstRow="1" w:lastRow="0" w:firstColumn="1" w:lastColumn="0" w:noHBand="0" w:noVBand="1"/>
      </w:tblPr>
      <w:tblGrid>
        <w:gridCol w:w="2942"/>
        <w:gridCol w:w="2943"/>
        <w:gridCol w:w="3650"/>
      </w:tblGrid>
      <w:tr w:rsidR="0077677E" w:rsidRPr="00431183" w14:paraId="6A32250E" w14:textId="77777777" w:rsidTr="00431183">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942" w:type="dxa"/>
          </w:tcPr>
          <w:p w14:paraId="04370823" w14:textId="77777777" w:rsidR="0077677E" w:rsidRPr="00431183" w:rsidRDefault="0077677E" w:rsidP="00431183">
            <w:pPr>
              <w:jc w:val="both"/>
              <w:rPr>
                <w:rFonts w:ascii="Cambria" w:eastAsiaTheme="minorEastAsia" w:hAnsi="Cambria" w:cs="Arial"/>
                <w:b w:val="0"/>
                <w:sz w:val="24"/>
                <w:szCs w:val="24"/>
              </w:rPr>
            </w:pPr>
            <w:r w:rsidRPr="00431183">
              <w:rPr>
                <w:rFonts w:ascii="Cambria" w:eastAsiaTheme="minorEastAsia" w:hAnsi="Cambria" w:cs="Arial"/>
                <w:b w:val="0"/>
                <w:sz w:val="24"/>
                <w:szCs w:val="24"/>
              </w:rPr>
              <w:t>N= Población total.</w:t>
            </w:r>
          </w:p>
        </w:tc>
        <w:tc>
          <w:tcPr>
            <w:tcW w:w="2943" w:type="dxa"/>
          </w:tcPr>
          <w:p w14:paraId="4E3FEA26" w14:textId="77777777" w:rsidR="0077677E" w:rsidRPr="00431183" w:rsidRDefault="0077677E" w:rsidP="00431183">
            <w:pPr>
              <w:jc w:val="both"/>
              <w:cnfStyle w:val="100000000000" w:firstRow="1" w:lastRow="0" w:firstColumn="0" w:lastColumn="0" w:oddVBand="0" w:evenVBand="0" w:oddHBand="0" w:evenHBand="0" w:firstRowFirstColumn="0" w:firstRowLastColumn="0" w:lastRowFirstColumn="0" w:lastRowLastColumn="0"/>
              <w:rPr>
                <w:rFonts w:ascii="Cambria" w:eastAsiaTheme="minorEastAsia" w:hAnsi="Cambria" w:cs="Arial"/>
                <w:b w:val="0"/>
                <w:sz w:val="24"/>
                <w:szCs w:val="24"/>
              </w:rPr>
            </w:pPr>
            <w:r w:rsidRPr="00431183">
              <w:rPr>
                <w:rFonts w:ascii="Cambria" w:eastAsiaTheme="minorEastAsia" w:hAnsi="Cambria" w:cs="Arial"/>
                <w:b w:val="0"/>
                <w:sz w:val="24"/>
                <w:szCs w:val="24"/>
              </w:rPr>
              <w:t>n= Tamaño de la muestra.</w:t>
            </w:r>
          </w:p>
        </w:tc>
        <w:tc>
          <w:tcPr>
            <w:tcW w:w="3650" w:type="dxa"/>
          </w:tcPr>
          <w:p w14:paraId="05069FEE" w14:textId="77777777" w:rsidR="0077677E" w:rsidRPr="00431183" w:rsidRDefault="00B127E3" w:rsidP="00431183">
            <w:pPr>
              <w:jc w:val="both"/>
              <w:cnfStyle w:val="100000000000" w:firstRow="1" w:lastRow="0" w:firstColumn="0" w:lastColumn="0" w:oddVBand="0" w:evenVBand="0" w:oddHBand="0" w:evenHBand="0" w:firstRowFirstColumn="0" w:firstRowLastColumn="0" w:lastRowFirstColumn="0" w:lastRowLastColumn="0"/>
              <w:rPr>
                <w:rFonts w:ascii="Cambria" w:eastAsiaTheme="minorEastAsia" w:hAnsi="Cambria" w:cs="Arial"/>
                <w:b w:val="0"/>
                <w:sz w:val="24"/>
                <w:szCs w:val="24"/>
              </w:rPr>
            </w:pPr>
            <m:oMath>
              <m:sSub>
                <m:sSubPr>
                  <m:ctrlPr>
                    <w:rPr>
                      <w:rFonts w:ascii="Cambria Math" w:hAnsi="Cambria Math" w:cs="Arial"/>
                      <w:b w:val="0"/>
                      <w:i/>
                      <w:sz w:val="24"/>
                      <w:szCs w:val="24"/>
                    </w:rPr>
                  </m:ctrlPr>
                </m:sSubPr>
                <m:e>
                  <m:r>
                    <m:rPr>
                      <m:sty m:val="bi"/>
                    </m:rPr>
                    <w:rPr>
                      <w:rFonts w:ascii="Cambria Math" w:hAnsi="Cambria Math" w:cs="Arial"/>
                      <w:sz w:val="24"/>
                      <w:szCs w:val="24"/>
                    </w:rPr>
                    <m:t>Z</m:t>
                  </m:r>
                </m:e>
                <m:sub>
                  <m:r>
                    <m:rPr>
                      <m:sty m:val="bi"/>
                    </m:rPr>
                    <w:rPr>
                      <w:rFonts w:ascii="Cambria Math" w:hAnsi="Cambria Math" w:cs="Arial"/>
                      <w:sz w:val="24"/>
                      <w:szCs w:val="24"/>
                    </w:rPr>
                    <m:t>∝</m:t>
                  </m:r>
                </m:sub>
              </m:sSub>
            </m:oMath>
            <w:r w:rsidR="0077677E" w:rsidRPr="00431183">
              <w:rPr>
                <w:rFonts w:ascii="Cambria" w:eastAsiaTheme="minorEastAsia" w:hAnsi="Cambria" w:cs="Arial"/>
                <w:b w:val="0"/>
                <w:sz w:val="24"/>
                <w:szCs w:val="24"/>
              </w:rPr>
              <w:t>=Nivel de confianza, valor correspondiente a la distribución de Gauss</w:t>
            </w:r>
          </w:p>
        </w:tc>
      </w:tr>
      <w:tr w:rsidR="0077677E" w:rsidRPr="00431183" w14:paraId="13A0882F" w14:textId="77777777" w:rsidTr="004311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20C481C0" w14:textId="77777777" w:rsidR="0077677E" w:rsidRPr="00431183" w:rsidRDefault="0077677E" w:rsidP="00431183">
            <w:pPr>
              <w:jc w:val="both"/>
              <w:rPr>
                <w:rFonts w:ascii="Cambria" w:eastAsiaTheme="minorEastAsia" w:hAnsi="Cambria" w:cs="Arial"/>
                <w:b w:val="0"/>
                <w:sz w:val="24"/>
                <w:szCs w:val="24"/>
              </w:rPr>
            </w:pPr>
            <w:r w:rsidRPr="00431183">
              <w:rPr>
                <w:rFonts w:ascii="Cambria" w:eastAsiaTheme="minorEastAsia" w:hAnsi="Cambria" w:cs="Arial"/>
                <w:b w:val="0"/>
                <w:sz w:val="24"/>
                <w:szCs w:val="24"/>
              </w:rPr>
              <w:t>p= Prevalencia esperada del parámetro a evaluar</w:t>
            </w:r>
          </w:p>
        </w:tc>
        <w:tc>
          <w:tcPr>
            <w:tcW w:w="2943" w:type="dxa"/>
          </w:tcPr>
          <w:p w14:paraId="2DB2594D" w14:textId="77777777" w:rsidR="0077677E" w:rsidRPr="00431183" w:rsidRDefault="0077677E" w:rsidP="00431183">
            <w:pPr>
              <w:jc w:val="both"/>
              <w:cnfStyle w:val="000000100000" w:firstRow="0" w:lastRow="0" w:firstColumn="0" w:lastColumn="0" w:oddVBand="0" w:evenVBand="0" w:oddHBand="1" w:evenHBand="0" w:firstRowFirstColumn="0" w:firstRowLastColumn="0" w:lastRowFirstColumn="0" w:lastRowLastColumn="0"/>
              <w:rPr>
                <w:rFonts w:ascii="Cambria" w:eastAsiaTheme="minorEastAsia" w:hAnsi="Cambria" w:cs="Arial"/>
                <w:sz w:val="24"/>
                <w:szCs w:val="24"/>
              </w:rPr>
            </w:pPr>
            <w:r w:rsidRPr="00431183">
              <w:rPr>
                <w:rFonts w:ascii="Cambria" w:eastAsiaTheme="minorEastAsia" w:hAnsi="Cambria" w:cs="Arial"/>
                <w:sz w:val="24"/>
                <w:szCs w:val="24"/>
              </w:rPr>
              <w:t>q= Heterogeneidad (equivale a 1-p)</w:t>
            </w:r>
          </w:p>
          <w:p w14:paraId="2E189B71" w14:textId="77777777" w:rsidR="0077677E" w:rsidRPr="00431183" w:rsidRDefault="0077677E" w:rsidP="00431183">
            <w:pPr>
              <w:jc w:val="both"/>
              <w:cnfStyle w:val="000000100000" w:firstRow="0" w:lastRow="0" w:firstColumn="0" w:lastColumn="0" w:oddVBand="0" w:evenVBand="0" w:oddHBand="1" w:evenHBand="0" w:firstRowFirstColumn="0" w:firstRowLastColumn="0" w:lastRowFirstColumn="0" w:lastRowLastColumn="0"/>
              <w:rPr>
                <w:rFonts w:ascii="Cambria" w:eastAsiaTheme="minorEastAsia" w:hAnsi="Cambria" w:cs="Arial"/>
                <w:sz w:val="24"/>
                <w:szCs w:val="24"/>
              </w:rPr>
            </w:pPr>
          </w:p>
        </w:tc>
        <w:tc>
          <w:tcPr>
            <w:tcW w:w="3650" w:type="dxa"/>
          </w:tcPr>
          <w:p w14:paraId="011007EF" w14:textId="77777777" w:rsidR="0077677E" w:rsidRPr="00431183" w:rsidRDefault="0077677E" w:rsidP="00431183">
            <w:pPr>
              <w:jc w:val="both"/>
              <w:cnfStyle w:val="000000100000" w:firstRow="0" w:lastRow="0" w:firstColumn="0" w:lastColumn="0" w:oddVBand="0" w:evenVBand="0" w:oddHBand="1" w:evenHBand="0" w:firstRowFirstColumn="0" w:firstRowLastColumn="0" w:lastRowFirstColumn="0" w:lastRowLastColumn="0"/>
              <w:rPr>
                <w:rFonts w:ascii="Cambria" w:eastAsiaTheme="minorEastAsia" w:hAnsi="Cambria" w:cs="Arial"/>
                <w:sz w:val="24"/>
                <w:szCs w:val="24"/>
              </w:rPr>
            </w:pPr>
            <w:r w:rsidRPr="00431183">
              <w:rPr>
                <w:rFonts w:ascii="Cambria" w:eastAsiaTheme="minorEastAsia" w:hAnsi="Cambria" w:cs="Arial"/>
                <w:sz w:val="24"/>
                <w:szCs w:val="24"/>
              </w:rPr>
              <w:t>d= Margen de error</w:t>
            </w:r>
          </w:p>
          <w:p w14:paraId="5F0D130B" w14:textId="77777777" w:rsidR="0077677E" w:rsidRPr="00431183" w:rsidRDefault="0077677E" w:rsidP="00431183">
            <w:pPr>
              <w:jc w:val="both"/>
              <w:cnfStyle w:val="000000100000" w:firstRow="0" w:lastRow="0" w:firstColumn="0" w:lastColumn="0" w:oddVBand="0" w:evenVBand="0" w:oddHBand="1" w:evenHBand="0" w:firstRowFirstColumn="0" w:firstRowLastColumn="0" w:lastRowFirstColumn="0" w:lastRowLastColumn="0"/>
              <w:rPr>
                <w:rFonts w:ascii="Cambria" w:eastAsiaTheme="minorEastAsia" w:hAnsi="Cambria" w:cs="Arial"/>
                <w:sz w:val="24"/>
                <w:szCs w:val="24"/>
              </w:rPr>
            </w:pPr>
          </w:p>
        </w:tc>
      </w:tr>
    </w:tbl>
    <w:p w14:paraId="10952355" w14:textId="77777777" w:rsidR="0077677E" w:rsidRPr="00431183" w:rsidRDefault="00CA004F"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w:t>
      </w:r>
    </w:p>
    <w:p w14:paraId="44792675" w14:textId="7364698C" w:rsidR="003434EE" w:rsidRPr="00431183" w:rsidRDefault="00280218"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Partiendo </w:t>
      </w:r>
      <w:r w:rsidR="00113CD6" w:rsidRPr="00431183">
        <w:rPr>
          <w:rFonts w:ascii="Cambria" w:eastAsiaTheme="minorEastAsia" w:hAnsi="Cambria" w:cs="Arial"/>
          <w:sz w:val="24"/>
          <w:szCs w:val="24"/>
        </w:rPr>
        <w:t xml:space="preserve">de la expresión matemática anterior, y basados en los datos disponibles del Censo Agrícola de 2014 y el Censo cafetalero realizado en el 2006 se aproxima que en la región hay aproximadamente un total de 7386 productores siendo lo anterior la población de estudio, al calcular el tamaño de una muestra se obtiene una de 366 productores respectivamente. </w:t>
      </w:r>
      <w:r w:rsidR="000E2190">
        <w:rPr>
          <w:rFonts w:ascii="Cambria" w:eastAsiaTheme="minorEastAsia" w:hAnsi="Cambria" w:cs="Arial"/>
          <w:sz w:val="24"/>
          <w:szCs w:val="24"/>
        </w:rPr>
        <w:t>Realizaron encuestas a toda esta población?</w:t>
      </w:r>
    </w:p>
    <w:p w14:paraId="76C52148" w14:textId="0C1F4E17" w:rsidR="00426764" w:rsidRPr="00431183" w:rsidRDefault="00CA004F" w:rsidP="00431183">
      <w:pPr>
        <w:pStyle w:val="Ttulo2"/>
        <w:spacing w:line="240" w:lineRule="auto"/>
        <w:rPr>
          <w:rFonts w:ascii="Cambria" w:hAnsi="Cambria" w:cs="Arial"/>
          <w:b/>
          <w:color w:val="auto"/>
          <w:sz w:val="24"/>
          <w:szCs w:val="24"/>
        </w:rPr>
      </w:pPr>
      <w:bookmarkStart w:id="78" w:name="_Toc527576959"/>
      <w:r>
        <w:rPr>
          <w:rFonts w:ascii="Cambria" w:hAnsi="Cambria" w:cs="Arial"/>
          <w:b/>
          <w:color w:val="auto"/>
          <w:sz w:val="24"/>
          <w:szCs w:val="24"/>
        </w:rPr>
        <w:t>3</w:t>
      </w:r>
      <w:r w:rsidR="00426764" w:rsidRPr="00431183">
        <w:rPr>
          <w:rFonts w:ascii="Cambria" w:hAnsi="Cambria" w:cs="Arial"/>
          <w:b/>
          <w:color w:val="auto"/>
          <w:sz w:val="24"/>
          <w:szCs w:val="24"/>
        </w:rPr>
        <w:t xml:space="preserve">.6 Métodos </w:t>
      </w:r>
      <w:r w:rsidR="004225C4" w:rsidRPr="00431183">
        <w:rPr>
          <w:rFonts w:ascii="Cambria" w:hAnsi="Cambria" w:cs="Arial"/>
          <w:b/>
          <w:color w:val="auto"/>
          <w:sz w:val="24"/>
          <w:szCs w:val="24"/>
        </w:rPr>
        <w:t xml:space="preserve">Financieros </w:t>
      </w:r>
      <w:r w:rsidR="00426764" w:rsidRPr="00431183">
        <w:rPr>
          <w:rFonts w:ascii="Cambria" w:hAnsi="Cambria" w:cs="Arial"/>
          <w:b/>
          <w:color w:val="auto"/>
          <w:sz w:val="24"/>
          <w:szCs w:val="24"/>
        </w:rPr>
        <w:t>utilizados para Valorar la Denominación de Origen Tarrazú</w:t>
      </w:r>
      <w:bookmarkEnd w:id="78"/>
      <w:r w:rsidR="000E2190">
        <w:rPr>
          <w:rFonts w:ascii="Cambria" w:hAnsi="Cambria" w:cs="Arial"/>
          <w:b/>
          <w:color w:val="auto"/>
          <w:sz w:val="24"/>
          <w:szCs w:val="24"/>
        </w:rPr>
        <w:t xml:space="preserve"> </w:t>
      </w:r>
    </w:p>
    <w:p w14:paraId="5FB75605" w14:textId="28C3AB47" w:rsidR="003434EE" w:rsidRPr="00431183" w:rsidRDefault="003434EE">
      <w:pPr>
        <w:spacing w:line="240" w:lineRule="auto"/>
        <w:ind w:firstLine="708"/>
        <w:jc w:val="both"/>
        <w:rPr>
          <w:rFonts w:ascii="Cambria" w:hAnsi="Cambria" w:cs="Arial"/>
          <w:sz w:val="24"/>
          <w:szCs w:val="24"/>
        </w:rPr>
      </w:pPr>
      <w:r w:rsidRPr="00431183">
        <w:rPr>
          <w:rFonts w:ascii="Cambria" w:hAnsi="Cambria" w:cs="Arial"/>
          <w:sz w:val="24"/>
          <w:szCs w:val="24"/>
        </w:rPr>
        <w:t xml:space="preserve">El proceso de valoración </w:t>
      </w:r>
      <w:r w:rsidR="00025AA4">
        <w:rPr>
          <w:rFonts w:ascii="Cambria" w:hAnsi="Cambria" w:cs="Arial"/>
          <w:sz w:val="24"/>
          <w:szCs w:val="24"/>
        </w:rPr>
        <w:t>financiera c</w:t>
      </w:r>
      <w:r w:rsidRPr="00431183">
        <w:rPr>
          <w:rFonts w:ascii="Cambria" w:hAnsi="Cambria" w:cs="Arial"/>
          <w:sz w:val="24"/>
          <w:szCs w:val="24"/>
        </w:rPr>
        <w:t xml:space="preserve">ontempla un análisis sistemático de los factores que influyen en el valor de la </w:t>
      </w:r>
      <w:r w:rsidR="00F736BC">
        <w:rPr>
          <w:rFonts w:ascii="Cambria" w:hAnsi="Cambria" w:cs="Arial"/>
          <w:sz w:val="24"/>
          <w:szCs w:val="24"/>
        </w:rPr>
        <w:t>marca Denominación</w:t>
      </w:r>
      <w:r w:rsidR="00A13128">
        <w:rPr>
          <w:rFonts w:ascii="Cambria" w:hAnsi="Cambria" w:cs="Arial"/>
          <w:sz w:val="24"/>
          <w:szCs w:val="24"/>
        </w:rPr>
        <w:t xml:space="preserve"> </w:t>
      </w:r>
      <w:r w:rsidR="00F736BC">
        <w:rPr>
          <w:rFonts w:ascii="Cambria" w:hAnsi="Cambria" w:cs="Arial"/>
          <w:sz w:val="24"/>
          <w:szCs w:val="24"/>
        </w:rPr>
        <w:t>de</w:t>
      </w:r>
      <w:r w:rsidR="00A13128">
        <w:rPr>
          <w:rFonts w:ascii="Cambria" w:hAnsi="Cambria" w:cs="Arial"/>
          <w:sz w:val="24"/>
          <w:szCs w:val="24"/>
        </w:rPr>
        <w:t xml:space="preserve"> Origen del café de Tarrazú</w:t>
      </w:r>
      <w:r w:rsidRPr="00431183">
        <w:rPr>
          <w:rFonts w:ascii="Cambria" w:hAnsi="Cambria" w:cs="Arial"/>
          <w:sz w:val="24"/>
          <w:szCs w:val="24"/>
        </w:rPr>
        <w:t xml:space="preserve">, en </w:t>
      </w:r>
      <w:r w:rsidR="00A13128">
        <w:rPr>
          <w:rFonts w:ascii="Cambria" w:hAnsi="Cambria" w:cs="Arial"/>
          <w:sz w:val="24"/>
          <w:szCs w:val="24"/>
        </w:rPr>
        <w:t>la práctica internacional</w:t>
      </w:r>
      <w:r w:rsidRPr="00431183">
        <w:rPr>
          <w:rFonts w:ascii="Cambria" w:hAnsi="Cambria" w:cs="Arial"/>
          <w:sz w:val="24"/>
          <w:szCs w:val="24"/>
        </w:rPr>
        <w:t xml:space="preserve"> típicamente</w:t>
      </w:r>
      <w:r w:rsidR="003147AE" w:rsidRPr="00431183">
        <w:rPr>
          <w:rFonts w:ascii="Cambria" w:hAnsi="Cambria" w:cs="Arial"/>
          <w:sz w:val="24"/>
          <w:szCs w:val="24"/>
        </w:rPr>
        <w:t xml:space="preserve"> se</w:t>
      </w:r>
      <w:r w:rsidRPr="00431183">
        <w:rPr>
          <w:rFonts w:ascii="Cambria" w:hAnsi="Cambria" w:cs="Arial"/>
          <w:sz w:val="24"/>
          <w:szCs w:val="24"/>
        </w:rPr>
        <w:t xml:space="preserve"> incluye</w:t>
      </w:r>
      <w:r w:rsidR="003147AE" w:rsidRPr="00431183">
        <w:rPr>
          <w:rFonts w:ascii="Cambria" w:hAnsi="Cambria" w:cs="Arial"/>
          <w:sz w:val="24"/>
          <w:szCs w:val="24"/>
        </w:rPr>
        <w:t>n</w:t>
      </w:r>
      <w:r w:rsidRPr="00431183">
        <w:rPr>
          <w:rFonts w:ascii="Cambria" w:hAnsi="Cambria" w:cs="Arial"/>
          <w:sz w:val="24"/>
          <w:szCs w:val="24"/>
        </w:rPr>
        <w:t xml:space="preserve"> tres métodos de valoración </w:t>
      </w:r>
      <w:r w:rsidR="00A13128">
        <w:rPr>
          <w:rFonts w:ascii="Cambria" w:hAnsi="Cambria" w:cs="Arial"/>
          <w:sz w:val="24"/>
          <w:szCs w:val="24"/>
        </w:rPr>
        <w:t xml:space="preserve">comúnmente </w:t>
      </w:r>
      <w:r w:rsidRPr="00431183">
        <w:rPr>
          <w:rFonts w:ascii="Cambria" w:hAnsi="Cambria" w:cs="Arial"/>
          <w:sz w:val="24"/>
          <w:szCs w:val="24"/>
        </w:rPr>
        <w:t>aceptados y aplicados:</w:t>
      </w:r>
      <w:r w:rsidR="007D5DC7" w:rsidRPr="00431183">
        <w:rPr>
          <w:rFonts w:ascii="Cambria" w:hAnsi="Cambria" w:cs="Arial"/>
          <w:sz w:val="24"/>
          <w:szCs w:val="24"/>
        </w:rPr>
        <w:t xml:space="preserve"> i</w:t>
      </w:r>
      <w:r w:rsidRPr="00431183">
        <w:rPr>
          <w:rFonts w:ascii="Cambria" w:hAnsi="Cambria" w:cs="Arial"/>
          <w:sz w:val="24"/>
          <w:szCs w:val="24"/>
        </w:rPr>
        <w:t xml:space="preserve">ngresos </w:t>
      </w:r>
      <w:r w:rsidR="007D5DC7" w:rsidRPr="00431183">
        <w:rPr>
          <w:rFonts w:ascii="Cambria" w:hAnsi="Cambria" w:cs="Arial"/>
          <w:sz w:val="24"/>
          <w:szCs w:val="24"/>
        </w:rPr>
        <w:t>futuros, valor</w:t>
      </w:r>
      <w:r w:rsidRPr="00431183">
        <w:rPr>
          <w:rFonts w:ascii="Cambria" w:hAnsi="Cambria" w:cs="Arial"/>
          <w:sz w:val="24"/>
          <w:szCs w:val="24"/>
        </w:rPr>
        <w:t xml:space="preserve"> de mercado</w:t>
      </w:r>
      <w:r w:rsidR="006F1EF6" w:rsidRPr="00431183">
        <w:rPr>
          <w:rFonts w:ascii="Cambria" w:hAnsi="Cambria" w:cs="Arial"/>
          <w:sz w:val="24"/>
          <w:szCs w:val="24"/>
        </w:rPr>
        <w:t xml:space="preserve"> </w:t>
      </w:r>
      <w:r w:rsidRPr="00431183">
        <w:rPr>
          <w:rFonts w:ascii="Cambria" w:hAnsi="Cambria" w:cs="Arial"/>
          <w:sz w:val="24"/>
          <w:szCs w:val="24"/>
        </w:rPr>
        <w:t>y</w:t>
      </w:r>
      <w:r w:rsidR="006F1EF6" w:rsidRPr="00431183">
        <w:rPr>
          <w:rFonts w:ascii="Cambria" w:hAnsi="Cambria" w:cs="Arial"/>
          <w:sz w:val="24"/>
          <w:szCs w:val="24"/>
        </w:rPr>
        <w:t xml:space="preserve"> c</w:t>
      </w:r>
      <w:r w:rsidRPr="00431183">
        <w:rPr>
          <w:rFonts w:ascii="Cambria" w:hAnsi="Cambria" w:cs="Arial"/>
          <w:sz w:val="24"/>
          <w:szCs w:val="24"/>
        </w:rPr>
        <w:t xml:space="preserve">osto de reposición. </w:t>
      </w:r>
      <w:r w:rsidR="00235486" w:rsidRPr="00431183">
        <w:rPr>
          <w:rFonts w:ascii="Cambria" w:hAnsi="Cambria" w:cs="Arial"/>
          <w:sz w:val="24"/>
          <w:szCs w:val="24"/>
        </w:rPr>
        <w:t>El análisis por desarrollar</w:t>
      </w:r>
      <w:r w:rsidRPr="00431183">
        <w:rPr>
          <w:rFonts w:ascii="Cambria" w:hAnsi="Cambria" w:cs="Arial"/>
          <w:sz w:val="24"/>
          <w:szCs w:val="24"/>
        </w:rPr>
        <w:t xml:space="preserve"> </w:t>
      </w:r>
      <w:r w:rsidR="002B4C24">
        <w:rPr>
          <w:rFonts w:ascii="Cambria" w:hAnsi="Cambria" w:cs="Arial"/>
          <w:sz w:val="24"/>
          <w:szCs w:val="24"/>
        </w:rPr>
        <w:t xml:space="preserve">en esta investigación </w:t>
      </w:r>
      <w:r w:rsidRPr="00431183">
        <w:rPr>
          <w:rFonts w:ascii="Cambria" w:hAnsi="Cambria" w:cs="Arial"/>
          <w:sz w:val="24"/>
          <w:szCs w:val="24"/>
        </w:rPr>
        <w:t>involucra la evaluación del valor razonable de los activos sujetos a valoración.</w:t>
      </w:r>
    </w:p>
    <w:p w14:paraId="176BD470" w14:textId="77777777" w:rsidR="008E192B" w:rsidRDefault="003434EE" w:rsidP="008E192B">
      <w:pPr>
        <w:spacing w:line="240" w:lineRule="auto"/>
        <w:ind w:firstLine="708"/>
        <w:jc w:val="both"/>
        <w:rPr>
          <w:rFonts w:ascii="Cambria" w:hAnsi="Cambria" w:cs="Arial"/>
          <w:sz w:val="24"/>
          <w:szCs w:val="24"/>
        </w:rPr>
      </w:pPr>
      <w:r w:rsidRPr="00431183">
        <w:rPr>
          <w:rFonts w:ascii="Cambria" w:hAnsi="Cambria" w:cs="Arial"/>
          <w:sz w:val="24"/>
          <w:szCs w:val="24"/>
        </w:rPr>
        <w:t>En mayo de 2011, el Consejo de Normas Internacionales de Contabilidad (IASB) emitió la IFRS</w:t>
      </w:r>
      <w:r w:rsidR="00647587">
        <w:rPr>
          <w:rFonts w:ascii="Cambria" w:hAnsi="Cambria" w:cs="Arial"/>
          <w:sz w:val="24"/>
          <w:szCs w:val="24"/>
        </w:rPr>
        <w:t xml:space="preserve"> (</w:t>
      </w:r>
      <w:r w:rsidR="00647587">
        <w:rPr>
          <w:rFonts w:ascii="Arial" w:hAnsi="Arial" w:cs="Arial"/>
          <w:color w:val="000000"/>
          <w:shd w:val="clear" w:color="auto" w:fill="FFFFFF"/>
        </w:rPr>
        <w:t>International Financial Reporting Standard, por sus siglas en inglés</w:t>
      </w:r>
      <w:r w:rsidR="00647587">
        <w:rPr>
          <w:rFonts w:ascii="Cambria" w:hAnsi="Cambria" w:cs="Arial"/>
          <w:sz w:val="24"/>
          <w:szCs w:val="24"/>
        </w:rPr>
        <w:t xml:space="preserve">) 13, conocida como </w:t>
      </w:r>
      <w:r w:rsidRPr="00431183">
        <w:rPr>
          <w:rFonts w:ascii="Cambria" w:hAnsi="Cambria" w:cs="Arial"/>
          <w:sz w:val="24"/>
          <w:szCs w:val="24"/>
        </w:rPr>
        <w:t>Medición del Valor Razonable</w:t>
      </w:r>
      <w:r w:rsidR="008E192B">
        <w:rPr>
          <w:rFonts w:ascii="Cambria" w:hAnsi="Cambria" w:cs="Arial"/>
          <w:sz w:val="24"/>
          <w:szCs w:val="24"/>
        </w:rPr>
        <w:t xml:space="preserve">; debido a que era necesario establecer un único conjunto de </w:t>
      </w:r>
      <w:r w:rsidR="008E192B" w:rsidRPr="008E192B">
        <w:rPr>
          <w:rFonts w:ascii="Cambria" w:hAnsi="Cambria" w:cs="Arial"/>
          <w:sz w:val="24"/>
          <w:szCs w:val="24"/>
        </w:rPr>
        <w:t>normas contables globales para medir el valor razonable, lo que significa que la IFRS 13 es prácticamente idéntica a los Estándares de Contabilidad Codificados (en adelante ASC por sus siglas en inglés) Tema 820: “Medición del Valor Razonable” (anteriormente conocido como FAS 157). La IFRS 13 tendrá vigencia para los periodos anuales que comiencen a partir del 1 de enero de 2013.</w:t>
      </w:r>
    </w:p>
    <w:p w14:paraId="1EC17F44" w14:textId="77777777" w:rsidR="00996D3E" w:rsidRPr="00431183" w:rsidRDefault="005203C5" w:rsidP="008E192B">
      <w:pPr>
        <w:spacing w:line="240" w:lineRule="auto"/>
        <w:ind w:firstLine="708"/>
        <w:jc w:val="both"/>
        <w:rPr>
          <w:rFonts w:ascii="Cambria" w:hAnsi="Cambria" w:cs="Arial"/>
          <w:sz w:val="24"/>
          <w:szCs w:val="24"/>
        </w:rPr>
      </w:pPr>
      <w:r>
        <w:rPr>
          <w:rFonts w:ascii="Cambria" w:hAnsi="Cambria" w:cs="Arial"/>
          <w:sz w:val="24"/>
          <w:szCs w:val="24"/>
        </w:rPr>
        <w:t xml:space="preserve">De </w:t>
      </w:r>
      <w:r w:rsidR="00CF422E">
        <w:rPr>
          <w:rFonts w:ascii="Cambria" w:hAnsi="Cambria" w:cs="Arial"/>
          <w:sz w:val="24"/>
          <w:szCs w:val="24"/>
        </w:rPr>
        <w:t>esta</w:t>
      </w:r>
      <w:r>
        <w:rPr>
          <w:rFonts w:ascii="Cambria" w:hAnsi="Cambria" w:cs="Arial"/>
          <w:sz w:val="24"/>
          <w:szCs w:val="24"/>
        </w:rPr>
        <w:t xml:space="preserve"> normativa</w:t>
      </w:r>
      <w:r w:rsidR="00CF422E">
        <w:rPr>
          <w:rFonts w:ascii="Cambria" w:hAnsi="Cambria" w:cs="Arial"/>
          <w:sz w:val="24"/>
          <w:szCs w:val="24"/>
        </w:rPr>
        <w:t xml:space="preserve"> se </w:t>
      </w:r>
      <w:r w:rsidR="003434EE" w:rsidRPr="00431183">
        <w:rPr>
          <w:rFonts w:ascii="Cambria" w:hAnsi="Cambria" w:cs="Arial"/>
          <w:sz w:val="24"/>
          <w:szCs w:val="24"/>
        </w:rPr>
        <w:t xml:space="preserve">supondrá que el activo o pasivo se intercambia en una transacción ordenada en la fecha de medición en condiciones de mercado presentes, en el mercado principal del activo o pasivo, o inclusive, en ausencia de un mercado principal, </w:t>
      </w:r>
      <w:r w:rsidR="00CF422E">
        <w:rPr>
          <w:rFonts w:ascii="Cambria" w:hAnsi="Cambria" w:cs="Arial"/>
          <w:sz w:val="24"/>
          <w:szCs w:val="24"/>
        </w:rPr>
        <w:t>considerando</w:t>
      </w:r>
      <w:r w:rsidR="003434EE" w:rsidRPr="00431183">
        <w:rPr>
          <w:rFonts w:ascii="Cambria" w:hAnsi="Cambria" w:cs="Arial"/>
          <w:sz w:val="24"/>
          <w:szCs w:val="24"/>
        </w:rPr>
        <w:t xml:space="preserve"> el mercado más ventajoso para el activo o pasivo. El mercado que se debe usar es aquel donde normalmente se realizaría una transacción de compra y venta de ese activo con un razonable acceso a ese mercado a la fecha de valoración.</w:t>
      </w:r>
    </w:p>
    <w:p w14:paraId="003C1E7C" w14:textId="77777777" w:rsidR="006D160C" w:rsidRPr="00431183" w:rsidRDefault="004836BC" w:rsidP="00431183">
      <w:pPr>
        <w:spacing w:line="240" w:lineRule="auto"/>
        <w:ind w:firstLine="708"/>
        <w:jc w:val="both"/>
        <w:rPr>
          <w:rFonts w:ascii="Cambria" w:hAnsi="Cambria" w:cs="Arial"/>
          <w:sz w:val="24"/>
          <w:szCs w:val="24"/>
        </w:rPr>
      </w:pPr>
      <w:r w:rsidRPr="00431183">
        <w:rPr>
          <w:rFonts w:ascii="Cambria" w:hAnsi="Cambria" w:cs="Arial"/>
          <w:sz w:val="24"/>
          <w:szCs w:val="24"/>
        </w:rPr>
        <w:t>La valoración financiera</w:t>
      </w:r>
      <w:r w:rsidR="00DC2BC3" w:rsidRPr="00431183">
        <w:rPr>
          <w:rFonts w:ascii="Cambria" w:hAnsi="Cambria" w:cs="Arial"/>
          <w:sz w:val="24"/>
          <w:szCs w:val="24"/>
        </w:rPr>
        <w:t xml:space="preserve">, </w:t>
      </w:r>
      <w:r w:rsidRPr="00431183">
        <w:rPr>
          <w:rFonts w:ascii="Cambria" w:hAnsi="Cambria" w:cs="Arial"/>
          <w:sz w:val="24"/>
          <w:szCs w:val="24"/>
        </w:rPr>
        <w:t>se realiza bajo la premisa de “máximo y mejor uso”, es decir, se valora en el mercado donde los activos sujetos a valoración obtendrían su mayor beneficio económico.</w:t>
      </w:r>
    </w:p>
    <w:p w14:paraId="1D6A392A" w14:textId="77777777" w:rsidR="00DC2BC3" w:rsidRPr="00431183" w:rsidRDefault="00DC2BC3" w:rsidP="005E0500">
      <w:pPr>
        <w:spacing w:line="240" w:lineRule="auto"/>
        <w:ind w:firstLine="708"/>
        <w:jc w:val="both"/>
        <w:rPr>
          <w:rFonts w:ascii="Cambria" w:hAnsi="Cambria" w:cs="Arial"/>
          <w:sz w:val="24"/>
          <w:szCs w:val="24"/>
        </w:rPr>
      </w:pPr>
      <w:r w:rsidRPr="00431183">
        <w:rPr>
          <w:rFonts w:ascii="Cambria" w:hAnsi="Cambria" w:cs="Arial"/>
          <w:sz w:val="24"/>
          <w:szCs w:val="24"/>
        </w:rPr>
        <w:t xml:space="preserve">En el caso de activos no financieros el mercado deberá utilizar el máximo y mejor uso, el cual se refiere a la capacidad del participante en generar beneficios económicos </w:t>
      </w:r>
      <w:r w:rsidRPr="00431183">
        <w:rPr>
          <w:rFonts w:ascii="Cambria" w:hAnsi="Cambria" w:cs="Arial"/>
          <w:sz w:val="24"/>
          <w:szCs w:val="24"/>
        </w:rPr>
        <w:lastRenderedPageBreak/>
        <w:t>mediante la utilización del activo en su máximo y mejor uso, o la venta de este a un participante que lo utilizaría en su máximo y mejor uso.</w:t>
      </w:r>
      <w:r w:rsidR="005E0500">
        <w:rPr>
          <w:rFonts w:ascii="Cambria" w:hAnsi="Cambria" w:cs="Arial"/>
          <w:sz w:val="24"/>
          <w:szCs w:val="24"/>
        </w:rPr>
        <w:t xml:space="preserve"> </w:t>
      </w:r>
      <w:r w:rsidRPr="00431183">
        <w:rPr>
          <w:rFonts w:ascii="Cambria" w:hAnsi="Cambria" w:cs="Arial"/>
          <w:sz w:val="24"/>
          <w:szCs w:val="24"/>
        </w:rPr>
        <w:t>El máximo y mejor uso de un activo no financiero puede proporcionar el valor máximo para los participantes del mercado mediante su utilización en combinación con otros activos como un grupo, o en combinación con otros activos y pasivos.</w:t>
      </w:r>
    </w:p>
    <w:p w14:paraId="0F1FC9FE" w14:textId="77777777" w:rsidR="00DC2BC3" w:rsidRPr="00431183" w:rsidRDefault="00DC2BC3" w:rsidP="00431183">
      <w:pPr>
        <w:spacing w:line="240" w:lineRule="auto"/>
        <w:ind w:firstLine="708"/>
        <w:jc w:val="both"/>
        <w:rPr>
          <w:rFonts w:ascii="Cambria" w:hAnsi="Cambria" w:cs="Arial"/>
          <w:sz w:val="24"/>
          <w:szCs w:val="24"/>
        </w:rPr>
      </w:pPr>
      <w:r w:rsidRPr="00431183">
        <w:rPr>
          <w:rFonts w:ascii="Cambria" w:hAnsi="Cambria" w:cs="Arial"/>
          <w:sz w:val="24"/>
          <w:szCs w:val="24"/>
        </w:rPr>
        <w:t>Se utilizan las técnicas de valoración que sean apropiadas a las circunstancias y sobre las cuales existan datos suficientes disponibles para medir el valor razonable, maximizando el uso de datos de entrada observables relevantes y minimizando el uso de datos de entrada no observables.</w:t>
      </w:r>
    </w:p>
    <w:p w14:paraId="5194CCF2" w14:textId="77777777" w:rsidR="00EF2C9C" w:rsidRPr="00431183" w:rsidRDefault="00DC2BC3" w:rsidP="00431183">
      <w:pPr>
        <w:spacing w:line="240" w:lineRule="auto"/>
        <w:ind w:firstLine="708"/>
        <w:jc w:val="both"/>
        <w:rPr>
          <w:rFonts w:ascii="Cambria" w:hAnsi="Cambria"/>
          <w:sz w:val="24"/>
          <w:szCs w:val="24"/>
        </w:rPr>
      </w:pPr>
      <w:r w:rsidRPr="00431183">
        <w:rPr>
          <w:rFonts w:ascii="Cambria" w:hAnsi="Cambria" w:cs="Arial"/>
          <w:sz w:val="24"/>
          <w:szCs w:val="24"/>
        </w:rPr>
        <w:t>Entre los elementos de una transacción se incluyen los siguientes: el activo o pasivo (o grupo de activos como las unidades generadoras de efectivo), el mercado principal o el más ventajoso y los participantes del mercado que actúan de acuerdo a su mejor interés económico.</w:t>
      </w:r>
    </w:p>
    <w:p w14:paraId="5487382E" w14:textId="77777777" w:rsidR="00DC2BC3" w:rsidRPr="00431183" w:rsidRDefault="00CA004F" w:rsidP="00431183">
      <w:pPr>
        <w:pStyle w:val="Ttulo3"/>
        <w:spacing w:line="240" w:lineRule="auto"/>
        <w:rPr>
          <w:rFonts w:ascii="Cambria" w:eastAsiaTheme="minorEastAsia" w:hAnsi="Cambria" w:cs="Arial"/>
          <w:b/>
          <w:color w:val="auto"/>
        </w:rPr>
      </w:pPr>
      <w:bookmarkStart w:id="79" w:name="_Toc527576960"/>
      <w:r>
        <w:rPr>
          <w:rFonts w:ascii="Cambria" w:eastAsiaTheme="minorEastAsia" w:hAnsi="Cambria" w:cs="Arial"/>
          <w:b/>
          <w:color w:val="auto"/>
        </w:rPr>
        <w:t>3</w:t>
      </w:r>
      <w:r w:rsidR="00F36AC0" w:rsidRPr="00431183">
        <w:rPr>
          <w:rFonts w:ascii="Cambria" w:eastAsiaTheme="minorEastAsia" w:hAnsi="Cambria" w:cs="Arial"/>
          <w:b/>
          <w:color w:val="auto"/>
        </w:rPr>
        <w:t xml:space="preserve">.6.1 </w:t>
      </w:r>
      <w:r w:rsidR="00DC2BC3" w:rsidRPr="00431183">
        <w:rPr>
          <w:rFonts w:ascii="Cambria" w:eastAsiaTheme="minorEastAsia" w:hAnsi="Cambria" w:cs="Arial"/>
          <w:b/>
          <w:color w:val="auto"/>
        </w:rPr>
        <w:t>Valor Razonable:</w:t>
      </w:r>
      <w:bookmarkEnd w:id="79"/>
    </w:p>
    <w:p w14:paraId="62831580" w14:textId="77777777" w:rsidR="00DC2BC3" w:rsidRPr="00431183" w:rsidRDefault="00DC2BC3"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El precio que sería recibido por vender un activo o pagado por transferir un pasivo en una transacción ordenada entre participantes del mercado en la fecha de medición</w:t>
      </w:r>
      <w:r w:rsidR="002E1669" w:rsidRPr="00431183">
        <w:rPr>
          <w:rFonts w:ascii="Cambria" w:eastAsiaTheme="minorEastAsia" w:hAnsi="Cambria" w:cs="Arial"/>
          <w:sz w:val="24"/>
          <w:szCs w:val="24"/>
        </w:rPr>
        <w:t xml:space="preserve"> según</w:t>
      </w:r>
      <w:r w:rsidRPr="00431183">
        <w:rPr>
          <w:rFonts w:ascii="Cambria" w:eastAsiaTheme="minorEastAsia" w:hAnsi="Cambria" w:cs="Arial"/>
          <w:sz w:val="24"/>
          <w:szCs w:val="24"/>
        </w:rPr>
        <w:t xml:space="preserve"> IFRS 13.</w:t>
      </w:r>
    </w:p>
    <w:p w14:paraId="59DCB2B4" w14:textId="77777777" w:rsidR="00DC2BC3" w:rsidRPr="00431183" w:rsidRDefault="00DC2BC3"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Inicialmente, en el análisis para identificar los activos intangibles, se tienen en cuenta aquellos establecidos en la IFRS 3 como aspectos requeridos en una combinación de negocios que cumplen con la definición de activos intangibles.</w:t>
      </w:r>
    </w:p>
    <w:p w14:paraId="02C0901E" w14:textId="77777777" w:rsidR="00DC2BC3" w:rsidRPr="00431183" w:rsidRDefault="00DC2BC3"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Con el fin de estimar el valor de los Activos Sujetos a Valoración, consideraremos las tres metodologías de valoración generalmente aceptadas. Estas tres categorías de valoración hacen referencia a la metodología del ingreso, metodología del mercado y metodología del costo. Dentro de cada categoría, existe una variedad de métodos para la estimación del valor razonable. Describimos a continuación la base teórica de cada categoría, así como las metodologías relevantes para el análisis a realizar.</w:t>
      </w:r>
    </w:p>
    <w:p w14:paraId="30657184" w14:textId="77777777" w:rsidR="00357B17" w:rsidRPr="00431183" w:rsidRDefault="00CA004F" w:rsidP="00431183">
      <w:pPr>
        <w:pStyle w:val="Ttulo3"/>
        <w:spacing w:line="240" w:lineRule="auto"/>
        <w:rPr>
          <w:rFonts w:ascii="Cambria" w:eastAsiaTheme="minorEastAsia" w:hAnsi="Cambria" w:cs="Arial"/>
          <w:b/>
          <w:color w:val="auto"/>
        </w:rPr>
      </w:pPr>
      <w:bookmarkStart w:id="80" w:name="_Toc527576961"/>
      <w:r>
        <w:rPr>
          <w:rFonts w:ascii="Cambria" w:eastAsiaTheme="minorEastAsia" w:hAnsi="Cambria" w:cs="Arial"/>
          <w:b/>
          <w:color w:val="auto"/>
        </w:rPr>
        <w:t>3</w:t>
      </w:r>
      <w:r w:rsidR="00E862E3" w:rsidRPr="00431183">
        <w:rPr>
          <w:rFonts w:ascii="Cambria" w:eastAsiaTheme="minorEastAsia" w:hAnsi="Cambria" w:cs="Arial"/>
          <w:b/>
          <w:color w:val="auto"/>
        </w:rPr>
        <w:t xml:space="preserve">.6.2 </w:t>
      </w:r>
      <w:r w:rsidR="00357B17" w:rsidRPr="00431183">
        <w:rPr>
          <w:rFonts w:ascii="Cambria" w:eastAsiaTheme="minorEastAsia" w:hAnsi="Cambria" w:cs="Arial"/>
          <w:b/>
          <w:color w:val="auto"/>
        </w:rPr>
        <w:t>Metodología de Ingresos Futuros</w:t>
      </w:r>
      <w:bookmarkEnd w:id="80"/>
    </w:p>
    <w:p w14:paraId="3EC0ABA6" w14:textId="77777777" w:rsidR="00E862E3" w:rsidRPr="00431183" w:rsidRDefault="00E862E3" w:rsidP="00431183">
      <w:pPr>
        <w:spacing w:line="240" w:lineRule="auto"/>
        <w:rPr>
          <w:rFonts w:ascii="Cambria" w:hAnsi="Cambria"/>
          <w:sz w:val="24"/>
          <w:szCs w:val="24"/>
        </w:rPr>
      </w:pPr>
    </w:p>
    <w:p w14:paraId="0085CFDB" w14:textId="77777777" w:rsidR="00357B17" w:rsidRPr="00431183" w:rsidRDefault="00357B1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El enfoque de ingresos es una manera general de desarrollar una indicación de valor para un negocio, participación accionaria, un activo tangible o intangible, usando uno o más métodos que convierten los beneficios económicos anticipados en un valor único presente.</w:t>
      </w:r>
      <w:r w:rsidR="006A6C21" w:rsidRPr="00431183">
        <w:rPr>
          <w:rFonts w:ascii="Cambria" w:eastAsiaTheme="minorEastAsia" w:hAnsi="Cambria" w:cs="Arial"/>
          <w:sz w:val="24"/>
          <w:szCs w:val="24"/>
        </w:rPr>
        <w:t xml:space="preserve"> Determina valor razonable de un activo por medio del valor presente de los ingresos futuros que éste es capaz de generar.</w:t>
      </w:r>
    </w:p>
    <w:p w14:paraId="2883C227" w14:textId="77777777" w:rsidR="006A6C21" w:rsidRPr="00431183" w:rsidRDefault="006A6C21" w:rsidP="00431183">
      <w:pPr>
        <w:spacing w:line="240" w:lineRule="auto"/>
        <w:jc w:val="both"/>
        <w:rPr>
          <w:rFonts w:ascii="Cambria" w:eastAsiaTheme="minorEastAsia" w:hAnsi="Cambria" w:cs="Arial"/>
          <w:sz w:val="24"/>
          <w:szCs w:val="24"/>
        </w:rPr>
      </w:pPr>
    </w:p>
    <w:p w14:paraId="61BC117B" w14:textId="77777777" w:rsidR="00357B17" w:rsidRDefault="00CA004F" w:rsidP="00FC2D87">
      <w:pPr>
        <w:pStyle w:val="Ttulo3"/>
        <w:spacing w:line="240" w:lineRule="auto"/>
        <w:rPr>
          <w:rFonts w:ascii="Cambria" w:eastAsiaTheme="minorEastAsia" w:hAnsi="Cambria" w:cs="Arial"/>
          <w:b/>
          <w:color w:val="auto"/>
        </w:rPr>
      </w:pPr>
      <w:bookmarkStart w:id="81" w:name="_Toc527576962"/>
      <w:r>
        <w:rPr>
          <w:rFonts w:ascii="Cambria" w:eastAsiaTheme="minorEastAsia" w:hAnsi="Cambria" w:cs="Arial"/>
          <w:b/>
          <w:color w:val="auto"/>
        </w:rPr>
        <w:t>3</w:t>
      </w:r>
      <w:r w:rsidR="00E862E3" w:rsidRPr="00431183">
        <w:rPr>
          <w:rFonts w:ascii="Cambria" w:eastAsiaTheme="minorEastAsia" w:hAnsi="Cambria" w:cs="Arial"/>
          <w:b/>
          <w:color w:val="auto"/>
        </w:rPr>
        <w:t xml:space="preserve">.6.3 </w:t>
      </w:r>
      <w:r w:rsidR="00357B17" w:rsidRPr="00431183">
        <w:rPr>
          <w:rFonts w:ascii="Cambria" w:eastAsiaTheme="minorEastAsia" w:hAnsi="Cambria" w:cs="Arial"/>
          <w:b/>
          <w:color w:val="auto"/>
        </w:rPr>
        <w:t>Metodología de Valor de Mercado</w:t>
      </w:r>
      <w:bookmarkEnd w:id="81"/>
    </w:p>
    <w:p w14:paraId="06F793AF" w14:textId="77777777" w:rsidR="00CA004F" w:rsidRPr="00431183" w:rsidRDefault="00CA004F" w:rsidP="00431183"/>
    <w:p w14:paraId="62E96342" w14:textId="77777777" w:rsidR="002E1669" w:rsidRPr="00431183" w:rsidRDefault="00357B1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El enfoque de mercado o comparación de </w:t>
      </w:r>
      <w:r w:rsidR="000B46DE" w:rsidRPr="00431183">
        <w:rPr>
          <w:rFonts w:ascii="Cambria" w:eastAsiaTheme="minorEastAsia" w:hAnsi="Cambria" w:cs="Arial"/>
          <w:sz w:val="24"/>
          <w:szCs w:val="24"/>
        </w:rPr>
        <w:t>ventas</w:t>
      </w:r>
      <w:r w:rsidRPr="00431183">
        <w:rPr>
          <w:rFonts w:ascii="Cambria" w:eastAsiaTheme="minorEastAsia" w:hAnsi="Cambria" w:cs="Arial"/>
          <w:sz w:val="24"/>
          <w:szCs w:val="24"/>
        </w:rPr>
        <w:t xml:space="preserve"> es una forma general de estimar el valor de un negocio, participación accionaria, o un activo tangible o intangible, usando uno o más métodos que comparan el objeto con inversiones similares o activos que han sido vendido u ofertados para venta.  </w:t>
      </w:r>
    </w:p>
    <w:p w14:paraId="0EA0A105" w14:textId="7755EFF9" w:rsidR="00E20128" w:rsidRPr="00431183" w:rsidRDefault="00357B17">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lastRenderedPageBreak/>
        <w:t>Las ventas y precios ofertados de las inversiones comparables o activos son ajustadas para reflejar las diferencias entre la inversión o activo que se está valorando y las inversiones comparables o activos, tales como las condiciones financieras históricas y el desempeño, los beneficios económicos esperados, el tiempo y los términos de venta, utilidad y características físicas.</w:t>
      </w:r>
      <w:r w:rsidR="006A6C21" w:rsidRPr="00431183">
        <w:rPr>
          <w:rFonts w:ascii="Cambria" w:eastAsiaTheme="minorEastAsia" w:hAnsi="Cambria" w:cs="Arial"/>
          <w:sz w:val="24"/>
          <w:szCs w:val="24"/>
        </w:rPr>
        <w:t xml:space="preserve"> Determina valor razonable sobre la base de información de inversionistas que han pagado por activos similares en el mercado.</w:t>
      </w:r>
    </w:p>
    <w:p w14:paraId="0D81638C" w14:textId="36E426F5" w:rsidR="00A25AE4" w:rsidRPr="00AF1E1D" w:rsidRDefault="00CA004F" w:rsidP="00AF1E1D">
      <w:r>
        <w:rPr>
          <w:rFonts w:ascii="Cambria" w:eastAsiaTheme="minorEastAsia" w:hAnsi="Cambria" w:cs="Arial"/>
          <w:b/>
        </w:rPr>
        <w:t>3</w:t>
      </w:r>
      <w:r w:rsidR="00E862E3" w:rsidRPr="00431183">
        <w:rPr>
          <w:rFonts w:ascii="Cambria" w:eastAsiaTheme="minorEastAsia" w:hAnsi="Cambria" w:cs="Arial"/>
          <w:b/>
        </w:rPr>
        <w:t xml:space="preserve">.6.4 </w:t>
      </w:r>
      <w:r w:rsidR="00357B17" w:rsidRPr="00431183">
        <w:rPr>
          <w:rFonts w:ascii="Cambria" w:eastAsiaTheme="minorEastAsia" w:hAnsi="Cambria" w:cs="Arial"/>
          <w:b/>
        </w:rPr>
        <w:t>Metodología de Costo de Reposición</w:t>
      </w:r>
    </w:p>
    <w:p w14:paraId="20055F0D" w14:textId="77777777" w:rsidR="00CA004F" w:rsidRPr="00431183" w:rsidRDefault="00CA004F" w:rsidP="00AF1E1D">
      <w:pPr>
        <w:pStyle w:val="Ttulo3"/>
        <w:spacing w:line="240" w:lineRule="auto"/>
      </w:pPr>
    </w:p>
    <w:p w14:paraId="18F234DD" w14:textId="69B75673" w:rsidR="00E20128" w:rsidRPr="00431183" w:rsidRDefault="00357B17">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El enfoque de costo o activo es una forma general de estimar el valor de un negocio, participación accionaria, un activo tangible o intangible, cuantificando la cantidad de dinero requerida para reemplazar la inversión o activo con otro que tenga una utilidad equivalente, descrito en ocasiones como capacidad futura de servicio.</w:t>
      </w:r>
      <w:r w:rsidR="006A6C21" w:rsidRPr="00431183">
        <w:rPr>
          <w:rFonts w:ascii="Cambria" w:eastAsiaTheme="minorEastAsia" w:hAnsi="Cambria" w:cs="Arial"/>
          <w:sz w:val="24"/>
          <w:szCs w:val="24"/>
        </w:rPr>
        <w:t xml:space="preserve"> Determina valor razonable de un activo cuantificando el dinero requerido para reemplazarlo por uno nuevo obteniendo una utilidad equivalente.</w:t>
      </w:r>
    </w:p>
    <w:p w14:paraId="1EE2D190" w14:textId="77777777" w:rsidR="0021690A" w:rsidRPr="00431183" w:rsidRDefault="00CA004F" w:rsidP="00431183">
      <w:pPr>
        <w:pStyle w:val="Ttulo3"/>
        <w:spacing w:line="240" w:lineRule="auto"/>
        <w:rPr>
          <w:rFonts w:ascii="Cambria" w:eastAsiaTheme="minorEastAsia" w:hAnsi="Cambria" w:cs="Arial"/>
          <w:b/>
          <w:color w:val="auto"/>
        </w:rPr>
      </w:pPr>
      <w:bookmarkStart w:id="82" w:name="_Toc527576963"/>
      <w:r>
        <w:rPr>
          <w:rFonts w:ascii="Cambria" w:eastAsiaTheme="minorEastAsia" w:hAnsi="Cambria" w:cs="Arial"/>
          <w:b/>
          <w:color w:val="auto"/>
        </w:rPr>
        <w:t>3</w:t>
      </w:r>
      <w:r w:rsidR="00E862E3" w:rsidRPr="00431183">
        <w:rPr>
          <w:rFonts w:ascii="Cambria" w:eastAsiaTheme="minorEastAsia" w:hAnsi="Cambria" w:cs="Arial"/>
          <w:b/>
          <w:color w:val="auto"/>
        </w:rPr>
        <w:t xml:space="preserve">.6.5 </w:t>
      </w:r>
      <w:r w:rsidR="0021690A" w:rsidRPr="00431183">
        <w:rPr>
          <w:rFonts w:ascii="Cambria" w:eastAsiaTheme="minorEastAsia" w:hAnsi="Cambria" w:cs="Arial"/>
          <w:b/>
          <w:color w:val="auto"/>
        </w:rPr>
        <w:t>Descripción Metodología Ingresos Futuros – Activos Intangibles</w:t>
      </w:r>
      <w:bookmarkEnd w:id="82"/>
    </w:p>
    <w:p w14:paraId="7E8E3B87" w14:textId="77777777" w:rsidR="00E862E3" w:rsidRPr="00431183" w:rsidRDefault="00E862E3" w:rsidP="00431183">
      <w:pPr>
        <w:spacing w:line="240" w:lineRule="auto"/>
        <w:rPr>
          <w:rFonts w:ascii="Cambria" w:hAnsi="Cambria"/>
          <w:sz w:val="24"/>
          <w:szCs w:val="24"/>
        </w:rPr>
      </w:pPr>
    </w:p>
    <w:p w14:paraId="318EAF6B" w14:textId="77777777" w:rsidR="0021690A" w:rsidRPr="00431183" w:rsidRDefault="0021690A"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La metodología de ingresos futuros se basa en la premisa que el valor razonable de un activo está representado por el valor presente de los ingresos futuros que éste es capaz de generar y que queden disponibles para la distribución a sus respectivos inversionistas. La aproximación más común a esta metodología es por medio del análisis de los flujos de caja descontados. </w:t>
      </w:r>
    </w:p>
    <w:p w14:paraId="49EC5BA3" w14:textId="77777777" w:rsidR="0021690A" w:rsidRDefault="0021690A" w:rsidP="00FC2D87">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Este análisis requiere la proyección de los flujos generados por el activo durante un periodo de tiempo determinado, para posteriormente traerlos a valor presente descontándolos a una tasa apropiada para dicha operación. Esta tasa de descuento debe considerar el valor del dinero en el tiempo, la inflación y el riesgo inherente a la transacción que se está llevando a cabo. Adicional a lo anterior, este análisis está hecho teniendo en cuenta el nivel de riesgo apropiado en la tasa de descuento de los flujos futuros. Asimismo, teniendo en cuenta los tipos de activos intangibles identificados</w:t>
      </w:r>
      <w:r w:rsidR="00CA004F">
        <w:rPr>
          <w:rFonts w:ascii="Cambria" w:eastAsiaTheme="minorEastAsia" w:hAnsi="Cambria" w:cs="Arial"/>
          <w:sz w:val="24"/>
          <w:szCs w:val="24"/>
        </w:rPr>
        <w:t>.</w:t>
      </w:r>
    </w:p>
    <w:p w14:paraId="0B8445CC" w14:textId="77777777" w:rsidR="00CA004F" w:rsidRPr="00431183" w:rsidRDefault="00CA004F" w:rsidP="00431183">
      <w:pPr>
        <w:spacing w:line="240" w:lineRule="auto"/>
        <w:ind w:firstLine="708"/>
        <w:jc w:val="both"/>
        <w:rPr>
          <w:rFonts w:ascii="Cambria" w:eastAsiaTheme="minorEastAsia" w:hAnsi="Cambria" w:cs="Arial"/>
          <w:sz w:val="24"/>
          <w:szCs w:val="24"/>
        </w:rPr>
      </w:pPr>
    </w:p>
    <w:p w14:paraId="6C7664D2" w14:textId="77777777" w:rsidR="0021690A" w:rsidRPr="00431183" w:rsidRDefault="00CA004F" w:rsidP="00431183">
      <w:pPr>
        <w:pStyle w:val="Ttulo3"/>
        <w:spacing w:line="240" w:lineRule="auto"/>
        <w:rPr>
          <w:rFonts w:ascii="Cambria" w:eastAsiaTheme="minorEastAsia" w:hAnsi="Cambria" w:cs="Arial"/>
          <w:b/>
          <w:color w:val="auto"/>
        </w:rPr>
      </w:pPr>
      <w:bookmarkStart w:id="83" w:name="_Toc527576964"/>
      <w:r>
        <w:rPr>
          <w:rFonts w:ascii="Cambria" w:eastAsiaTheme="minorEastAsia" w:hAnsi="Cambria" w:cs="Arial"/>
          <w:b/>
          <w:color w:val="auto"/>
        </w:rPr>
        <w:t>3</w:t>
      </w:r>
      <w:r w:rsidR="00E862E3" w:rsidRPr="00431183">
        <w:rPr>
          <w:rFonts w:ascii="Cambria" w:eastAsiaTheme="minorEastAsia" w:hAnsi="Cambria" w:cs="Arial"/>
          <w:b/>
          <w:color w:val="auto"/>
        </w:rPr>
        <w:t xml:space="preserve">.6.6 </w:t>
      </w:r>
      <w:r w:rsidR="0021690A" w:rsidRPr="00431183">
        <w:rPr>
          <w:rFonts w:ascii="Cambria" w:eastAsiaTheme="minorEastAsia" w:hAnsi="Cambria" w:cs="Arial"/>
          <w:b/>
          <w:color w:val="auto"/>
        </w:rPr>
        <w:t>Ahorro en Regalías (en inglés, Relief from Royalties)</w:t>
      </w:r>
      <w:bookmarkEnd w:id="83"/>
    </w:p>
    <w:p w14:paraId="1506B198" w14:textId="77777777" w:rsidR="00E862E3" w:rsidRPr="00431183" w:rsidRDefault="00E862E3" w:rsidP="00431183">
      <w:pPr>
        <w:spacing w:line="240" w:lineRule="auto"/>
        <w:rPr>
          <w:rFonts w:ascii="Cambria" w:hAnsi="Cambria"/>
          <w:sz w:val="24"/>
          <w:szCs w:val="24"/>
        </w:rPr>
      </w:pPr>
    </w:p>
    <w:p w14:paraId="3CD7DDE0" w14:textId="77777777" w:rsidR="0021690A" w:rsidRPr="00431183" w:rsidRDefault="0021690A"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Esta metodología es una aplicación específica del método de flujo de caja descontado, basada en el principio que al ser dueño del activo intangible a valorar se disminuye la necesidad de pagar una regalía a un tercero por el derecho de usar dicho activo. </w:t>
      </w:r>
    </w:p>
    <w:p w14:paraId="4067A30E" w14:textId="77777777" w:rsidR="0021690A" w:rsidRDefault="0021690A"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De esta manera, el valor del activo intangible será igual al valor presente del ahorro en costos como resultado de no tener que pagar una regalía a un tercero por el uso del activo. Este ahorro en costos es estimado con base en el pago de una “regalía hipotética” que se pagaría a un tercero por el uso del activo, menos el ahorro en impuestos logrado por el tercero sobre los pagos de la regalía.</w:t>
      </w:r>
    </w:p>
    <w:p w14:paraId="62E73144" w14:textId="77777777" w:rsidR="00E20128" w:rsidRDefault="00E20128" w:rsidP="00431183">
      <w:pPr>
        <w:spacing w:line="240" w:lineRule="auto"/>
        <w:ind w:firstLine="708"/>
        <w:jc w:val="both"/>
        <w:rPr>
          <w:rFonts w:ascii="Cambria" w:eastAsiaTheme="minorEastAsia" w:hAnsi="Cambria" w:cs="Arial"/>
          <w:sz w:val="24"/>
          <w:szCs w:val="24"/>
        </w:rPr>
      </w:pPr>
    </w:p>
    <w:p w14:paraId="5A59EE18" w14:textId="77777777" w:rsidR="00E20128" w:rsidRPr="00431183" w:rsidRDefault="00E20128" w:rsidP="00431183">
      <w:pPr>
        <w:spacing w:line="240" w:lineRule="auto"/>
        <w:ind w:firstLine="708"/>
        <w:jc w:val="both"/>
        <w:rPr>
          <w:rFonts w:ascii="Cambria" w:eastAsiaTheme="minorEastAsia" w:hAnsi="Cambria" w:cs="Arial"/>
          <w:sz w:val="24"/>
          <w:szCs w:val="24"/>
        </w:rPr>
      </w:pPr>
    </w:p>
    <w:p w14:paraId="470FFA3E" w14:textId="77777777" w:rsidR="0021690A" w:rsidRPr="00431183" w:rsidRDefault="00CA004F" w:rsidP="00431183">
      <w:pPr>
        <w:pStyle w:val="Ttulo3"/>
        <w:spacing w:line="240" w:lineRule="auto"/>
        <w:rPr>
          <w:rFonts w:ascii="Cambria" w:eastAsiaTheme="minorEastAsia" w:hAnsi="Cambria" w:cs="Arial"/>
          <w:b/>
          <w:color w:val="auto"/>
        </w:rPr>
      </w:pPr>
      <w:bookmarkStart w:id="84" w:name="_Toc527576965"/>
      <w:r>
        <w:rPr>
          <w:rFonts w:ascii="Cambria" w:eastAsiaTheme="minorEastAsia" w:hAnsi="Cambria" w:cs="Arial"/>
          <w:b/>
          <w:color w:val="auto"/>
        </w:rPr>
        <w:t>3</w:t>
      </w:r>
      <w:r w:rsidR="00E862E3" w:rsidRPr="00431183">
        <w:rPr>
          <w:rFonts w:ascii="Cambria" w:eastAsiaTheme="minorEastAsia" w:hAnsi="Cambria" w:cs="Arial"/>
          <w:b/>
          <w:color w:val="auto"/>
        </w:rPr>
        <w:t xml:space="preserve">.6.7 </w:t>
      </w:r>
      <w:r w:rsidR="0021690A" w:rsidRPr="00431183">
        <w:rPr>
          <w:rFonts w:ascii="Cambria" w:eastAsiaTheme="minorEastAsia" w:hAnsi="Cambria" w:cs="Arial"/>
          <w:b/>
          <w:color w:val="auto"/>
        </w:rPr>
        <w:t>Flujo de Caja Diferencial (en inglés, Differential method | With and Without)</w:t>
      </w:r>
      <w:bookmarkEnd w:id="84"/>
    </w:p>
    <w:p w14:paraId="4AFFE91A" w14:textId="77777777" w:rsidR="00E862E3" w:rsidRPr="00431183" w:rsidRDefault="00E862E3" w:rsidP="00431183">
      <w:pPr>
        <w:spacing w:line="240" w:lineRule="auto"/>
        <w:rPr>
          <w:rFonts w:ascii="Cambria" w:hAnsi="Cambria"/>
          <w:sz w:val="24"/>
          <w:szCs w:val="24"/>
        </w:rPr>
      </w:pPr>
    </w:p>
    <w:p w14:paraId="569E5659" w14:textId="77777777" w:rsidR="0021690A" w:rsidRDefault="0021690A"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Esta metodología es una aplicación específica del método de flujo de caja descontado que cuantifica, mediante un análisis diferencial, los efectos combinados de un incremento en los ingresos y un decrecimiento de los costos. Este análisis diferencial compara los ingresos y costos esperados para la compañía con el activo intangible a valorar y los ingresos y costos esperados para la compañía sin el intangible a valorar (con y sin).  Regularmente, es aplicada cuando es fácil determinar los flujos de caja asociados con el activo intangible a valorar y asimismo separarlos dentro del flujo de caja del negocio.  </w:t>
      </w:r>
    </w:p>
    <w:p w14:paraId="13636E40" w14:textId="77777777" w:rsidR="00E20128" w:rsidRDefault="00E20128" w:rsidP="00E20128">
      <w:pPr>
        <w:spacing w:line="240" w:lineRule="auto"/>
        <w:jc w:val="both"/>
        <w:rPr>
          <w:rFonts w:ascii="Cambria" w:eastAsiaTheme="minorEastAsia" w:hAnsi="Cambria" w:cs="Arial"/>
          <w:b/>
          <w:sz w:val="24"/>
          <w:szCs w:val="24"/>
        </w:rPr>
      </w:pPr>
      <w:r w:rsidRPr="00E20128">
        <w:rPr>
          <w:rFonts w:ascii="Cambria" w:eastAsiaTheme="minorEastAsia" w:hAnsi="Cambria" w:cs="Arial"/>
          <w:b/>
          <w:sz w:val="24"/>
          <w:szCs w:val="24"/>
        </w:rPr>
        <w:t>3.6.</w:t>
      </w:r>
      <w:r w:rsidR="00275CE4">
        <w:rPr>
          <w:rFonts w:ascii="Cambria" w:eastAsiaTheme="minorEastAsia" w:hAnsi="Cambria" w:cs="Arial"/>
          <w:b/>
          <w:sz w:val="24"/>
          <w:szCs w:val="24"/>
        </w:rPr>
        <w:t>8</w:t>
      </w:r>
      <w:r w:rsidRPr="00E20128">
        <w:rPr>
          <w:rFonts w:ascii="Cambria" w:eastAsiaTheme="minorEastAsia" w:hAnsi="Cambria" w:cs="Arial"/>
          <w:b/>
          <w:sz w:val="24"/>
          <w:szCs w:val="24"/>
        </w:rPr>
        <w:t xml:space="preserve"> Tasa de Descuento</w:t>
      </w:r>
    </w:p>
    <w:p w14:paraId="68893F86" w14:textId="77777777" w:rsidR="00E20128" w:rsidRPr="00414CAA" w:rsidRDefault="00414CAA" w:rsidP="00E20128">
      <w:pPr>
        <w:spacing w:line="240" w:lineRule="auto"/>
        <w:jc w:val="both"/>
        <w:rPr>
          <w:rFonts w:ascii="Cambria" w:eastAsiaTheme="minorEastAsia" w:hAnsi="Cambria" w:cs="Arial"/>
          <w:sz w:val="24"/>
          <w:szCs w:val="24"/>
        </w:rPr>
      </w:pPr>
      <w:r w:rsidRPr="00F4631D">
        <w:rPr>
          <w:rFonts w:ascii="Cambria" w:eastAsiaTheme="minorEastAsia" w:hAnsi="Cambria" w:cs="Arial"/>
          <w:sz w:val="24"/>
          <w:szCs w:val="24"/>
        </w:rPr>
        <w:t xml:space="preserve">Es un factor financiero que se utiliza para determinar el valor del dinero en el tiempo y, en particular, para calcular el valor actual de un capital futuro o </w:t>
      </w:r>
      <w:r w:rsidR="00F4631D" w:rsidRPr="00F4631D">
        <w:rPr>
          <w:rFonts w:ascii="Cambria" w:eastAsiaTheme="minorEastAsia" w:hAnsi="Cambria" w:cs="Arial"/>
          <w:sz w:val="24"/>
          <w:szCs w:val="24"/>
        </w:rPr>
        <w:t xml:space="preserve">bien </w:t>
      </w:r>
      <w:r w:rsidRPr="00F4631D">
        <w:rPr>
          <w:rFonts w:ascii="Cambria" w:eastAsiaTheme="minorEastAsia" w:hAnsi="Cambria" w:cs="Arial"/>
          <w:sz w:val="24"/>
          <w:szCs w:val="24"/>
        </w:rPr>
        <w:t>para evaluar proyectos de inversión</w:t>
      </w:r>
      <w:r w:rsidR="00F4631D">
        <w:rPr>
          <w:rFonts w:ascii="Cambria" w:eastAsiaTheme="minorEastAsia" w:hAnsi="Cambria" w:cs="Arial"/>
          <w:sz w:val="24"/>
          <w:szCs w:val="24"/>
        </w:rPr>
        <w:t>; es de suma importancia para determinar la rentabilidad mínima que se espera obtener del proyecto e incorporar los riesgos inherentes del negocio en cuestión. En nuestro caso en particular para la construcción de la tasa de descuento se utiliza el Costo de Capital Promedio Ponderado, conocido como WACC, por sus siglas en inglés</w:t>
      </w:r>
      <w:r w:rsidR="00275CE4">
        <w:rPr>
          <w:rFonts w:ascii="Cambria" w:eastAsiaTheme="minorEastAsia" w:hAnsi="Cambria" w:cs="Arial"/>
          <w:sz w:val="24"/>
          <w:szCs w:val="24"/>
        </w:rPr>
        <w:t>, para descontar los flujos de caja</w:t>
      </w:r>
      <w:r w:rsidR="00F4631D">
        <w:rPr>
          <w:rFonts w:ascii="Cambria" w:eastAsiaTheme="minorEastAsia" w:hAnsi="Cambria" w:cs="Arial"/>
          <w:sz w:val="24"/>
          <w:szCs w:val="24"/>
        </w:rPr>
        <w:t xml:space="preserve">. </w:t>
      </w:r>
    </w:p>
    <w:p w14:paraId="7456F34F" w14:textId="77777777" w:rsidR="00AB67B9" w:rsidRPr="00431183" w:rsidRDefault="00CA004F" w:rsidP="00431183">
      <w:pPr>
        <w:pStyle w:val="Ttulo2"/>
        <w:spacing w:line="240" w:lineRule="auto"/>
        <w:jc w:val="both"/>
        <w:rPr>
          <w:rFonts w:ascii="Cambria" w:hAnsi="Cambria" w:cs="Arial"/>
          <w:b/>
          <w:color w:val="auto"/>
          <w:sz w:val="24"/>
          <w:szCs w:val="24"/>
        </w:rPr>
      </w:pPr>
      <w:bookmarkStart w:id="85" w:name="_Toc527576966"/>
      <w:r>
        <w:rPr>
          <w:rFonts w:ascii="Cambria" w:eastAsiaTheme="minorEastAsia" w:hAnsi="Cambria" w:cs="Arial"/>
          <w:b/>
          <w:color w:val="auto"/>
          <w:sz w:val="24"/>
          <w:szCs w:val="24"/>
        </w:rPr>
        <w:t>3</w:t>
      </w:r>
      <w:r w:rsidR="00426764" w:rsidRPr="00431183">
        <w:rPr>
          <w:rFonts w:ascii="Cambria" w:eastAsiaTheme="minorEastAsia" w:hAnsi="Cambria" w:cs="Arial"/>
          <w:b/>
          <w:color w:val="auto"/>
          <w:sz w:val="24"/>
          <w:szCs w:val="24"/>
        </w:rPr>
        <w:t>.7</w:t>
      </w:r>
      <w:r w:rsidR="00AB67B9" w:rsidRPr="00431183">
        <w:rPr>
          <w:rFonts w:ascii="Cambria" w:eastAsiaTheme="minorEastAsia" w:hAnsi="Cambria" w:cs="Arial"/>
          <w:b/>
          <w:color w:val="auto"/>
          <w:sz w:val="24"/>
          <w:szCs w:val="24"/>
        </w:rPr>
        <w:t xml:space="preserve"> Estimación Economé</w:t>
      </w:r>
      <w:r w:rsidR="00072E8A" w:rsidRPr="00431183">
        <w:rPr>
          <w:rFonts w:ascii="Cambria" w:eastAsiaTheme="minorEastAsia" w:hAnsi="Cambria" w:cs="Arial"/>
          <w:b/>
          <w:color w:val="auto"/>
          <w:sz w:val="24"/>
          <w:szCs w:val="24"/>
        </w:rPr>
        <w:t>trica para determinar los efectos</w:t>
      </w:r>
      <w:r w:rsidR="00AB67B9" w:rsidRPr="00431183">
        <w:rPr>
          <w:rFonts w:ascii="Cambria" w:eastAsiaTheme="minorEastAsia" w:hAnsi="Cambria" w:cs="Arial"/>
          <w:b/>
          <w:color w:val="auto"/>
          <w:sz w:val="24"/>
          <w:szCs w:val="24"/>
        </w:rPr>
        <w:t xml:space="preserve"> de la Denominación de Origen Tarrazú en los productores de los Santos</w:t>
      </w:r>
      <w:bookmarkEnd w:id="85"/>
    </w:p>
    <w:p w14:paraId="75CBCF69" w14:textId="77777777" w:rsidR="00A25AE4" w:rsidRPr="00AF1E1D" w:rsidRDefault="00A25AE4" w:rsidP="00431183">
      <w:pPr>
        <w:spacing w:line="240" w:lineRule="auto"/>
        <w:jc w:val="both"/>
        <w:rPr>
          <w:rFonts w:ascii="Cambria" w:hAnsi="Cambria" w:cs="Arial"/>
          <w:b/>
          <w:sz w:val="24"/>
          <w:szCs w:val="24"/>
        </w:rPr>
      </w:pPr>
    </w:p>
    <w:p w14:paraId="46C112AA" w14:textId="37D4B260" w:rsidR="00AB67B9" w:rsidRPr="00AF1E1D" w:rsidRDefault="00AB67B9" w:rsidP="00431183">
      <w:pPr>
        <w:spacing w:line="240" w:lineRule="auto"/>
        <w:jc w:val="both"/>
        <w:rPr>
          <w:rFonts w:ascii="Cambria" w:hAnsi="Cambria" w:cs="Arial"/>
          <w:b/>
          <w:sz w:val="24"/>
          <w:szCs w:val="24"/>
        </w:rPr>
      </w:pPr>
      <w:r w:rsidRPr="00AF1E1D">
        <w:rPr>
          <w:rFonts w:ascii="Cambria" w:hAnsi="Cambria" w:cs="Arial"/>
          <w:b/>
          <w:sz w:val="24"/>
          <w:szCs w:val="24"/>
        </w:rPr>
        <w:t>Modelos de causalidad</w:t>
      </w:r>
    </w:p>
    <w:p w14:paraId="77F5CC0F" w14:textId="77777777" w:rsidR="00AB67B9" w:rsidRPr="00431183" w:rsidRDefault="00AB67B9"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En la presente investigación se utiliza un modelo desarrollado por Lee (2005) denominado “Modelos de resultados potenciales promedio”, donde se analiza las causalidades entre variables a investigar y su impacto, mediante una estimación econométrica de regresiones logísticas. </w:t>
      </w:r>
    </w:p>
    <w:p w14:paraId="2BA26685" w14:textId="77777777" w:rsidR="00AB67B9" w:rsidRPr="00431183" w:rsidRDefault="00AB67B9"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Por lo tanto, se plantea un modelo econométrico de causalidad para una población U de la siguiente manera: </w:t>
      </w:r>
    </w:p>
    <w:p w14:paraId="1043B497" w14:textId="77777777" w:rsidR="00AB67B9" w:rsidRPr="00431183" w:rsidRDefault="00AB67B9" w:rsidP="00431183">
      <w:pPr>
        <w:spacing w:line="240" w:lineRule="auto"/>
        <w:jc w:val="center"/>
        <w:rPr>
          <w:rFonts w:ascii="Cambria" w:hAnsi="Cambria" w:cs="Arial"/>
          <w:i/>
          <w:sz w:val="24"/>
          <w:szCs w:val="24"/>
        </w:rPr>
      </w:pPr>
      <w:r w:rsidRPr="00431183">
        <w:rPr>
          <w:rFonts w:ascii="Cambria" w:hAnsi="Cambria" w:cs="Arial"/>
          <w:i/>
          <w:sz w:val="24"/>
          <w:szCs w:val="24"/>
        </w:rPr>
        <w:t xml:space="preserve">d </w:t>
      </w:r>
      <m:oMath>
        <m:d>
          <m:dPr>
            <m:begChr m:val="{"/>
            <m:endChr m:val=""/>
            <m:ctrlPr>
              <w:rPr>
                <w:rFonts w:ascii="Cambria Math" w:hAnsi="Cambria Math" w:cs="Arial"/>
                <w:i/>
                <w:sz w:val="24"/>
                <w:szCs w:val="24"/>
              </w:rPr>
            </m:ctrlPr>
          </m:dPr>
          <m:e>
            <m:eqArr>
              <m:eqArrPr>
                <m:ctrlPr>
                  <w:rPr>
                    <w:rFonts w:ascii="Cambria Math" w:hAnsi="Cambria Math" w:cs="Arial"/>
                    <w:i/>
                    <w:sz w:val="24"/>
                    <w:szCs w:val="24"/>
                  </w:rPr>
                </m:ctrlPr>
              </m:eqArrPr>
              <m:e>
                <m:r>
                  <w:rPr>
                    <w:rFonts w:ascii="Cambria Math" w:hAnsi="Cambria Math" w:cs="Arial"/>
                    <w:sz w:val="24"/>
                    <w:szCs w:val="24"/>
                  </w:rPr>
                  <m:t xml:space="preserve">1 si i obta por la denominación de origen DO </m:t>
                </m:r>
              </m:e>
              <m:e>
                <m:r>
                  <w:rPr>
                    <w:rFonts w:ascii="Cambria Math" w:hAnsi="Cambria Math" w:cs="Arial"/>
                    <w:sz w:val="24"/>
                    <w:szCs w:val="24"/>
                  </w:rPr>
                  <m:t xml:space="preserve">0 si i no opta por la denominación de origen DO </m:t>
                </m:r>
              </m:e>
            </m:eqArr>
          </m:e>
        </m:d>
      </m:oMath>
    </w:p>
    <w:p w14:paraId="1073C825" w14:textId="77777777" w:rsidR="00AB67B9" w:rsidRPr="00431183" w:rsidRDefault="00AB67B9" w:rsidP="00431183">
      <w:pPr>
        <w:spacing w:line="240" w:lineRule="auto"/>
        <w:jc w:val="both"/>
        <w:rPr>
          <w:rFonts w:ascii="Cambria" w:hAnsi="Cambria" w:cs="Arial"/>
          <w:sz w:val="24"/>
          <w:szCs w:val="24"/>
        </w:rPr>
      </w:pPr>
      <w:r w:rsidRPr="00431183">
        <w:rPr>
          <w:rFonts w:ascii="Cambria" w:hAnsi="Cambria" w:cs="Arial"/>
          <w:sz w:val="24"/>
          <w:szCs w:val="24"/>
        </w:rPr>
        <w:t>De donde se construye la siguiente matriz de conjuntos (y</w:t>
      </w:r>
      <w:r w:rsidRPr="00431183">
        <w:rPr>
          <w:rFonts w:ascii="Cambria" w:hAnsi="Cambria" w:cs="Arial"/>
          <w:sz w:val="24"/>
          <w:szCs w:val="24"/>
          <w:vertAlign w:val="subscript"/>
        </w:rPr>
        <w:t>0i</w:t>
      </w:r>
      <w:r w:rsidRPr="00431183">
        <w:rPr>
          <w:rFonts w:ascii="Cambria" w:hAnsi="Cambria" w:cs="Arial"/>
          <w:sz w:val="24"/>
          <w:szCs w:val="24"/>
        </w:rPr>
        <w:t>, y</w:t>
      </w:r>
      <w:r w:rsidRPr="00431183">
        <w:rPr>
          <w:rFonts w:ascii="Cambria" w:hAnsi="Cambria" w:cs="Arial"/>
          <w:sz w:val="24"/>
          <w:szCs w:val="24"/>
          <w:vertAlign w:val="subscript"/>
        </w:rPr>
        <w:t>1i</w:t>
      </w:r>
      <w:r w:rsidRPr="00431183">
        <w:rPr>
          <w:rFonts w:ascii="Cambria" w:hAnsi="Cambria" w:cs="Arial"/>
          <w:sz w:val="24"/>
          <w:szCs w:val="24"/>
        </w:rPr>
        <w:t>, d</w:t>
      </w:r>
      <w:r w:rsidRPr="00431183">
        <w:rPr>
          <w:rFonts w:ascii="Cambria" w:hAnsi="Cambria" w:cs="Arial"/>
          <w:sz w:val="24"/>
          <w:szCs w:val="24"/>
          <w:vertAlign w:val="subscript"/>
        </w:rPr>
        <w:t>i</w:t>
      </w:r>
      <w:r w:rsidRPr="00431183">
        <w:rPr>
          <w:rFonts w:ascii="Cambria" w:hAnsi="Cambria" w:cs="Arial"/>
          <w:sz w:val="24"/>
          <w:szCs w:val="24"/>
        </w:rPr>
        <w:t>, x</w:t>
      </w:r>
      <w:r w:rsidRPr="00431183">
        <w:rPr>
          <w:rFonts w:ascii="Cambria" w:hAnsi="Cambria" w:cs="Arial"/>
          <w:sz w:val="24"/>
          <w:szCs w:val="24"/>
          <w:vertAlign w:val="subscript"/>
        </w:rPr>
        <w:t>i</w:t>
      </w:r>
      <w:r w:rsidRPr="00431183">
        <w:rPr>
          <w:rFonts w:ascii="Cambria" w:hAnsi="Cambria" w:cs="Arial"/>
          <w:sz w:val="24"/>
          <w:szCs w:val="24"/>
        </w:rPr>
        <w:t xml:space="preserve">, ε) para cada unidad </w:t>
      </w:r>
      <w:r w:rsidRPr="00431183">
        <w:rPr>
          <w:rFonts w:ascii="Cambria" w:hAnsi="Cambria" w:cs="Arial"/>
          <w:i/>
          <w:sz w:val="24"/>
          <w:szCs w:val="24"/>
        </w:rPr>
        <w:t>i</w:t>
      </w:r>
      <w:r w:rsidRPr="00431183">
        <w:rPr>
          <w:rFonts w:ascii="Cambria" w:hAnsi="Cambria" w:cs="Arial"/>
          <w:sz w:val="24"/>
          <w:szCs w:val="24"/>
        </w:rPr>
        <w:t xml:space="preserve"> </w:t>
      </w:r>
      <m:oMath>
        <m:r>
          <w:rPr>
            <w:rFonts w:ascii="Cambria Math" w:hAnsi="Cambria Math" w:cs="Arial"/>
            <w:sz w:val="24"/>
            <w:szCs w:val="24"/>
          </w:rPr>
          <m:t>ϵ</m:t>
        </m:r>
      </m:oMath>
      <w:r w:rsidRPr="00431183">
        <w:rPr>
          <w:rFonts w:ascii="Cambria" w:hAnsi="Cambria" w:cs="Arial"/>
          <w:sz w:val="24"/>
          <w:szCs w:val="24"/>
        </w:rPr>
        <w:t xml:space="preserve"> U</w:t>
      </w:r>
    </w:p>
    <w:p w14:paraId="44D1EB43" w14:textId="77777777" w:rsidR="00AB67B9" w:rsidRPr="00431183" w:rsidRDefault="00AB67B9" w:rsidP="00431183">
      <w:pPr>
        <w:spacing w:line="240" w:lineRule="auto"/>
        <w:jc w:val="both"/>
        <w:rPr>
          <w:rFonts w:ascii="Cambria" w:hAnsi="Cambria" w:cs="Arial"/>
          <w:sz w:val="24"/>
          <w:szCs w:val="24"/>
        </w:rPr>
      </w:pPr>
      <w:r w:rsidRPr="00431183">
        <w:rPr>
          <w:rFonts w:ascii="Cambria" w:hAnsi="Cambria" w:cs="Arial"/>
          <w:sz w:val="24"/>
          <w:szCs w:val="24"/>
        </w:rPr>
        <w:t xml:space="preserve">Y0i: Resultado potencial si la unidad (productor) </w:t>
      </w:r>
      <w:r w:rsidRPr="00431183">
        <w:rPr>
          <w:rFonts w:ascii="Cambria" w:hAnsi="Cambria" w:cs="Arial"/>
          <w:i/>
          <w:sz w:val="24"/>
          <w:szCs w:val="24"/>
        </w:rPr>
        <w:t>i</w:t>
      </w:r>
      <w:r w:rsidRPr="00431183">
        <w:rPr>
          <w:rFonts w:ascii="Cambria" w:hAnsi="Cambria" w:cs="Arial"/>
          <w:sz w:val="24"/>
          <w:szCs w:val="24"/>
        </w:rPr>
        <w:t xml:space="preserve"> no recibe beneficio</w:t>
      </w:r>
    </w:p>
    <w:p w14:paraId="443B4F8B" w14:textId="77777777" w:rsidR="00AB67B9" w:rsidRPr="00431183" w:rsidRDefault="00AB67B9" w:rsidP="00431183">
      <w:pPr>
        <w:spacing w:line="240" w:lineRule="auto"/>
        <w:jc w:val="both"/>
        <w:rPr>
          <w:rFonts w:ascii="Cambria" w:hAnsi="Cambria" w:cs="Arial"/>
          <w:sz w:val="24"/>
          <w:szCs w:val="24"/>
        </w:rPr>
      </w:pPr>
      <w:r w:rsidRPr="00431183">
        <w:rPr>
          <w:rFonts w:ascii="Cambria" w:hAnsi="Cambria" w:cs="Arial"/>
          <w:sz w:val="24"/>
          <w:szCs w:val="24"/>
        </w:rPr>
        <w:t xml:space="preserve">Y1i: resultado potencial si la unidad (productor) </w:t>
      </w:r>
      <w:r w:rsidRPr="00431183">
        <w:rPr>
          <w:rFonts w:ascii="Cambria" w:hAnsi="Cambria" w:cs="Arial"/>
          <w:i/>
          <w:sz w:val="24"/>
          <w:szCs w:val="24"/>
        </w:rPr>
        <w:t>i</w:t>
      </w:r>
      <w:r w:rsidRPr="00431183">
        <w:rPr>
          <w:rFonts w:ascii="Cambria" w:hAnsi="Cambria" w:cs="Arial"/>
          <w:sz w:val="24"/>
          <w:szCs w:val="24"/>
        </w:rPr>
        <w:t xml:space="preserve"> recibió beneficio</w:t>
      </w:r>
    </w:p>
    <w:p w14:paraId="3267580C" w14:textId="77777777" w:rsidR="00AB67B9" w:rsidRPr="00431183" w:rsidRDefault="00AB67B9" w:rsidP="00431183">
      <w:pPr>
        <w:spacing w:line="240" w:lineRule="auto"/>
        <w:jc w:val="both"/>
        <w:rPr>
          <w:rFonts w:ascii="Cambria" w:hAnsi="Cambria" w:cs="Arial"/>
          <w:sz w:val="24"/>
          <w:szCs w:val="24"/>
        </w:rPr>
      </w:pPr>
      <w:r w:rsidRPr="00431183">
        <w:rPr>
          <w:rFonts w:ascii="Cambria" w:hAnsi="Cambria" w:cs="Arial"/>
          <w:sz w:val="24"/>
          <w:szCs w:val="24"/>
        </w:rPr>
        <w:t xml:space="preserve">Xi: Vector de características observables de la unidad </w:t>
      </w:r>
      <w:r w:rsidRPr="00431183">
        <w:rPr>
          <w:rFonts w:ascii="Cambria" w:hAnsi="Cambria" w:cs="Arial"/>
          <w:i/>
          <w:sz w:val="24"/>
          <w:szCs w:val="24"/>
        </w:rPr>
        <w:t xml:space="preserve">i </w:t>
      </w:r>
    </w:p>
    <w:p w14:paraId="41A981F3" w14:textId="77777777" w:rsidR="00AB67B9" w:rsidRPr="00431183" w:rsidRDefault="00AB67B9" w:rsidP="00431183">
      <w:pPr>
        <w:spacing w:line="240" w:lineRule="auto"/>
        <w:jc w:val="both"/>
        <w:rPr>
          <w:rFonts w:ascii="Cambria" w:hAnsi="Cambria" w:cs="Arial"/>
          <w:sz w:val="24"/>
          <w:szCs w:val="24"/>
        </w:rPr>
      </w:pPr>
      <w:r w:rsidRPr="00431183">
        <w:rPr>
          <w:rFonts w:ascii="Cambria" w:hAnsi="Cambria" w:cs="Arial"/>
          <w:sz w:val="24"/>
          <w:szCs w:val="24"/>
        </w:rPr>
        <w:lastRenderedPageBreak/>
        <w:t xml:space="preserve">Εi: Vector de características no observables de la unidad </w:t>
      </w:r>
      <w:r w:rsidRPr="00431183">
        <w:rPr>
          <w:rFonts w:ascii="Cambria" w:hAnsi="Cambria" w:cs="Arial"/>
          <w:i/>
          <w:sz w:val="24"/>
          <w:szCs w:val="24"/>
        </w:rPr>
        <w:t xml:space="preserve">i </w:t>
      </w:r>
    </w:p>
    <w:p w14:paraId="1EEB2CF5" w14:textId="77777777" w:rsidR="00AB67B9" w:rsidRPr="00431183" w:rsidRDefault="00AB67B9" w:rsidP="00431183">
      <w:pPr>
        <w:spacing w:line="240" w:lineRule="auto"/>
        <w:ind w:firstLine="708"/>
        <w:jc w:val="both"/>
        <w:rPr>
          <w:rFonts w:ascii="Cambria" w:eastAsiaTheme="minorEastAsia" w:hAnsi="Cambria" w:cs="Arial"/>
          <w:sz w:val="24"/>
          <w:szCs w:val="24"/>
        </w:rPr>
      </w:pPr>
      <w:r w:rsidRPr="00431183">
        <w:rPr>
          <w:rFonts w:ascii="Cambria" w:hAnsi="Cambria" w:cs="Arial"/>
          <w:sz w:val="24"/>
          <w:szCs w:val="24"/>
        </w:rPr>
        <w:t>Donde se define el resultado observado como y</w:t>
      </w:r>
      <w:r w:rsidRPr="00431183">
        <w:rPr>
          <w:rFonts w:ascii="Cambria" w:hAnsi="Cambria" w:cs="Arial"/>
          <w:i/>
          <w:sz w:val="24"/>
          <w:szCs w:val="24"/>
        </w:rPr>
        <w:t>i</w:t>
      </w:r>
      <w:r w:rsidRPr="00431183">
        <w:rPr>
          <w:rFonts w:ascii="Cambria" w:hAnsi="Cambria" w:cs="Arial"/>
          <w:sz w:val="24"/>
          <w:szCs w:val="24"/>
        </w:rPr>
        <w:t xml:space="preserve"> = d</w:t>
      </w:r>
      <w:r w:rsidRPr="00431183">
        <w:rPr>
          <w:rFonts w:ascii="Cambria" w:hAnsi="Cambria" w:cs="Arial"/>
          <w:i/>
          <w:sz w:val="24"/>
          <w:szCs w:val="24"/>
        </w:rPr>
        <w:t>i</w:t>
      </w:r>
      <w:r w:rsidRPr="00431183">
        <w:rPr>
          <w:rFonts w:ascii="Cambria" w:hAnsi="Cambria" w:cs="Arial"/>
          <w:sz w:val="24"/>
          <w:szCs w:val="24"/>
        </w:rPr>
        <w:t>y1i + (1-d</w:t>
      </w:r>
      <w:r w:rsidRPr="00431183">
        <w:rPr>
          <w:rFonts w:ascii="Cambria" w:hAnsi="Cambria" w:cs="Arial"/>
          <w:sz w:val="24"/>
          <w:szCs w:val="24"/>
          <w:vertAlign w:val="subscript"/>
        </w:rPr>
        <w:t>i</w:t>
      </w:r>
      <w:r w:rsidRPr="00431183">
        <w:rPr>
          <w:rFonts w:ascii="Cambria" w:hAnsi="Cambria" w:cs="Arial"/>
          <w:sz w:val="24"/>
          <w:szCs w:val="24"/>
        </w:rPr>
        <w:t>)y</w:t>
      </w:r>
      <w:r w:rsidRPr="00431183">
        <w:rPr>
          <w:rFonts w:ascii="Cambria" w:hAnsi="Cambria" w:cs="Arial"/>
          <w:sz w:val="24"/>
          <w:szCs w:val="24"/>
          <w:vertAlign w:val="subscript"/>
        </w:rPr>
        <w:t>0i</w:t>
      </w:r>
      <w:r w:rsidRPr="00431183">
        <w:rPr>
          <w:rFonts w:ascii="Cambria" w:hAnsi="Cambria" w:cs="Arial"/>
          <w:sz w:val="24"/>
          <w:szCs w:val="24"/>
        </w:rPr>
        <w:t xml:space="preserve"> donde los agentes económicos receptores de beneficios económicos son definidos como A =  </w:t>
      </w:r>
      <m:oMath>
        <m:d>
          <m:dPr>
            <m:begChr m:val="{"/>
            <m:endChr m:val="}"/>
            <m:ctrlPr>
              <w:rPr>
                <w:rFonts w:ascii="Cambria Math" w:hAnsi="Cambria Math" w:cs="Arial"/>
                <w:i/>
                <w:sz w:val="24"/>
                <w:szCs w:val="24"/>
              </w:rPr>
            </m:ctrlPr>
          </m:dPr>
          <m:e>
            <m:r>
              <m:rPr>
                <m:sty m:val="p"/>
              </m:rPr>
              <w:rPr>
                <w:rFonts w:ascii="Cambria Math" w:hAnsi="Cambria Math" w:cs="Arial"/>
                <w:sz w:val="24"/>
                <w:szCs w:val="24"/>
              </w:rPr>
              <m:t>i</m:t>
            </m:r>
            <m:r>
              <w:rPr>
                <w:rFonts w:ascii="Cambria Math" w:hAnsi="Cambria Math" w:cs="Arial"/>
                <w:sz w:val="24"/>
                <w:szCs w:val="24"/>
              </w:rPr>
              <m:t xml:space="preserve"> ϵ U/di=1</m:t>
            </m:r>
          </m:e>
        </m:d>
      </m:oMath>
      <w:r w:rsidRPr="00431183">
        <w:rPr>
          <w:rFonts w:ascii="Cambria" w:eastAsiaTheme="minorEastAsia" w:hAnsi="Cambria" w:cs="Arial"/>
          <w:sz w:val="24"/>
          <w:szCs w:val="24"/>
        </w:rPr>
        <w:t xml:space="preserve"> y al grupo que no recibe beneficios de denomina como N = </w:t>
      </w:r>
      <m:oMath>
        <m:d>
          <m:dPr>
            <m:begChr m:val="{"/>
            <m:endChr m:val="}"/>
            <m:ctrlPr>
              <w:rPr>
                <w:rFonts w:ascii="Cambria Math" w:hAnsi="Cambria Math" w:cs="Arial"/>
                <w:i/>
                <w:sz w:val="24"/>
                <w:szCs w:val="24"/>
              </w:rPr>
            </m:ctrlPr>
          </m:dPr>
          <m:e>
            <m:r>
              <m:rPr>
                <m:sty m:val="p"/>
              </m:rPr>
              <w:rPr>
                <w:rFonts w:ascii="Cambria Math" w:hAnsi="Cambria Math" w:cs="Arial"/>
                <w:sz w:val="24"/>
                <w:szCs w:val="24"/>
              </w:rPr>
              <m:t>i</m:t>
            </m:r>
            <m:r>
              <w:rPr>
                <w:rFonts w:ascii="Cambria Math" w:hAnsi="Cambria Math" w:cs="Arial"/>
                <w:sz w:val="24"/>
                <w:szCs w:val="24"/>
              </w:rPr>
              <m:t xml:space="preserve"> ϵ U/di=0</m:t>
            </m:r>
          </m:e>
        </m:d>
      </m:oMath>
    </w:p>
    <w:p w14:paraId="3F287923" w14:textId="77777777" w:rsidR="00AB67B9" w:rsidRPr="00431183" w:rsidRDefault="00AB67B9"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Al analizar el efecto de los beneficios en los productores de la región de los Santos se construirá un modelo que cumpla las especificaciones donde para cada unidad </w:t>
      </w:r>
      <w:r w:rsidRPr="00431183">
        <w:rPr>
          <w:rFonts w:ascii="Cambria" w:eastAsiaTheme="minorEastAsia" w:hAnsi="Cambria" w:cs="Arial"/>
          <w:i/>
          <w:sz w:val="24"/>
          <w:szCs w:val="24"/>
        </w:rPr>
        <w:t xml:space="preserve">i </w:t>
      </w:r>
      <m:oMath>
        <m:r>
          <w:rPr>
            <w:rFonts w:ascii="Cambria Math" w:hAnsi="Cambria Math" w:cs="Arial"/>
            <w:sz w:val="24"/>
            <w:szCs w:val="24"/>
          </w:rPr>
          <m:t>ϵ</m:t>
        </m:r>
      </m:oMath>
      <w:r w:rsidRPr="00431183">
        <w:rPr>
          <w:rFonts w:ascii="Cambria" w:eastAsiaTheme="minorEastAsia" w:hAnsi="Cambria" w:cs="Arial"/>
          <w:i/>
          <w:sz w:val="24"/>
          <w:szCs w:val="24"/>
        </w:rPr>
        <w:t xml:space="preserve"> </w:t>
      </w:r>
      <w:r w:rsidRPr="00431183">
        <w:rPr>
          <w:rFonts w:ascii="Cambria" w:eastAsiaTheme="minorEastAsia" w:hAnsi="Cambria" w:cs="Arial"/>
          <w:sz w:val="24"/>
          <w:szCs w:val="24"/>
        </w:rPr>
        <w:t xml:space="preserve">U que obtienen beneficios la unidad observada es (y1i, xi, d= 1) y cuando no es beneficiaria (y0i, xi, d=0) en términos de esperanzas matemáticas se expresan como siguen a continuación: </w:t>
      </w:r>
    </w:p>
    <w:p w14:paraId="0EBC0E28" w14:textId="77777777" w:rsidR="00AB67B9" w:rsidRPr="00431183" w:rsidRDefault="00AB67B9" w:rsidP="00431183">
      <w:pPr>
        <w:spacing w:line="240" w:lineRule="auto"/>
        <w:jc w:val="center"/>
        <w:rPr>
          <w:rFonts w:ascii="Cambria" w:eastAsiaTheme="minorEastAsia" w:hAnsi="Cambria" w:cs="Arial"/>
          <w:sz w:val="24"/>
          <w:szCs w:val="24"/>
        </w:rPr>
      </w:pPr>
      <w:r w:rsidRPr="00431183">
        <w:rPr>
          <w:rFonts w:ascii="Cambria" w:eastAsiaTheme="minorEastAsia" w:hAnsi="Cambria" w:cs="Arial"/>
          <w:sz w:val="24"/>
          <w:szCs w:val="24"/>
        </w:rPr>
        <w:t>E(y1-y0) = E(y1) – E(y0)      (1)</w:t>
      </w:r>
    </w:p>
    <w:p w14:paraId="5F77D139" w14:textId="77777777" w:rsidR="00AB67B9" w:rsidRPr="00431183" w:rsidRDefault="00AB67B9"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Al analizar la ecuación (1) debido a que los valores potenciales y0 y y1 no son observables para todo </w:t>
      </w:r>
      <w:r w:rsidRPr="00431183">
        <w:rPr>
          <w:rFonts w:ascii="Cambria" w:eastAsiaTheme="minorEastAsia" w:hAnsi="Cambria" w:cs="Arial"/>
          <w:i/>
          <w:sz w:val="24"/>
          <w:szCs w:val="24"/>
        </w:rPr>
        <w:t xml:space="preserve">i </w:t>
      </w:r>
      <m:oMath>
        <m:r>
          <w:rPr>
            <w:rFonts w:ascii="Cambria Math" w:hAnsi="Cambria Math" w:cs="Arial"/>
            <w:sz w:val="24"/>
            <w:szCs w:val="24"/>
          </w:rPr>
          <m:t>ϵ U</m:t>
        </m:r>
      </m:oMath>
      <w:r w:rsidRPr="00431183">
        <w:rPr>
          <w:rFonts w:ascii="Cambria" w:eastAsiaTheme="minorEastAsia" w:hAnsi="Cambria" w:cs="Arial"/>
          <w:i/>
          <w:sz w:val="24"/>
          <w:szCs w:val="24"/>
        </w:rPr>
        <w:t xml:space="preserve"> </w:t>
      </w:r>
      <w:r w:rsidRPr="00431183">
        <w:rPr>
          <w:rFonts w:ascii="Cambria" w:eastAsiaTheme="minorEastAsia" w:hAnsi="Cambria" w:cs="Arial"/>
          <w:sz w:val="24"/>
          <w:szCs w:val="24"/>
        </w:rPr>
        <w:t xml:space="preserve"> es importante aclarar que se puede cometer un sesgo de estimación al utilizar promedios simples, debido a que se puede caer en un “problema de la selección</w:t>
      </w:r>
      <w:r w:rsidRPr="00431183">
        <w:rPr>
          <w:rStyle w:val="Refdenotaalpie"/>
          <w:rFonts w:ascii="Cambria" w:eastAsiaTheme="minorEastAsia" w:hAnsi="Cambria" w:cs="Arial"/>
          <w:sz w:val="24"/>
          <w:szCs w:val="24"/>
        </w:rPr>
        <w:footnoteReference w:id="5"/>
      </w:r>
      <w:r w:rsidRPr="00431183">
        <w:rPr>
          <w:rFonts w:ascii="Cambria" w:eastAsiaTheme="minorEastAsia" w:hAnsi="Cambria" w:cs="Arial"/>
          <w:sz w:val="24"/>
          <w:szCs w:val="24"/>
        </w:rPr>
        <w:t>”, debido a que la no observación de los valores esperados y1 y y0 se debe a conductas meramente sistemáticas y no propias de los individuos que reciben los beneficios.</w:t>
      </w:r>
    </w:p>
    <w:p w14:paraId="12A2567F" w14:textId="77777777" w:rsidR="00AB67B9" w:rsidRPr="00431183" w:rsidRDefault="00AB67B9" w:rsidP="00431183">
      <w:pPr>
        <w:spacing w:line="240" w:lineRule="auto"/>
        <w:rPr>
          <w:rFonts w:ascii="Cambria" w:eastAsiaTheme="minorEastAsia" w:hAnsi="Cambria" w:cs="Arial"/>
          <w:sz w:val="24"/>
          <w:szCs w:val="24"/>
        </w:rPr>
      </w:pPr>
      <w:r w:rsidRPr="00431183">
        <w:rPr>
          <w:rFonts w:ascii="Cambria" w:hAnsi="Cambria" w:cs="Arial"/>
          <w:b/>
          <w:i/>
          <w:sz w:val="24"/>
          <w:szCs w:val="24"/>
        </w:rPr>
        <w:t>Supuestos del modelo de causalidad</w:t>
      </w:r>
    </w:p>
    <w:p w14:paraId="78DCF0FE" w14:textId="77777777" w:rsidR="00AB67B9" w:rsidRPr="00431183" w:rsidRDefault="00AB67B9"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Entre los principales supuestos de aplicar esta metodología están los siguientes: </w:t>
      </w:r>
    </w:p>
    <w:p w14:paraId="4F163C94" w14:textId="77777777" w:rsidR="00AB67B9" w:rsidRPr="00431183" w:rsidRDefault="00AB67B9" w:rsidP="00431183">
      <w:pPr>
        <w:pStyle w:val="Prrafodelista"/>
        <w:numPr>
          <w:ilvl w:val="0"/>
          <w:numId w:val="16"/>
        </w:num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Los resultados potenciales son estadísticamente independientes d (y0, y1)</w:t>
      </w:r>
    </w:p>
    <w:p w14:paraId="231EE0CB" w14:textId="77777777" w:rsidR="00AB67B9" w:rsidRPr="00431183" w:rsidRDefault="00AB67B9"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Yi= E(yi-yo) = E(y1-y0) = E(y1) – E(yo) = E(y1/ d=1)- E(y0/ d=0)</w:t>
      </w:r>
    </w:p>
    <w:p w14:paraId="72A29C37" w14:textId="77777777" w:rsidR="00AB67B9" w:rsidRPr="00431183" w:rsidRDefault="00AB67B9"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E(y/ d=1)- E(y/ d=0)</w:t>
      </w:r>
    </w:p>
    <w:p w14:paraId="634FED54" w14:textId="77777777" w:rsidR="00AB67B9" w:rsidRPr="00431183" w:rsidRDefault="00AB67B9" w:rsidP="00431183">
      <w:pPr>
        <w:pStyle w:val="Prrafodelista"/>
        <w:numPr>
          <w:ilvl w:val="0"/>
          <w:numId w:val="16"/>
        </w:num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Yo y yi son independientes en sus medias (promedio), cumpliéndose el siguiente supuesto </w:t>
      </w:r>
    </w:p>
    <w:p w14:paraId="0C509965" w14:textId="77777777" w:rsidR="00AB67B9" w:rsidRPr="00431183" w:rsidRDefault="00AB67B9"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Si E(yj/d)= E(yj) para todo j= 0,1 al realizar el análisis para los beneficiarios se cumple E(yj/d=1) = E(y/d=0). </w:t>
      </w:r>
    </w:p>
    <w:p w14:paraId="0B195E0F" w14:textId="77777777" w:rsidR="00AB67B9" w:rsidRPr="00431183" w:rsidRDefault="00AB67B9"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Lo anterior permite plantear una regresión de la siguiente manera: </w:t>
      </w:r>
    </w:p>
    <w:p w14:paraId="673A18EC" w14:textId="77777777" w:rsidR="00AB67B9" w:rsidRPr="00431183" w:rsidRDefault="00AB67B9" w:rsidP="00431183">
      <w:pPr>
        <w:spacing w:line="240" w:lineRule="auto"/>
        <w:jc w:val="both"/>
        <w:rPr>
          <w:rFonts w:ascii="Cambria" w:eastAsiaTheme="minorEastAsia" w:hAnsi="Cambria" w:cs="Arial"/>
          <w:sz w:val="24"/>
          <w:szCs w:val="24"/>
        </w:rPr>
      </w:pPr>
      <m:oMathPara>
        <m:oMath>
          <m:r>
            <w:rPr>
              <w:rFonts w:ascii="Cambria Math" w:eastAsiaTheme="minorEastAsia" w:hAnsi="Cambria Math" w:cs="Arial"/>
              <w:sz w:val="24"/>
              <w:szCs w:val="24"/>
            </w:rPr>
            <m:t>yi= β1+ βd+ ε</m:t>
          </m:r>
        </m:oMath>
      </m:oMathPara>
    </w:p>
    <w:p w14:paraId="3ADB0DC5" w14:textId="77777777" w:rsidR="00AB67B9" w:rsidRPr="00431183" w:rsidRDefault="00AB67B9" w:rsidP="00431183">
      <w:pPr>
        <w:spacing w:line="240" w:lineRule="auto"/>
        <w:jc w:val="both"/>
        <w:rPr>
          <w:rFonts w:ascii="Cambria" w:eastAsiaTheme="minorEastAsia" w:hAnsi="Cambria" w:cs="Arial"/>
          <w:sz w:val="24"/>
          <w:szCs w:val="24"/>
        </w:rPr>
      </w:pPr>
    </w:p>
    <w:p w14:paraId="00AC17F6" w14:textId="77777777" w:rsidR="00AB67B9" w:rsidRPr="00431183" w:rsidRDefault="00AB67B9"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Lo que permite estimar los parámetros mediante el método de mínimos cuadrados ordinarios, pero para efectos del análisis también se puede utilizar una estim</w:t>
      </w:r>
      <w:r w:rsidR="00232078" w:rsidRPr="00431183">
        <w:rPr>
          <w:rFonts w:ascii="Cambria" w:eastAsiaTheme="minorEastAsia" w:hAnsi="Cambria" w:cs="Arial"/>
          <w:sz w:val="24"/>
          <w:szCs w:val="24"/>
        </w:rPr>
        <w:t xml:space="preserve">ación de máxima verisimilitud. </w:t>
      </w:r>
    </w:p>
    <w:p w14:paraId="651FE03A" w14:textId="77777777" w:rsidR="00AB67B9" w:rsidRPr="00431183" w:rsidRDefault="00AB67B9" w:rsidP="00431183">
      <w:pPr>
        <w:spacing w:line="240" w:lineRule="auto"/>
        <w:jc w:val="both"/>
        <w:rPr>
          <w:rFonts w:ascii="Cambria" w:eastAsiaTheme="minorEastAsia" w:hAnsi="Cambria" w:cs="Arial"/>
          <w:b/>
          <w:i/>
          <w:sz w:val="24"/>
          <w:szCs w:val="24"/>
        </w:rPr>
      </w:pPr>
      <w:r w:rsidRPr="00431183">
        <w:rPr>
          <w:rFonts w:ascii="Cambria" w:eastAsiaTheme="minorEastAsia" w:hAnsi="Cambria" w:cs="Arial"/>
          <w:b/>
          <w:i/>
          <w:sz w:val="24"/>
          <w:szCs w:val="24"/>
        </w:rPr>
        <w:t xml:space="preserve">Método de estimación </w:t>
      </w:r>
    </w:p>
    <w:p w14:paraId="12EA0331" w14:textId="77777777" w:rsidR="00AB67B9" w:rsidRPr="00431183" w:rsidRDefault="00AB67B9" w:rsidP="00431183">
      <w:pPr>
        <w:spacing w:line="240" w:lineRule="auto"/>
        <w:ind w:firstLine="708"/>
        <w:jc w:val="both"/>
        <w:rPr>
          <w:rFonts w:ascii="Cambria" w:hAnsi="Cambria" w:cs="Arial"/>
          <w:sz w:val="24"/>
          <w:szCs w:val="24"/>
        </w:rPr>
      </w:pPr>
      <w:r w:rsidRPr="00431183">
        <w:rPr>
          <w:rFonts w:ascii="Cambria" w:hAnsi="Cambria" w:cs="Arial"/>
          <w:sz w:val="24"/>
          <w:szCs w:val="24"/>
        </w:rPr>
        <w:lastRenderedPageBreak/>
        <w:t xml:space="preserve">Una vez definido la especificación de estimación se procede definir la función que se utilizará, que corresponde a un método no paramétrico de modelos logísticos conocidos como Logit de respuesta cualitativa, los cuales son especificados como se muestra a continuación: </w:t>
      </w:r>
    </w:p>
    <w:p w14:paraId="36891FE1" w14:textId="77777777" w:rsidR="00AB67B9" w:rsidRPr="00431183" w:rsidRDefault="00B127E3" w:rsidP="00431183">
      <w:pPr>
        <w:spacing w:line="240" w:lineRule="auto"/>
        <w:jc w:val="both"/>
        <w:rPr>
          <w:rFonts w:ascii="Cambria" w:eastAsiaTheme="minorEastAsia" w:hAnsi="Cambria" w:cs="Arial"/>
          <w:sz w:val="24"/>
          <w:szCs w:val="24"/>
        </w:rPr>
      </w:pPr>
      <m:oMathPara>
        <m:oMath>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∝+βixi</m:t>
                  </m:r>
                </m:sup>
              </m:sSup>
            </m:num>
            <m:den>
              <m:r>
                <w:rPr>
                  <w:rFonts w:ascii="Cambria Math" w:hAnsi="Cambria Math" w:cs="Arial"/>
                  <w:sz w:val="24"/>
                  <w:szCs w:val="24"/>
                </w:rPr>
                <m:t>1+</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α+βiXi</m:t>
                  </m:r>
                </m:sup>
              </m:sSup>
            </m:den>
          </m:f>
          <m:r>
            <w:rPr>
              <w:rFonts w:ascii="Cambria Math" w:hAnsi="Cambria Math" w:cs="Arial"/>
              <w:sz w:val="24"/>
              <w:szCs w:val="24"/>
            </w:rPr>
            <m:t>+ εt</m:t>
          </m:r>
        </m:oMath>
      </m:oMathPara>
    </w:p>
    <w:p w14:paraId="4598D39A" w14:textId="77777777" w:rsidR="00AB67B9" w:rsidRPr="00431183" w:rsidRDefault="00AB67B9"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Este es interpretado como la probabilidad de ocurra un acontecimiento en un objeto de estudio definido, donde los estimadores se pueden obtener mediante el método de máxima- verosimilitud, como se muestra a continuación: </w:t>
      </w:r>
    </w:p>
    <w:p w14:paraId="12FAA51F" w14:textId="77777777" w:rsidR="00AB67B9" w:rsidRPr="00431183" w:rsidRDefault="00AB67B9"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Prob(Y1,Y2…Yi…Yn)= </w:t>
      </w:r>
      <m:oMath>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i=1</m:t>
            </m:r>
          </m:sub>
          <m:sup>
            <m:r>
              <w:rPr>
                <w:rFonts w:ascii="Cambria Math" w:eastAsiaTheme="minorEastAsia" w:hAnsi="Cambria Math" w:cs="Arial"/>
                <w:sz w:val="24"/>
                <w:szCs w:val="24"/>
              </w:rPr>
              <m:t>n</m:t>
            </m:r>
          </m:sup>
          <m:e>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Mi</m:t>
                </m:r>
              </m:e>
              <m:sup>
                <m:r>
                  <w:rPr>
                    <w:rFonts w:ascii="Cambria Math" w:eastAsiaTheme="minorEastAsia" w:hAnsi="Cambria Math" w:cs="Arial"/>
                    <w:sz w:val="24"/>
                    <w:szCs w:val="24"/>
                  </w:rPr>
                  <m:t>yi</m:t>
                </m:r>
              </m:sup>
            </m:sSup>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(1-Mi)</m:t>
                </m:r>
              </m:e>
              <m:sup>
                <m:r>
                  <w:rPr>
                    <w:rFonts w:ascii="Cambria Math" w:eastAsiaTheme="minorEastAsia" w:hAnsi="Cambria Math" w:cs="Arial"/>
                    <w:sz w:val="24"/>
                    <w:szCs w:val="24"/>
                  </w:rPr>
                  <m:t>1-Yi</m:t>
                </m:r>
              </m:sup>
            </m:sSup>
          </m:e>
        </m:nary>
      </m:oMath>
    </w:p>
    <w:p w14:paraId="349D5880" w14:textId="77777777" w:rsidR="00AB67B9" w:rsidRPr="00431183" w:rsidRDefault="00AB67B9"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Donde Mi recoge la probabilidad de que Yi=1, el cual se hace la siguiente transformación logarítmica:</w:t>
      </w:r>
    </w:p>
    <w:p w14:paraId="1358EFDC" w14:textId="77777777" w:rsidR="00AB67B9" w:rsidRPr="00431183" w:rsidRDefault="00AB67B9" w:rsidP="00431183">
      <w:pPr>
        <w:spacing w:line="240" w:lineRule="auto"/>
        <w:jc w:val="both"/>
        <w:rPr>
          <w:rFonts w:ascii="Cambria" w:eastAsiaTheme="minorEastAsia" w:hAnsi="Cambria" w:cs="Arial"/>
          <w:sz w:val="24"/>
          <w:szCs w:val="24"/>
          <w:lang w:val="en-US"/>
        </w:rPr>
      </w:pPr>
      <w:r w:rsidRPr="00431183">
        <w:rPr>
          <w:rFonts w:ascii="Cambria" w:eastAsiaTheme="minorEastAsia" w:hAnsi="Cambria" w:cs="Arial"/>
          <w:sz w:val="24"/>
          <w:szCs w:val="24"/>
          <w:lang w:val="en-US"/>
        </w:rPr>
        <w:t xml:space="preserve">£= Ln L = </w:t>
      </w:r>
      <m:oMath>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lang w:val="en-US"/>
              </w:rPr>
              <m:t>1=0</m:t>
            </m:r>
          </m:sub>
          <m:sup>
            <m:r>
              <w:rPr>
                <w:rFonts w:ascii="Cambria Math" w:eastAsiaTheme="minorEastAsia" w:hAnsi="Cambria Math" w:cs="Arial"/>
                <w:sz w:val="24"/>
                <w:szCs w:val="24"/>
              </w:rPr>
              <m:t>i</m:t>
            </m:r>
          </m:sup>
          <m:e>
            <m:r>
              <w:rPr>
                <w:rFonts w:ascii="Cambria Math" w:eastAsiaTheme="minorEastAsia" w:hAnsi="Cambria Math" w:cs="Arial"/>
                <w:sz w:val="24"/>
                <w:szCs w:val="24"/>
              </w:rPr>
              <m:t>YilnMi</m:t>
            </m:r>
            <m:r>
              <w:rPr>
                <w:rFonts w:ascii="Cambria Math" w:eastAsiaTheme="minorEastAsia" w:hAnsi="Cambria Math" w:cs="Arial"/>
                <w:sz w:val="24"/>
                <w:szCs w:val="24"/>
                <w:lang w:val="en-US"/>
              </w:rPr>
              <m:t xml:space="preserve">+ </m:t>
            </m:r>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lang w:val="en-US"/>
                  </w:rPr>
                  <m:t>1=0</m:t>
                </m:r>
              </m:sub>
              <m:sup>
                <m:r>
                  <w:rPr>
                    <w:rFonts w:ascii="Cambria Math" w:eastAsiaTheme="minorEastAsia" w:hAnsi="Cambria Math" w:cs="Arial"/>
                    <w:sz w:val="24"/>
                    <w:szCs w:val="24"/>
                  </w:rPr>
                  <m:t>i</m:t>
                </m:r>
              </m:sup>
              <m:e>
                <m:d>
                  <m:dPr>
                    <m:ctrlPr>
                      <w:rPr>
                        <w:rFonts w:ascii="Cambria Math" w:eastAsiaTheme="minorEastAsia" w:hAnsi="Cambria Math" w:cs="Arial"/>
                        <w:i/>
                        <w:sz w:val="24"/>
                        <w:szCs w:val="24"/>
                      </w:rPr>
                    </m:ctrlPr>
                  </m:dPr>
                  <m:e>
                    <m:r>
                      <w:rPr>
                        <w:rFonts w:ascii="Cambria Math" w:eastAsiaTheme="minorEastAsia" w:hAnsi="Cambria Math" w:cs="Arial"/>
                        <w:sz w:val="24"/>
                        <w:szCs w:val="24"/>
                        <w:lang w:val="en-US"/>
                      </w:rPr>
                      <m:t>1-</m:t>
                    </m:r>
                    <m:r>
                      <w:rPr>
                        <w:rFonts w:ascii="Cambria Math" w:eastAsiaTheme="minorEastAsia" w:hAnsi="Cambria Math" w:cs="Arial"/>
                        <w:sz w:val="24"/>
                        <w:szCs w:val="24"/>
                      </w:rPr>
                      <m:t>Yi</m:t>
                    </m:r>
                  </m:e>
                </m:d>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lang w:val="en-US"/>
                      </w:rPr>
                      <m:t>ln</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lang w:val="en-US"/>
                          </w:rPr>
                          <m:t>1-</m:t>
                        </m:r>
                        <m:r>
                          <w:rPr>
                            <w:rFonts w:ascii="Cambria Math" w:eastAsiaTheme="minorEastAsia" w:hAnsi="Cambria Math" w:cs="Arial"/>
                            <w:sz w:val="24"/>
                            <w:szCs w:val="24"/>
                          </w:rPr>
                          <m:t>Mi</m:t>
                        </m:r>
                      </m:e>
                    </m:d>
                  </m:e>
                </m:func>
                <m:r>
                  <w:rPr>
                    <w:rFonts w:ascii="Cambria Math" w:eastAsiaTheme="minorEastAsia" w:hAnsi="Cambria Math" w:cs="Arial"/>
                    <w:sz w:val="24"/>
                    <w:szCs w:val="24"/>
                    <w:lang w:val="en-US"/>
                  </w:rPr>
                  <m:t xml:space="preserve">= </m:t>
                </m:r>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lang w:val="en-US"/>
                      </w:rPr>
                      <m:t>1=0</m:t>
                    </m:r>
                  </m:sub>
                  <m:sup>
                    <m:r>
                      <w:rPr>
                        <w:rFonts w:ascii="Cambria Math" w:eastAsiaTheme="minorEastAsia" w:hAnsi="Cambria Math" w:cs="Arial"/>
                        <w:sz w:val="24"/>
                        <w:szCs w:val="24"/>
                      </w:rPr>
                      <m:t>i</m:t>
                    </m:r>
                  </m:sup>
                  <m:e>
                    <m:r>
                      <w:rPr>
                        <w:rFonts w:ascii="Cambria Math" w:eastAsiaTheme="minorEastAsia" w:hAnsi="Cambria Math" w:cs="Arial"/>
                        <w:sz w:val="24"/>
                        <w:szCs w:val="24"/>
                      </w:rPr>
                      <m:t>YiLnMi</m:t>
                    </m:r>
                    <m:r>
                      <w:rPr>
                        <w:rFonts w:ascii="Cambria Math" w:eastAsiaTheme="minorEastAsia" w:hAnsi="Cambria Math" w:cs="Arial"/>
                        <w:sz w:val="24"/>
                        <w:szCs w:val="24"/>
                        <w:lang w:val="en-US"/>
                      </w:rPr>
                      <m:t xml:space="preserve">+ </m:t>
                    </m:r>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lang w:val="en-US"/>
                          </w:rPr>
                          <m:t>1=0</m:t>
                        </m:r>
                      </m:sub>
                      <m:sup>
                        <m:r>
                          <w:rPr>
                            <w:rFonts w:ascii="Cambria Math" w:eastAsiaTheme="minorEastAsia" w:hAnsi="Cambria Math" w:cs="Arial"/>
                            <w:sz w:val="24"/>
                            <w:szCs w:val="24"/>
                          </w:rPr>
                          <m:t>i</m:t>
                        </m:r>
                      </m:sup>
                      <m:e>
                        <m:d>
                          <m:dPr>
                            <m:ctrlPr>
                              <w:rPr>
                                <w:rFonts w:ascii="Cambria Math" w:eastAsiaTheme="minorEastAsia" w:hAnsi="Cambria Math" w:cs="Arial"/>
                                <w:i/>
                                <w:sz w:val="24"/>
                                <w:szCs w:val="24"/>
                              </w:rPr>
                            </m:ctrlPr>
                          </m:dPr>
                          <m:e>
                            <m:r>
                              <w:rPr>
                                <w:rFonts w:ascii="Cambria Math" w:eastAsiaTheme="minorEastAsia" w:hAnsi="Cambria Math" w:cs="Arial"/>
                                <w:sz w:val="24"/>
                                <w:szCs w:val="24"/>
                                <w:lang w:val="en-US"/>
                              </w:rPr>
                              <m:t>1-</m:t>
                            </m:r>
                            <m:r>
                              <w:rPr>
                                <w:rFonts w:ascii="Cambria Math" w:eastAsiaTheme="minorEastAsia" w:hAnsi="Cambria Math" w:cs="Arial"/>
                                <w:sz w:val="24"/>
                                <w:szCs w:val="24"/>
                              </w:rPr>
                              <m:t>Yi</m:t>
                            </m:r>
                          </m:e>
                        </m:d>
                        <m:r>
                          <w:rPr>
                            <w:rFonts w:ascii="Cambria Math" w:eastAsiaTheme="minorEastAsia" w:hAnsi="Cambria Math" w:cs="Arial"/>
                            <w:sz w:val="24"/>
                            <w:szCs w:val="24"/>
                          </w:rPr>
                          <m:t>Ln</m:t>
                        </m:r>
                        <m:d>
                          <m:dPr>
                            <m:ctrlPr>
                              <w:rPr>
                                <w:rFonts w:ascii="Cambria Math" w:eastAsiaTheme="minorEastAsia" w:hAnsi="Cambria Math" w:cs="Arial"/>
                                <w:i/>
                                <w:sz w:val="24"/>
                                <w:szCs w:val="24"/>
                              </w:rPr>
                            </m:ctrlPr>
                          </m:dPr>
                          <m:e>
                            <m:r>
                              <w:rPr>
                                <w:rFonts w:ascii="Cambria Math" w:eastAsiaTheme="minorEastAsia" w:hAnsi="Cambria Math" w:cs="Arial"/>
                                <w:sz w:val="24"/>
                                <w:szCs w:val="24"/>
                                <w:lang w:val="en-US"/>
                              </w:rPr>
                              <m:t>1-</m:t>
                            </m:r>
                            <m:r>
                              <w:rPr>
                                <w:rFonts w:ascii="Cambria Math" w:eastAsiaTheme="minorEastAsia" w:hAnsi="Cambria Math" w:cs="Arial"/>
                                <w:sz w:val="24"/>
                                <w:szCs w:val="24"/>
                              </w:rPr>
                              <m:t>Mi</m:t>
                            </m:r>
                          </m:e>
                        </m:d>
                      </m:e>
                    </m:nary>
                  </m:e>
                </m:nary>
              </m:e>
            </m:nary>
            <m:r>
              <w:rPr>
                <w:rFonts w:ascii="Cambria Math" w:eastAsiaTheme="minorEastAsia" w:hAnsi="Cambria Math" w:cs="Arial"/>
                <w:sz w:val="24"/>
                <w:szCs w:val="24"/>
                <w:lang w:val="en-US"/>
              </w:rPr>
              <m:t xml:space="preserve"> </m:t>
            </m:r>
          </m:e>
        </m:nary>
      </m:oMath>
    </w:p>
    <w:p w14:paraId="55F677BA" w14:textId="77777777" w:rsidR="00AB67B9" w:rsidRPr="00431183" w:rsidRDefault="00AB67B9" w:rsidP="00431183">
      <w:pPr>
        <w:spacing w:line="240" w:lineRule="auto"/>
        <w:jc w:val="both"/>
        <w:rPr>
          <w:rFonts w:ascii="Cambria" w:hAnsi="Cambria" w:cs="Arial"/>
          <w:sz w:val="24"/>
          <w:szCs w:val="24"/>
        </w:rPr>
      </w:pPr>
      <w:r w:rsidRPr="00431183">
        <w:rPr>
          <w:rFonts w:ascii="Cambria" w:hAnsi="Cambria" w:cs="Arial"/>
          <w:sz w:val="24"/>
          <w:szCs w:val="24"/>
        </w:rPr>
        <w:t xml:space="preserve">El método de máxima- verosimilitud permite elegir un parámetro que maximice la función, tal como se plantea a continuación: </w:t>
      </w:r>
    </w:p>
    <w:p w14:paraId="6B5C0C3C" w14:textId="77777777" w:rsidR="00AB67B9" w:rsidRPr="00431183" w:rsidRDefault="00B127E3" w:rsidP="00431183">
      <w:pPr>
        <w:spacing w:line="240" w:lineRule="auto"/>
        <w:jc w:val="both"/>
        <w:rPr>
          <w:rFonts w:ascii="Cambria" w:hAnsi="Cambria" w:cs="Arial"/>
          <w:sz w:val="24"/>
          <w:szCs w:val="24"/>
        </w:rPr>
      </w:pPr>
      <m:oMath>
        <m:f>
          <m:fPr>
            <m:ctrlPr>
              <w:rPr>
                <w:rFonts w:ascii="Cambria Math" w:hAnsi="Cambria Math" w:cs="Arial"/>
                <w:i/>
                <w:sz w:val="24"/>
                <w:szCs w:val="24"/>
              </w:rPr>
            </m:ctrlPr>
          </m:fPr>
          <m:num>
            <m:r>
              <w:rPr>
                <w:rFonts w:ascii="Cambria Math" w:hAnsi="Cambria Math" w:cs="Arial"/>
                <w:sz w:val="24"/>
                <w:szCs w:val="24"/>
              </w:rPr>
              <m:t>d</m:t>
            </m:r>
            <m:r>
              <m:rPr>
                <m:sty m:val="p"/>
              </m:rPr>
              <w:rPr>
                <w:rFonts w:ascii="Cambria Math" w:eastAsiaTheme="minorEastAsia" w:hAnsi="Cambria Math" w:cs="Arial"/>
                <w:sz w:val="24"/>
                <w:szCs w:val="24"/>
              </w:rPr>
              <m:t>£</m:t>
            </m:r>
          </m:num>
          <m:den>
            <m:r>
              <w:rPr>
                <w:rFonts w:ascii="Cambria Math" w:hAnsi="Cambria Math" w:cs="Arial"/>
                <w:sz w:val="24"/>
                <w:szCs w:val="24"/>
              </w:rPr>
              <m:t>d∝</m:t>
            </m:r>
          </m:den>
        </m:f>
        <m:r>
          <w:rPr>
            <w:rFonts w:ascii="Cambria Math" w:hAnsi="Cambria Math" w:cs="Arial"/>
            <w:sz w:val="24"/>
            <w:szCs w:val="24"/>
          </w:rPr>
          <m:t>=</m:t>
        </m:r>
        <m:nary>
          <m:naryPr>
            <m:chr m:val="∑"/>
            <m:limLoc m:val="subSup"/>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d>
              <m:dPr>
                <m:ctrlPr>
                  <w:rPr>
                    <w:rFonts w:ascii="Cambria Math" w:hAnsi="Cambria Math" w:cs="Arial"/>
                    <w:i/>
                    <w:sz w:val="24"/>
                    <w:szCs w:val="24"/>
                  </w:rPr>
                </m:ctrlPr>
              </m:dPr>
              <m:e>
                <m:r>
                  <w:rPr>
                    <w:rFonts w:ascii="Cambria Math" w:hAnsi="Cambria Math" w:cs="Arial"/>
                    <w:sz w:val="24"/>
                    <w:szCs w:val="24"/>
                  </w:rPr>
                  <m:t>Yi-Mi</m:t>
                </m:r>
              </m:e>
            </m:d>
            <m:r>
              <w:rPr>
                <w:rFonts w:ascii="Cambria Math" w:hAnsi="Cambria Math" w:cs="Arial"/>
                <w:sz w:val="24"/>
                <w:szCs w:val="24"/>
              </w:rPr>
              <m:t xml:space="preserve">= </m:t>
            </m:r>
            <m:nary>
              <m:naryPr>
                <m:chr m:val="∑"/>
                <m:limLoc m:val="undOvr"/>
                <m:subHide m:val="1"/>
                <m:supHide m:val="1"/>
                <m:ctrlPr>
                  <w:rPr>
                    <w:rFonts w:ascii="Cambria Math" w:hAnsi="Cambria Math" w:cs="Arial"/>
                    <w:i/>
                    <w:sz w:val="24"/>
                    <w:szCs w:val="24"/>
                  </w:rPr>
                </m:ctrlPr>
              </m:naryPr>
              <m:sub/>
              <m:sup/>
              <m:e>
                <m:d>
                  <m:dPr>
                    <m:ctrlPr>
                      <w:rPr>
                        <w:rFonts w:ascii="Cambria Math" w:hAnsi="Cambria Math" w:cs="Arial"/>
                        <w:i/>
                        <w:sz w:val="24"/>
                        <w:szCs w:val="24"/>
                      </w:rPr>
                    </m:ctrlPr>
                  </m:dPr>
                  <m:e>
                    <m:r>
                      <w:rPr>
                        <w:rFonts w:ascii="Cambria Math" w:hAnsi="Cambria Math" w:cs="Arial"/>
                        <w:sz w:val="24"/>
                        <w:szCs w:val="24"/>
                      </w:rPr>
                      <m:t xml:space="preserve">Yi- </m:t>
                    </m:r>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 + βxi</m:t>
                            </m:r>
                          </m:sup>
                        </m:sSup>
                      </m:num>
                      <m:den>
                        <m:r>
                          <w:rPr>
                            <w:rFonts w:ascii="Cambria Math" w:hAnsi="Cambria Math" w:cs="Arial"/>
                            <w:sz w:val="24"/>
                            <w:szCs w:val="24"/>
                          </w:rPr>
                          <m:t>1+</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α+ βxi</m:t>
                            </m:r>
                          </m:sup>
                        </m:sSup>
                      </m:den>
                    </m:f>
                  </m:e>
                </m:d>
                <m:r>
                  <w:rPr>
                    <w:rFonts w:ascii="Cambria Math" w:hAnsi="Cambria Math" w:cs="Arial"/>
                    <w:sz w:val="24"/>
                    <w:szCs w:val="24"/>
                  </w:rPr>
                  <m:t>=0</m:t>
                </m:r>
              </m:e>
            </m:nary>
          </m:e>
        </m:nary>
      </m:oMath>
      <w:r w:rsidR="00AB67B9" w:rsidRPr="00431183">
        <w:rPr>
          <w:rFonts w:ascii="Cambria" w:hAnsi="Cambria" w:cs="Arial"/>
          <w:sz w:val="24"/>
          <w:szCs w:val="24"/>
        </w:rPr>
        <w:t xml:space="preserve">  </w:t>
      </w:r>
    </w:p>
    <w:p w14:paraId="454E48B1" w14:textId="77777777" w:rsidR="00AB67B9" w:rsidRPr="00431183" w:rsidRDefault="00B127E3" w:rsidP="00431183">
      <w:pPr>
        <w:spacing w:line="240" w:lineRule="auto"/>
        <w:jc w:val="both"/>
        <w:rPr>
          <w:rFonts w:ascii="Cambria" w:hAnsi="Cambria" w:cs="Arial"/>
          <w:sz w:val="24"/>
          <w:szCs w:val="24"/>
        </w:rPr>
      </w:pPr>
      <m:oMath>
        <m:f>
          <m:fPr>
            <m:ctrlPr>
              <w:rPr>
                <w:rFonts w:ascii="Cambria Math" w:hAnsi="Cambria Math" w:cs="Arial"/>
                <w:i/>
                <w:sz w:val="24"/>
                <w:szCs w:val="24"/>
              </w:rPr>
            </m:ctrlPr>
          </m:fPr>
          <m:num>
            <m:r>
              <w:rPr>
                <w:rFonts w:ascii="Cambria Math" w:hAnsi="Cambria Math" w:cs="Arial"/>
                <w:sz w:val="24"/>
                <w:szCs w:val="24"/>
              </w:rPr>
              <m:t>d</m:t>
            </m:r>
            <m:r>
              <m:rPr>
                <m:sty m:val="p"/>
              </m:rPr>
              <w:rPr>
                <w:rFonts w:ascii="Cambria Math" w:eastAsiaTheme="minorEastAsia" w:hAnsi="Cambria Math" w:cs="Arial"/>
                <w:sz w:val="24"/>
                <w:szCs w:val="24"/>
              </w:rPr>
              <m:t>£</m:t>
            </m:r>
          </m:num>
          <m:den>
            <m:r>
              <w:rPr>
                <w:rFonts w:ascii="Cambria Math" w:hAnsi="Cambria Math" w:cs="Arial"/>
                <w:sz w:val="24"/>
                <w:szCs w:val="24"/>
              </w:rPr>
              <m:t>d∝</m:t>
            </m:r>
          </m:den>
        </m:f>
        <m:r>
          <w:rPr>
            <w:rFonts w:ascii="Cambria Math" w:hAnsi="Cambria Math" w:cs="Arial"/>
            <w:sz w:val="24"/>
            <w:szCs w:val="24"/>
          </w:rPr>
          <m:t xml:space="preserve">= </m:t>
        </m:r>
        <m:nary>
          <m:naryPr>
            <m:chr m:val="∑"/>
            <m:limLoc m:val="subSup"/>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d>
              <m:dPr>
                <m:ctrlPr>
                  <w:rPr>
                    <w:rFonts w:ascii="Cambria Math" w:hAnsi="Cambria Math" w:cs="Arial"/>
                    <w:i/>
                    <w:sz w:val="24"/>
                    <w:szCs w:val="24"/>
                  </w:rPr>
                </m:ctrlPr>
              </m:dPr>
              <m:e>
                <m:r>
                  <w:rPr>
                    <w:rFonts w:ascii="Cambria Math" w:hAnsi="Cambria Math" w:cs="Arial"/>
                    <w:sz w:val="24"/>
                    <w:szCs w:val="24"/>
                  </w:rPr>
                  <m:t>Yi-Mi</m:t>
                </m:r>
              </m:e>
            </m:d>
            <m:r>
              <w:rPr>
                <w:rFonts w:ascii="Cambria Math" w:hAnsi="Cambria Math" w:cs="Arial"/>
                <w:sz w:val="24"/>
                <w:szCs w:val="24"/>
              </w:rPr>
              <m:t xml:space="preserve">*Xi= </m:t>
            </m:r>
            <m:nary>
              <m:naryPr>
                <m:chr m:val="∑"/>
                <m:limLoc m:val="undOvr"/>
                <m:subHide m:val="1"/>
                <m:supHide m:val="1"/>
                <m:ctrlPr>
                  <w:rPr>
                    <w:rFonts w:ascii="Cambria Math" w:hAnsi="Cambria Math" w:cs="Arial"/>
                    <w:i/>
                    <w:sz w:val="24"/>
                    <w:szCs w:val="24"/>
                  </w:rPr>
                </m:ctrlPr>
              </m:naryPr>
              <m:sub/>
              <m:sup/>
              <m:e>
                <m:d>
                  <m:dPr>
                    <m:ctrlPr>
                      <w:rPr>
                        <w:rFonts w:ascii="Cambria Math" w:hAnsi="Cambria Math" w:cs="Arial"/>
                        <w:i/>
                        <w:sz w:val="24"/>
                        <w:szCs w:val="24"/>
                      </w:rPr>
                    </m:ctrlPr>
                  </m:dPr>
                  <m:e>
                    <m:r>
                      <w:rPr>
                        <w:rFonts w:ascii="Cambria Math" w:hAnsi="Cambria Math" w:cs="Arial"/>
                        <w:sz w:val="24"/>
                        <w:szCs w:val="24"/>
                      </w:rPr>
                      <m:t xml:space="preserve">Yi- </m:t>
                    </m:r>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 + βxi</m:t>
                            </m:r>
                          </m:sup>
                        </m:sSup>
                      </m:num>
                      <m:den>
                        <m:r>
                          <w:rPr>
                            <w:rFonts w:ascii="Cambria Math" w:hAnsi="Cambria Math" w:cs="Arial"/>
                            <w:sz w:val="24"/>
                            <w:szCs w:val="24"/>
                          </w:rPr>
                          <m:t>1+</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α+ βxi</m:t>
                            </m:r>
                          </m:sup>
                        </m:sSup>
                      </m:den>
                    </m:f>
                  </m:e>
                </m:d>
                <m:r>
                  <w:rPr>
                    <w:rFonts w:ascii="Cambria Math" w:hAnsi="Cambria Math" w:cs="Arial"/>
                    <w:sz w:val="24"/>
                    <w:szCs w:val="24"/>
                  </w:rPr>
                  <m:t>*Xi=0</m:t>
                </m:r>
              </m:e>
            </m:nary>
          </m:e>
        </m:nary>
      </m:oMath>
      <w:r w:rsidR="00AB67B9" w:rsidRPr="00431183">
        <w:rPr>
          <w:rFonts w:ascii="Cambria" w:hAnsi="Cambria" w:cs="Arial"/>
          <w:sz w:val="24"/>
          <w:szCs w:val="24"/>
        </w:rPr>
        <w:t xml:space="preserve">  </w:t>
      </w:r>
    </w:p>
    <w:p w14:paraId="433D91C3" w14:textId="03A1E367" w:rsidR="00025AA4" w:rsidRPr="00431183" w:rsidRDefault="00AB67B9" w:rsidP="00AF1E1D">
      <w:pPr>
        <w:spacing w:line="240" w:lineRule="auto"/>
        <w:ind w:firstLine="708"/>
        <w:jc w:val="both"/>
        <w:rPr>
          <w:rFonts w:ascii="Cambria" w:hAnsi="Cambria" w:cs="Arial"/>
          <w:sz w:val="24"/>
          <w:szCs w:val="24"/>
        </w:rPr>
      </w:pPr>
      <w:r w:rsidRPr="00431183">
        <w:rPr>
          <w:rFonts w:ascii="Cambria" w:hAnsi="Cambria" w:cs="Arial"/>
          <w:sz w:val="24"/>
          <w:szCs w:val="24"/>
        </w:rPr>
        <w:t>De donde se determina que son ecuaciones no lineales; aplicando un método iterativo o algoritmo de optimizado que permita la convergencia de estimadores</w:t>
      </w:r>
      <w:r w:rsidRPr="00431183">
        <w:rPr>
          <w:rFonts w:ascii="Cambria" w:hAnsi="Cambria" w:cs="Times New Roman"/>
          <w:sz w:val="24"/>
          <w:szCs w:val="24"/>
        </w:rPr>
        <w:t xml:space="preserve">.  </w:t>
      </w:r>
      <w:r w:rsidR="00025AA4">
        <w:rPr>
          <w:rFonts w:ascii="Cambria" w:hAnsi="Cambria" w:cs="Times New Roman"/>
          <w:sz w:val="24"/>
          <w:szCs w:val="24"/>
        </w:rPr>
        <w:t xml:space="preserve"> </w:t>
      </w:r>
      <w:r w:rsidR="00025AA4" w:rsidRPr="00431183">
        <w:rPr>
          <w:rFonts w:ascii="Cambria" w:hAnsi="Cambria" w:cs="Arial"/>
          <w:sz w:val="24"/>
          <w:szCs w:val="24"/>
        </w:rPr>
        <w:t xml:space="preserve">A continuación, se especifica un modelo de causalidad con características de medir el impacto de la denominación de Origen Tarrazú en los productores de los Santos, para hacerlo, se define un modelo no paramétrico de elección cuantitativa como lo es un Logit, estimado mediante el método de Máxima-Verisimilitud, el modelo se especifica de la siguiente manera: </w:t>
      </w:r>
    </w:p>
    <w:p w14:paraId="2C0DBB69" w14:textId="77777777" w:rsidR="00025AA4" w:rsidRPr="00431183" w:rsidRDefault="00025AA4" w:rsidP="00025AA4">
      <w:pPr>
        <w:spacing w:line="240" w:lineRule="auto"/>
        <w:jc w:val="center"/>
        <w:rPr>
          <w:rFonts w:ascii="Cambria" w:hAnsi="Cambria" w:cs="Arial"/>
          <w:sz w:val="24"/>
          <w:szCs w:val="24"/>
        </w:rPr>
      </w:pPr>
      <w:r w:rsidRPr="00431183">
        <w:rPr>
          <w:rFonts w:ascii="Cambria" w:hAnsi="Cambria" w:cs="Arial"/>
          <w:sz w:val="24"/>
          <w:szCs w:val="24"/>
        </w:rPr>
        <w:t>E(Yi/Xi) = β1 + β2Xi</w:t>
      </w:r>
    </w:p>
    <w:p w14:paraId="25DB6F42" w14:textId="77777777" w:rsidR="00025AA4" w:rsidRPr="00431183" w:rsidRDefault="00025AA4" w:rsidP="00025AA4">
      <w:pPr>
        <w:spacing w:line="240" w:lineRule="auto"/>
        <w:jc w:val="both"/>
        <w:rPr>
          <w:rFonts w:ascii="Cambria" w:hAnsi="Cambria" w:cs="Arial"/>
          <w:sz w:val="24"/>
          <w:szCs w:val="24"/>
        </w:rPr>
      </w:pPr>
      <w:r w:rsidRPr="00431183">
        <w:rPr>
          <w:rFonts w:ascii="Cambria" w:hAnsi="Cambria" w:cs="Arial"/>
          <w:sz w:val="24"/>
          <w:szCs w:val="24"/>
        </w:rPr>
        <w:t xml:space="preserve">Y se plantea lo siguiente: </w:t>
      </w:r>
    </w:p>
    <w:p w14:paraId="6E47EEB9" w14:textId="77777777" w:rsidR="00025AA4" w:rsidRPr="00431183" w:rsidRDefault="00025AA4" w:rsidP="00025AA4">
      <w:pPr>
        <w:spacing w:line="240" w:lineRule="auto"/>
        <w:jc w:val="both"/>
        <w:rPr>
          <w:rFonts w:ascii="Cambria" w:hAnsi="Cambria" w:cs="Arial"/>
          <w:sz w:val="24"/>
          <w:szCs w:val="24"/>
        </w:rPr>
      </w:pPr>
      <w:r w:rsidRPr="00431183">
        <w:rPr>
          <w:rFonts w:ascii="Cambria" w:hAnsi="Cambria" w:cs="Arial"/>
          <w:sz w:val="24"/>
          <w:szCs w:val="24"/>
        </w:rPr>
        <w:t>Pi= Probabilidad de que el evento acurra por lo tanto Y=1</w:t>
      </w:r>
    </w:p>
    <w:p w14:paraId="589E0E71" w14:textId="77777777" w:rsidR="00025AA4" w:rsidRPr="00431183" w:rsidRDefault="00025AA4" w:rsidP="00025AA4">
      <w:pPr>
        <w:spacing w:line="240" w:lineRule="auto"/>
        <w:jc w:val="both"/>
        <w:rPr>
          <w:rFonts w:ascii="Cambria" w:hAnsi="Cambria" w:cs="Arial"/>
          <w:sz w:val="24"/>
          <w:szCs w:val="24"/>
        </w:rPr>
      </w:pPr>
      <w:r w:rsidRPr="00431183">
        <w:rPr>
          <w:rFonts w:ascii="Cambria" w:hAnsi="Cambria" w:cs="Arial"/>
          <w:sz w:val="24"/>
          <w:szCs w:val="24"/>
        </w:rPr>
        <w:t>1-Pi = Probabilidad de que el evento no ocurra por lo tanto Y=0</w:t>
      </w:r>
    </w:p>
    <w:p w14:paraId="429CD9CB" w14:textId="77777777" w:rsidR="00025AA4" w:rsidRPr="00431183" w:rsidRDefault="00025AA4" w:rsidP="00025AA4">
      <w:pPr>
        <w:spacing w:line="240" w:lineRule="auto"/>
        <w:jc w:val="both"/>
        <w:rPr>
          <w:rFonts w:ascii="Cambria" w:hAnsi="Cambria" w:cs="Arial"/>
          <w:sz w:val="24"/>
          <w:szCs w:val="24"/>
        </w:rPr>
      </w:pPr>
      <w:r w:rsidRPr="00431183">
        <w:rPr>
          <w:rFonts w:ascii="Cambria" w:hAnsi="Cambria" w:cs="Arial"/>
          <w:sz w:val="24"/>
          <w:szCs w:val="24"/>
        </w:rPr>
        <w:t xml:space="preserve">Se especifica el modelo de la siguiente manera: </w:t>
      </w:r>
    </w:p>
    <w:p w14:paraId="165C2B4C" w14:textId="77777777" w:rsidR="00025AA4" w:rsidRPr="00431183" w:rsidRDefault="00025AA4" w:rsidP="00025AA4">
      <w:pPr>
        <w:spacing w:line="240" w:lineRule="auto"/>
        <w:jc w:val="center"/>
        <w:rPr>
          <w:rFonts w:ascii="Cambria" w:eastAsiaTheme="minorEastAsia" w:hAnsi="Cambria" w:cs="Arial"/>
          <w:sz w:val="24"/>
          <w:szCs w:val="24"/>
        </w:rPr>
      </w:pPr>
      <w:r w:rsidRPr="00431183">
        <w:rPr>
          <w:rFonts w:ascii="Cambria" w:hAnsi="Cambria" w:cs="Arial"/>
          <w:sz w:val="24"/>
          <w:szCs w:val="24"/>
        </w:rPr>
        <w:t xml:space="preserve">Yi= </w:t>
      </w:r>
      <m:oMath>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1+</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-β1-β2Xi</m:t>
                </m:r>
              </m:sup>
            </m:sSup>
          </m:den>
        </m:f>
        <m:r>
          <w:rPr>
            <w:rFonts w:ascii="Cambria Math" w:hAnsi="Cambria Math" w:cs="Arial"/>
            <w:sz w:val="24"/>
            <w:szCs w:val="24"/>
          </w:rPr>
          <m:t>+ui</m:t>
        </m:r>
      </m:oMath>
      <w:r w:rsidRPr="00431183">
        <w:rPr>
          <w:rFonts w:ascii="Cambria" w:eastAsiaTheme="minorEastAsia" w:hAnsi="Cambria" w:cs="Arial"/>
          <w:sz w:val="24"/>
          <w:szCs w:val="24"/>
        </w:rPr>
        <w:t xml:space="preserve">                 (1)</w:t>
      </w:r>
    </w:p>
    <w:p w14:paraId="68F5C152" w14:textId="77777777" w:rsidR="00025AA4" w:rsidRPr="00431183" w:rsidRDefault="00025AA4" w:rsidP="00025AA4">
      <w:pPr>
        <w:spacing w:line="240" w:lineRule="auto"/>
        <w:jc w:val="center"/>
        <w:rPr>
          <w:rFonts w:ascii="Cambria" w:eastAsiaTheme="minorEastAsia" w:hAnsi="Cambria" w:cs="Arial"/>
          <w:sz w:val="24"/>
          <w:szCs w:val="24"/>
        </w:rPr>
      </w:pPr>
      <w:r w:rsidRPr="00431183">
        <w:rPr>
          <w:rFonts w:ascii="Cambria" w:hAnsi="Cambria" w:cs="Arial"/>
          <w:sz w:val="24"/>
          <w:szCs w:val="24"/>
        </w:rPr>
        <w:t xml:space="preserve">P(Y/X)= </w:t>
      </w:r>
      <m:oMath>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1+</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-(β1+β2xi+…+βkXk)</m:t>
                </m:r>
              </m:sup>
            </m:sSup>
          </m:den>
        </m:f>
      </m:oMath>
      <w:r w:rsidRPr="00431183">
        <w:rPr>
          <w:rFonts w:ascii="Cambria" w:eastAsiaTheme="minorEastAsia" w:hAnsi="Cambria" w:cs="Arial"/>
          <w:sz w:val="24"/>
          <w:szCs w:val="24"/>
        </w:rPr>
        <w:t xml:space="preserve">   (2)</w:t>
      </w:r>
    </w:p>
    <w:p w14:paraId="37066844" w14:textId="77777777" w:rsidR="00025AA4" w:rsidRPr="00431183" w:rsidRDefault="00025AA4" w:rsidP="00025AA4">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Expresando (2) en términos del modelo se transforma como se presenta a continuación: </w:t>
      </w:r>
    </w:p>
    <w:p w14:paraId="0BDACDC0" w14:textId="77777777" w:rsidR="00025AA4" w:rsidRPr="00431183" w:rsidRDefault="00B127E3" w:rsidP="00025AA4">
      <w:pPr>
        <w:spacing w:line="240" w:lineRule="auto"/>
        <w:jc w:val="both"/>
        <w:rPr>
          <w:rFonts w:ascii="Cambria" w:eastAsiaTheme="minorEastAsia" w:hAnsi="Cambria" w:cs="Arial"/>
          <w:sz w:val="24"/>
          <w:szCs w:val="24"/>
        </w:rPr>
      </w:pPr>
      <m:oMath>
        <m:f>
          <m:fPr>
            <m:ctrlPr>
              <w:rPr>
                <w:rFonts w:ascii="Cambria Math" w:hAnsi="Cambria Math" w:cs="Arial"/>
                <w:i/>
                <w:sz w:val="24"/>
                <w:szCs w:val="24"/>
              </w:rPr>
            </m:ctrlPr>
          </m:fPr>
          <m:num>
            <m:r>
              <w:rPr>
                <w:rFonts w:ascii="Cambria Math" w:hAnsi="Cambria Math" w:cs="Arial"/>
                <w:sz w:val="24"/>
                <w:szCs w:val="24"/>
              </w:rPr>
              <m:t>P(Y=1)</m:t>
            </m:r>
          </m:num>
          <m:den>
            <m:r>
              <w:rPr>
                <w:rFonts w:ascii="Cambria Math" w:hAnsi="Cambria Math" w:cs="Arial"/>
                <w:sz w:val="24"/>
                <w:szCs w:val="24"/>
              </w:rPr>
              <m:t>P(Y=0)</m:t>
            </m:r>
          </m:den>
        </m:f>
        <m:r>
          <w:rPr>
            <w:rFonts w:ascii="Cambria Math" w:hAnsi="Cambria Math" w:cs="Arial"/>
            <w:sz w:val="24"/>
            <w:szCs w:val="24"/>
          </w:rPr>
          <m:t>=</m:t>
        </m:r>
        <m:f>
          <m:fPr>
            <m:ctrlPr>
              <w:rPr>
                <w:rFonts w:ascii="Cambria Math" w:eastAsiaTheme="minorEastAsia" w:hAnsi="Cambria Math" w:cs="Arial"/>
                <w:i/>
                <w:sz w:val="24"/>
                <w:szCs w:val="24"/>
              </w:rPr>
            </m:ctrlPr>
          </m:fPr>
          <m:num>
            <m:r>
              <w:rPr>
                <w:rFonts w:ascii="Cambria Math" w:hAnsi="Cambria Math" w:cs="Arial"/>
                <w:sz w:val="24"/>
                <w:szCs w:val="24"/>
              </w:rPr>
              <m:t>1/(1+</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β1+X2+…+βkXk</m:t>
                    </m:r>
                  </m:e>
                </m:d>
              </m:sup>
            </m:sSup>
            <m:r>
              <w:rPr>
                <w:rFonts w:ascii="Cambria Math" w:hAnsi="Cambria Math" w:cs="Arial"/>
                <w:sz w:val="24"/>
                <w:szCs w:val="24"/>
              </w:rPr>
              <m:t>)</m:t>
            </m:r>
          </m:num>
          <m:den>
            <m:r>
              <w:rPr>
                <w:rFonts w:ascii="Cambria Math" w:eastAsiaTheme="minorEastAsia" w:hAnsi="Cambria Math" w:cs="Arial"/>
                <w:sz w:val="24"/>
                <w:szCs w:val="24"/>
              </w:rPr>
              <m:t>1-1/</m:t>
            </m:r>
            <m:r>
              <w:rPr>
                <w:rFonts w:ascii="Cambria Math" w:hAnsi="Cambria Math" w:cs="Arial"/>
                <w:sz w:val="24"/>
                <w:szCs w:val="24"/>
              </w:rPr>
              <m:t>(1+</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β1+X2+…+βkXk</m:t>
                    </m:r>
                  </m:e>
                </m:d>
              </m:sup>
            </m:sSup>
            <m:r>
              <w:rPr>
                <w:rFonts w:ascii="Cambria Math" w:hAnsi="Cambria Math" w:cs="Arial"/>
                <w:sz w:val="24"/>
                <w:szCs w:val="24"/>
              </w:rPr>
              <m:t>)</m:t>
            </m:r>
          </m:den>
        </m:f>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2π</m:t>
                </m:r>
                <m:sSup>
                  <m:sSupPr>
                    <m:ctrlPr>
                      <w:rPr>
                        <w:rFonts w:ascii="Cambria Math" w:eastAsiaTheme="minorEastAsia"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r>
                  <w:rPr>
                    <w:rFonts w:ascii="Cambria Math" w:eastAsiaTheme="minorEastAsia" w:hAnsi="Cambria Math" w:cs="Arial"/>
                    <w:sz w:val="24"/>
                    <w:szCs w:val="24"/>
                  </w:rPr>
                  <m:t>)</m:t>
                </m:r>
              </m:e>
              <m:sup>
                <m:r>
                  <w:rPr>
                    <w:rFonts w:ascii="Cambria Math" w:eastAsiaTheme="minorEastAsia" w:hAnsi="Cambria Math" w:cs="Arial"/>
                    <w:sz w:val="24"/>
                    <w:szCs w:val="24"/>
                  </w:rPr>
                  <m:t>N/2</m:t>
                </m:r>
              </m:sup>
            </m:sSup>
          </m:den>
        </m:f>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2</m:t>
                </m:r>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r>
                  <w:rPr>
                    <w:rFonts w:ascii="Cambria Math" w:hAnsi="Cambria Math" w:cs="Arial"/>
                    <w:sz w:val="24"/>
                    <w:szCs w:val="24"/>
                  </w:rPr>
                  <m:t>u</m:t>
                </m:r>
              </m:den>
            </m:f>
            <m:d>
              <m:dPr>
                <m:ctrlPr>
                  <w:rPr>
                    <w:rFonts w:ascii="Cambria Math" w:hAnsi="Cambria Math" w:cs="Arial"/>
                    <w:i/>
                    <w:sz w:val="24"/>
                    <w:szCs w:val="24"/>
                  </w:rPr>
                </m:ctrlPr>
              </m:dPr>
              <m:e>
                <m:r>
                  <w:rPr>
                    <w:rFonts w:ascii="Cambria Math" w:hAnsi="Cambria Math" w:cs="Arial"/>
                    <w:sz w:val="24"/>
                    <w:szCs w:val="24"/>
                  </w:rPr>
                  <m:t>β1+X2+…+βkXk</m:t>
                </m:r>
              </m:e>
            </m:d>
            <m:r>
              <w:rPr>
                <w:rFonts w:ascii="Cambria Math" w:hAnsi="Cambria Math" w:cs="Arial"/>
                <w:sz w:val="24"/>
                <w:szCs w:val="24"/>
              </w:rPr>
              <m:t>^2</m:t>
            </m:r>
          </m:sup>
        </m:sSup>
        <m:r>
          <w:rPr>
            <w:rFonts w:ascii="Cambria Math" w:eastAsiaTheme="minorEastAsia" w:hAnsi="Cambria Math" w:cs="Arial"/>
            <w:sz w:val="24"/>
            <w:szCs w:val="24"/>
          </w:rPr>
          <m:t xml:space="preserve"> </m:t>
        </m:r>
      </m:oMath>
      <w:r w:rsidR="00025AA4" w:rsidRPr="00431183">
        <w:rPr>
          <w:rFonts w:ascii="Cambria" w:eastAsiaTheme="minorEastAsia" w:hAnsi="Cambria" w:cs="Arial"/>
          <w:sz w:val="24"/>
          <w:szCs w:val="24"/>
        </w:rPr>
        <w:t xml:space="preserve"> (1)</w:t>
      </w:r>
    </w:p>
    <w:p w14:paraId="6413F871" w14:textId="77777777" w:rsidR="00025AA4" w:rsidRPr="00431183" w:rsidRDefault="00025AA4" w:rsidP="00025AA4">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Tomando (1) se puede linealizar los parámetros tal como se presenta a continuación: </w:t>
      </w:r>
    </w:p>
    <w:p w14:paraId="6D2F0201" w14:textId="77777777" w:rsidR="00025AA4" w:rsidRPr="00431183" w:rsidRDefault="00025AA4" w:rsidP="00025AA4">
      <w:pPr>
        <w:spacing w:line="240" w:lineRule="auto"/>
        <w:jc w:val="both"/>
        <w:rPr>
          <w:rFonts w:ascii="Cambria" w:eastAsiaTheme="minorEastAsia" w:hAnsi="Cambria" w:cs="Arial"/>
          <w:sz w:val="24"/>
          <w:szCs w:val="24"/>
        </w:rPr>
      </w:pPr>
      <m:oMathPara>
        <m:oMath>
          <m:r>
            <m:rPr>
              <m:sty m:val="p"/>
            </m:rPr>
            <w:rPr>
              <w:rFonts w:ascii="Cambria Math" w:hAnsi="Cambria Math" w:cs="Arial"/>
              <w:sz w:val="24"/>
              <w:szCs w:val="24"/>
            </w:rPr>
            <m:t>Γ</m:t>
          </m:r>
          <m:r>
            <w:rPr>
              <w:rFonts w:ascii="Cambria Math" w:hAnsi="Cambria Math" w:cs="Arial"/>
              <w:sz w:val="24"/>
              <w:szCs w:val="24"/>
            </w:rPr>
            <m:t>=ln=-</m:t>
          </m:r>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2</m:t>
              </m:r>
            </m:den>
          </m:f>
          <m:r>
            <w:rPr>
              <w:rFonts w:ascii="Cambria Math" w:hAnsi="Cambria Math" w:cs="Arial"/>
              <w:sz w:val="24"/>
              <w:szCs w:val="24"/>
            </w:rPr>
            <m:t>*ln2π-</m:t>
          </m:r>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2</m:t>
              </m:r>
            </m:den>
          </m:f>
          <m:r>
            <w:rPr>
              <w:rFonts w:ascii="Cambria Math" w:hAnsi="Cambria Math" w:cs="Arial"/>
              <w:sz w:val="24"/>
              <w:szCs w:val="24"/>
            </w:rPr>
            <m:t>*ln</m:t>
          </m:r>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r>
            <w:rPr>
              <w:rFonts w:ascii="Cambria Math" w:hAnsi="Cambria Math" w:cs="Arial"/>
              <w:sz w:val="24"/>
              <w:szCs w:val="24"/>
            </w:rPr>
            <m:t>u-</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2</m:t>
              </m:r>
              <m:sSup>
                <m:sSupPr>
                  <m:ctrlPr>
                    <w:rPr>
                      <w:rFonts w:ascii="Cambria Math" w:hAnsi="Cambria Math" w:cs="Arial"/>
                      <w:i/>
                      <w:sz w:val="24"/>
                      <w:szCs w:val="24"/>
                    </w:rPr>
                  </m:ctrlPr>
                </m:sSupPr>
                <m:e>
                  <m:r>
                    <w:rPr>
                      <w:rFonts w:ascii="Cambria Math" w:hAnsi="Cambria Math" w:cs="Arial"/>
                      <w:sz w:val="24"/>
                      <w:szCs w:val="24"/>
                    </w:rPr>
                    <m:t>ϑ</m:t>
                  </m:r>
                </m:e>
                <m:sup>
                  <m:r>
                    <w:rPr>
                      <w:rFonts w:ascii="Cambria Math" w:hAnsi="Cambria Math" w:cs="Arial"/>
                      <w:sz w:val="24"/>
                      <w:szCs w:val="24"/>
                    </w:rPr>
                    <m:t>2</m:t>
                  </m:r>
                </m:sup>
              </m:sSup>
              <m:r>
                <w:rPr>
                  <w:rFonts w:ascii="Cambria Math" w:hAnsi="Cambria Math" w:cs="Arial"/>
                  <w:sz w:val="24"/>
                  <w:szCs w:val="24"/>
                </w:rPr>
                <m:t>u</m:t>
              </m:r>
            </m:den>
          </m:f>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yi-β1-β2*xi)</m:t>
                  </m:r>
                </m:e>
                <m:sup>
                  <m:r>
                    <w:rPr>
                      <w:rFonts w:ascii="Cambria Math" w:hAnsi="Cambria Math" w:cs="Arial"/>
                      <w:sz w:val="24"/>
                      <w:szCs w:val="24"/>
                    </w:rPr>
                    <m:t>2</m:t>
                  </m:r>
                </m:sup>
              </m:sSup>
            </m:e>
          </m:nary>
        </m:oMath>
      </m:oMathPara>
    </w:p>
    <w:p w14:paraId="3F6CE357" w14:textId="77777777" w:rsidR="00025AA4" w:rsidRPr="00431183" w:rsidRDefault="00B127E3" w:rsidP="00025AA4">
      <w:pPr>
        <w:spacing w:line="240" w:lineRule="auto"/>
        <w:jc w:val="both"/>
        <w:rPr>
          <w:rFonts w:ascii="Cambria" w:eastAsiaTheme="minorEastAsia" w:hAnsi="Cambria" w:cs="Arial"/>
          <w:sz w:val="24"/>
          <w:szCs w:val="24"/>
        </w:rPr>
      </w:pPr>
      <m:oMath>
        <m:f>
          <m:fPr>
            <m:ctrlPr>
              <w:rPr>
                <w:rFonts w:ascii="Cambria Math" w:hAnsi="Cambria Math" w:cs="Arial"/>
                <w:i/>
                <w:sz w:val="24"/>
                <w:szCs w:val="24"/>
              </w:rPr>
            </m:ctrlPr>
          </m:fPr>
          <m:num>
            <m:r>
              <w:rPr>
                <w:rFonts w:ascii="Cambria Math" w:hAnsi="Cambria Math" w:cs="Arial"/>
                <w:sz w:val="24"/>
                <w:szCs w:val="24"/>
              </w:rPr>
              <m:t>dln</m:t>
            </m:r>
            <m:r>
              <m:rPr>
                <m:sty m:val="p"/>
              </m:rPr>
              <w:rPr>
                <w:rFonts w:ascii="Cambria Math" w:hAnsi="Cambria Math" w:cs="Arial"/>
                <w:sz w:val="24"/>
                <w:szCs w:val="24"/>
              </w:rPr>
              <m:t>Γ</m:t>
            </m:r>
          </m:num>
          <m:den>
            <m:r>
              <w:rPr>
                <w:rFonts w:ascii="Cambria Math" w:hAnsi="Cambria Math" w:cs="Arial"/>
                <w:sz w:val="24"/>
                <w:szCs w:val="24"/>
              </w:rPr>
              <m:t>dβ1</m:t>
            </m:r>
          </m:den>
        </m:f>
        <m:r>
          <w:rPr>
            <w:rFonts w:ascii="Cambria Math" w:hAnsi="Cambria Math" w:cs="Arial"/>
            <w:sz w:val="24"/>
            <w:szCs w:val="24"/>
          </w:rPr>
          <m:t>= +</m:t>
        </m:r>
        <m:f>
          <m:fPr>
            <m:ctrlPr>
              <w:rPr>
                <w:rFonts w:ascii="Cambria Math" w:hAnsi="Cambria Math" w:cs="Arial"/>
                <w:i/>
                <w:sz w:val="24"/>
                <w:szCs w:val="24"/>
              </w:rPr>
            </m:ctrlPr>
          </m:fPr>
          <m:num>
            <m:r>
              <w:rPr>
                <w:rFonts w:ascii="Cambria Math" w:hAnsi="Cambria Math" w:cs="Arial"/>
                <w:sz w:val="24"/>
                <w:szCs w:val="24"/>
              </w:rPr>
              <m:t>2</m:t>
            </m:r>
          </m:num>
          <m:den>
            <m:r>
              <w:rPr>
                <w:rFonts w:ascii="Cambria Math" w:hAnsi="Cambria Math" w:cs="Arial"/>
                <w:sz w:val="24"/>
                <w:szCs w:val="24"/>
              </w:rPr>
              <m:t>2</m:t>
            </m:r>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den>
        </m:f>
      </m:oMath>
      <w:r w:rsidR="00025AA4" w:rsidRPr="00431183">
        <w:rPr>
          <w:rFonts w:ascii="Cambria" w:eastAsiaTheme="minorEastAsia" w:hAnsi="Cambria" w:cs="Arial"/>
          <w:sz w:val="24"/>
          <w:szCs w:val="24"/>
        </w:rPr>
        <w:t>*</w:t>
      </w:r>
      <m:oMath>
        <m:nary>
          <m:naryPr>
            <m:chr m:val="∑"/>
            <m:limLoc m:val="undOvr"/>
            <m:subHide m:val="1"/>
            <m:supHide m:val="1"/>
            <m:ctrlPr>
              <w:rPr>
                <w:rFonts w:ascii="Cambria Math" w:eastAsiaTheme="minorEastAsia" w:hAnsi="Cambria Math" w:cs="Arial"/>
                <w:i/>
                <w:sz w:val="24"/>
                <w:szCs w:val="24"/>
              </w:rPr>
            </m:ctrlPr>
          </m:naryPr>
          <m:sub/>
          <m:sup/>
          <m:e>
            <m:d>
              <m:dPr>
                <m:ctrlPr>
                  <w:rPr>
                    <w:rFonts w:ascii="Cambria Math" w:eastAsiaTheme="minorEastAsia" w:hAnsi="Cambria Math" w:cs="Arial"/>
                    <w:i/>
                    <w:sz w:val="24"/>
                    <w:szCs w:val="24"/>
                  </w:rPr>
                </m:ctrlPr>
              </m:dPr>
              <m:e>
                <m:r>
                  <w:rPr>
                    <w:rFonts w:ascii="Cambria Math" w:eastAsiaTheme="minorEastAsia" w:hAnsi="Cambria Math" w:cs="Arial"/>
                    <w:sz w:val="24"/>
                    <w:szCs w:val="24"/>
                  </w:rPr>
                  <m:t>yi-β1-β2*xi</m:t>
                </m:r>
              </m:e>
            </m:d>
            <m:r>
              <w:rPr>
                <w:rFonts w:ascii="Cambria Math" w:eastAsiaTheme="minorEastAsia" w:hAnsi="Cambria Math" w:cs="Arial"/>
                <w:sz w:val="24"/>
                <w:szCs w:val="24"/>
              </w:rPr>
              <m:t xml:space="preserve">=0 → </m:t>
            </m:r>
            <m:nary>
              <m:naryPr>
                <m:chr m:val="∑"/>
                <m:limLoc m:val="undOvr"/>
                <m:subHide m:val="1"/>
                <m:supHide m:val="1"/>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yi=N*β´1+ β´2*</m:t>
                </m:r>
                <m:nary>
                  <m:naryPr>
                    <m:chr m:val="∑"/>
                    <m:limLoc m:val="undOvr"/>
                    <m:subHide m:val="1"/>
                    <m:supHide m:val="1"/>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xi</m:t>
                    </m:r>
                  </m:e>
                </m:nary>
              </m:e>
            </m:nary>
          </m:e>
        </m:nary>
      </m:oMath>
    </w:p>
    <w:p w14:paraId="4F5A4790" w14:textId="77777777" w:rsidR="00025AA4" w:rsidRPr="00431183" w:rsidRDefault="00025AA4" w:rsidP="00025AA4">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Donde se obtiene que la el </w:t>
      </w:r>
    </w:p>
    <w:p w14:paraId="557839AD" w14:textId="77777777" w:rsidR="00025AA4" w:rsidRPr="00431183" w:rsidRDefault="00025AA4" w:rsidP="00025AA4">
      <w:pPr>
        <w:spacing w:line="240" w:lineRule="auto"/>
        <w:jc w:val="both"/>
        <w:rPr>
          <w:rFonts w:ascii="Cambria" w:eastAsiaTheme="minorEastAsia" w:hAnsi="Cambria" w:cs="Arial"/>
          <w:sz w:val="24"/>
          <w:szCs w:val="24"/>
        </w:rPr>
      </w:pPr>
      <m:oMathPara>
        <m:oMath>
          <m:r>
            <w:rPr>
              <w:rFonts w:ascii="Cambria Math" w:eastAsiaTheme="minorEastAsia" w:hAnsi="Cambria Math" w:cs="Arial"/>
              <w:sz w:val="24"/>
              <w:szCs w:val="24"/>
            </w:rPr>
            <m:t>β1MV= β1 MCO</m:t>
          </m:r>
        </m:oMath>
      </m:oMathPara>
    </w:p>
    <w:p w14:paraId="00497DF0" w14:textId="77777777" w:rsidR="00025AA4" w:rsidRPr="00431183" w:rsidRDefault="00B127E3" w:rsidP="00025AA4">
      <w:pPr>
        <w:spacing w:line="240" w:lineRule="auto"/>
        <w:jc w:val="both"/>
        <w:rPr>
          <w:rFonts w:ascii="Cambria" w:eastAsiaTheme="minorEastAsia" w:hAnsi="Cambria" w:cs="Arial"/>
          <w:sz w:val="24"/>
          <w:szCs w:val="24"/>
        </w:rPr>
      </w:pPr>
      <m:oMath>
        <m:f>
          <m:fPr>
            <m:ctrlPr>
              <w:rPr>
                <w:rFonts w:ascii="Cambria Math" w:hAnsi="Cambria Math" w:cs="Arial"/>
                <w:i/>
                <w:sz w:val="24"/>
                <w:szCs w:val="24"/>
              </w:rPr>
            </m:ctrlPr>
          </m:fPr>
          <m:num>
            <m:r>
              <w:rPr>
                <w:rFonts w:ascii="Cambria Math" w:hAnsi="Cambria Math" w:cs="Arial"/>
                <w:sz w:val="24"/>
                <w:szCs w:val="24"/>
              </w:rPr>
              <m:t>dln</m:t>
            </m:r>
            <m:r>
              <m:rPr>
                <m:sty m:val="p"/>
              </m:rPr>
              <w:rPr>
                <w:rFonts w:ascii="Cambria Math" w:hAnsi="Cambria Math" w:cs="Arial"/>
                <w:sz w:val="24"/>
                <w:szCs w:val="24"/>
              </w:rPr>
              <m:t>Γ</m:t>
            </m:r>
          </m:num>
          <m:den>
            <m:r>
              <w:rPr>
                <w:rFonts w:ascii="Cambria Math" w:hAnsi="Cambria Math" w:cs="Arial"/>
                <w:sz w:val="24"/>
                <w:szCs w:val="24"/>
              </w:rPr>
              <m:t>dβ2</m:t>
            </m:r>
          </m:den>
        </m:f>
        <m:r>
          <w:rPr>
            <w:rFonts w:ascii="Cambria Math" w:hAnsi="Cambria Math" w:cs="Arial"/>
            <w:sz w:val="24"/>
            <w:szCs w:val="24"/>
          </w:rPr>
          <m:t>= +</m:t>
        </m:r>
        <m:f>
          <m:fPr>
            <m:ctrlPr>
              <w:rPr>
                <w:rFonts w:ascii="Cambria Math" w:hAnsi="Cambria Math" w:cs="Arial"/>
                <w:i/>
                <w:sz w:val="24"/>
                <w:szCs w:val="24"/>
              </w:rPr>
            </m:ctrlPr>
          </m:fPr>
          <m:num>
            <m:r>
              <w:rPr>
                <w:rFonts w:ascii="Cambria Math" w:hAnsi="Cambria Math" w:cs="Arial"/>
                <w:sz w:val="24"/>
                <w:szCs w:val="24"/>
              </w:rPr>
              <m:t>2</m:t>
            </m:r>
          </m:num>
          <m:den>
            <m:r>
              <w:rPr>
                <w:rFonts w:ascii="Cambria Math" w:hAnsi="Cambria Math" w:cs="Arial"/>
                <w:sz w:val="24"/>
                <w:szCs w:val="24"/>
              </w:rPr>
              <m:t>2</m:t>
            </m:r>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r>
              <w:rPr>
                <w:rFonts w:ascii="Cambria Math" w:hAnsi="Cambria Math" w:cs="Arial"/>
                <w:sz w:val="24"/>
                <w:szCs w:val="24"/>
              </w:rPr>
              <m:t>u</m:t>
            </m:r>
          </m:den>
        </m:f>
      </m:oMath>
      <w:r w:rsidR="00025AA4" w:rsidRPr="00431183">
        <w:rPr>
          <w:rFonts w:ascii="Cambria" w:eastAsiaTheme="minorEastAsia" w:hAnsi="Cambria" w:cs="Arial"/>
          <w:sz w:val="24"/>
          <w:szCs w:val="24"/>
        </w:rPr>
        <w:t xml:space="preserve"> </w:t>
      </w:r>
      <m:oMath>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xi*</m:t>
            </m:r>
            <m:d>
              <m:dPr>
                <m:ctrlPr>
                  <w:rPr>
                    <w:rFonts w:ascii="Cambria Math" w:hAnsi="Cambria Math" w:cs="Arial"/>
                    <w:i/>
                    <w:sz w:val="24"/>
                    <w:szCs w:val="24"/>
                  </w:rPr>
                </m:ctrlPr>
              </m:dPr>
              <m:e>
                <m:r>
                  <w:rPr>
                    <w:rFonts w:ascii="Cambria Math" w:hAnsi="Cambria Math" w:cs="Arial"/>
                    <w:sz w:val="24"/>
                    <w:szCs w:val="24"/>
                  </w:rPr>
                  <m:t>yi-β1-β2*xi</m:t>
                </m:r>
              </m:e>
            </m:d>
            <m:r>
              <w:rPr>
                <w:rFonts w:ascii="Cambria Math" w:hAnsi="Cambria Math" w:cs="Arial"/>
                <w:sz w:val="24"/>
                <w:szCs w:val="24"/>
              </w:rPr>
              <m:t xml:space="preserve">=0 → </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 xml:space="preserve">xi*yi= β´1* </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 xml:space="preserve">xi+ β´2* </m:t>
                    </m:r>
                  </m:e>
                </m:nary>
              </m:e>
            </m:nary>
          </m:e>
        </m:nary>
        <m:nary>
          <m:naryPr>
            <m:chr m:val="∑"/>
            <m:limLoc m:val="undOvr"/>
            <m:subHide m:val="1"/>
            <m:supHide m:val="1"/>
            <m:ctrlPr>
              <w:rPr>
                <w:rFonts w:ascii="Cambria Math" w:eastAsiaTheme="minorEastAsia" w:hAnsi="Cambria Math" w:cs="Arial"/>
                <w:i/>
                <w:sz w:val="24"/>
                <w:szCs w:val="24"/>
              </w:rPr>
            </m:ctrlPr>
          </m:naryPr>
          <m:sub/>
          <m:sup/>
          <m:e>
            <m:sSup>
              <m:sSupPr>
                <m:ctrlPr>
                  <w:rPr>
                    <w:rFonts w:ascii="Cambria Math" w:eastAsiaTheme="minorEastAsia" w:hAnsi="Cambria Math" w:cs="Arial"/>
                    <w:i/>
                    <w:sz w:val="24"/>
                    <w:szCs w:val="24"/>
                  </w:rPr>
                </m:ctrlPr>
              </m:sSupPr>
              <m:e>
                <m:r>
                  <w:rPr>
                    <w:rFonts w:ascii="Cambria Math" w:hAnsi="Cambria Math" w:cs="Arial"/>
                    <w:sz w:val="24"/>
                    <w:szCs w:val="24"/>
                  </w:rPr>
                  <m:t>xi</m:t>
                </m:r>
              </m:e>
              <m:sup>
                <m:r>
                  <w:rPr>
                    <w:rFonts w:ascii="Cambria Math" w:hAnsi="Cambria Math" w:cs="Arial"/>
                    <w:sz w:val="24"/>
                    <w:szCs w:val="24"/>
                  </w:rPr>
                  <m:t>2</m:t>
                </m:r>
              </m:sup>
            </m:sSup>
          </m:e>
        </m:nary>
      </m:oMath>
    </w:p>
    <w:p w14:paraId="1E711CBB" w14:textId="77777777" w:rsidR="00025AA4" w:rsidRPr="00431183" w:rsidRDefault="00025AA4" w:rsidP="00025AA4">
      <w:pPr>
        <w:spacing w:line="240" w:lineRule="auto"/>
        <w:jc w:val="both"/>
        <w:rPr>
          <w:rFonts w:ascii="Cambria" w:eastAsiaTheme="minorEastAsia" w:hAnsi="Cambria" w:cs="Arial"/>
          <w:sz w:val="24"/>
          <w:szCs w:val="24"/>
        </w:rPr>
      </w:pPr>
      <m:oMathPara>
        <m:oMath>
          <m:r>
            <w:rPr>
              <w:rFonts w:ascii="Cambria Math" w:hAnsi="Cambria Math" w:cs="Arial"/>
              <w:sz w:val="24"/>
              <w:szCs w:val="24"/>
            </w:rPr>
            <m:t>β2MV=βMCO</m:t>
          </m:r>
        </m:oMath>
      </m:oMathPara>
    </w:p>
    <w:p w14:paraId="746802C8" w14:textId="77777777" w:rsidR="00025AA4" w:rsidRPr="00431183" w:rsidRDefault="00025AA4" w:rsidP="00025AA4">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Donde se cumple que el modelo de máxima verosimilitud cumple con los supuestos de los estimadores de mínimos cuadrados ordinarios de linealidad e insesgamiento </w:t>
      </w:r>
    </w:p>
    <w:p w14:paraId="553F9A82" w14:textId="77777777" w:rsidR="00025AA4" w:rsidRPr="00431183" w:rsidRDefault="00025AA4" w:rsidP="00025AA4">
      <w:pPr>
        <w:spacing w:line="240" w:lineRule="auto"/>
        <w:jc w:val="center"/>
        <w:rPr>
          <w:rFonts w:ascii="Cambria" w:eastAsiaTheme="minorEastAsia" w:hAnsi="Cambria" w:cs="Arial"/>
          <w:sz w:val="24"/>
          <w:szCs w:val="24"/>
        </w:rPr>
      </w:pPr>
      <w:r w:rsidRPr="00431183">
        <w:rPr>
          <w:rFonts w:ascii="Cambria" w:eastAsiaTheme="minorEastAsia" w:hAnsi="Cambria" w:cs="Arial"/>
          <w:sz w:val="24"/>
          <w:szCs w:val="24"/>
        </w:rPr>
        <w:t xml:space="preserve">E(u)=0  E(ui*uj) = </w:t>
      </w:r>
      <m:oMath>
        <m:sSup>
          <m:sSupPr>
            <m:ctrlPr>
              <w:rPr>
                <w:rFonts w:ascii="Cambria Math" w:eastAsiaTheme="minorEastAsia"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r>
          <w:rPr>
            <w:rFonts w:ascii="Cambria Math" w:eastAsiaTheme="minorEastAsia" w:hAnsi="Cambria Math" w:cs="Arial"/>
            <w:sz w:val="24"/>
            <w:szCs w:val="24"/>
          </w:rPr>
          <m:t>*I</m:t>
        </m:r>
      </m:oMath>
    </w:p>
    <w:p w14:paraId="04173DC7" w14:textId="77777777" w:rsidR="00025AA4" w:rsidRPr="00431183" w:rsidRDefault="00025AA4" w:rsidP="00025AA4">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Y los errores se distribuyen de la siguiente manera:  ui</w:t>
      </w:r>
      <m:oMath>
        <m:r>
          <w:rPr>
            <w:rFonts w:ascii="Cambria Math" w:eastAsiaTheme="minorEastAsia" w:hAnsi="Cambria Math" w:cs="Arial"/>
            <w:sz w:val="24"/>
            <w:szCs w:val="24"/>
          </w:rPr>
          <m:t>≈</m:t>
        </m:r>
      </m:oMath>
      <w:r w:rsidRPr="00431183">
        <w:rPr>
          <w:rFonts w:ascii="Cambria" w:eastAsiaTheme="minorEastAsia" w:hAnsi="Cambria" w:cs="Arial"/>
          <w:sz w:val="24"/>
          <w:szCs w:val="24"/>
        </w:rPr>
        <w:t xml:space="preserve"> N (0, </w:t>
      </w:r>
      <m:oMath>
        <m:sSup>
          <m:sSupPr>
            <m:ctrlPr>
              <w:rPr>
                <w:rFonts w:ascii="Cambria Math" w:eastAsiaTheme="minorEastAsia"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r>
          <w:rPr>
            <w:rFonts w:ascii="Cambria Math" w:eastAsiaTheme="minorEastAsia" w:hAnsi="Cambria Math" w:cs="Arial"/>
            <w:sz w:val="24"/>
            <w:szCs w:val="24"/>
          </w:rPr>
          <m:t>u</m:t>
        </m:r>
      </m:oMath>
      <w:r w:rsidRPr="00431183">
        <w:rPr>
          <w:rFonts w:ascii="Cambria" w:eastAsiaTheme="minorEastAsia" w:hAnsi="Cambria" w:cs="Arial"/>
          <w:sz w:val="24"/>
          <w:szCs w:val="24"/>
        </w:rPr>
        <w:t>)</w:t>
      </w:r>
    </w:p>
    <w:p w14:paraId="0AA9B8E3" w14:textId="77777777" w:rsidR="00025AA4" w:rsidRPr="00431183" w:rsidRDefault="00B127E3" w:rsidP="00025AA4">
      <w:pPr>
        <w:spacing w:line="240" w:lineRule="auto"/>
        <w:jc w:val="both"/>
        <w:rPr>
          <w:rFonts w:ascii="Cambria" w:eastAsiaTheme="minorEastAsia" w:hAnsi="Cambria" w:cs="Arial"/>
          <w:sz w:val="24"/>
          <w:szCs w:val="24"/>
        </w:rPr>
      </w:pPr>
      <m:oMathPara>
        <m:oMath>
          <m:f>
            <m:fPr>
              <m:ctrlPr>
                <w:rPr>
                  <w:rFonts w:ascii="Cambria Math" w:hAnsi="Cambria Math" w:cs="Arial"/>
                  <w:i/>
                  <w:sz w:val="24"/>
                  <w:szCs w:val="24"/>
                </w:rPr>
              </m:ctrlPr>
            </m:fPr>
            <m:num>
              <m:r>
                <w:rPr>
                  <w:rFonts w:ascii="Cambria Math" w:hAnsi="Cambria Math" w:cs="Arial"/>
                  <w:sz w:val="24"/>
                  <w:szCs w:val="24"/>
                </w:rPr>
                <m:t>dln</m:t>
              </m:r>
              <m:r>
                <m:rPr>
                  <m:sty m:val="p"/>
                </m:rPr>
                <w:rPr>
                  <w:rFonts w:ascii="Cambria Math" w:hAnsi="Cambria Math" w:cs="Arial"/>
                  <w:sz w:val="24"/>
                  <w:szCs w:val="24"/>
                </w:rPr>
                <m:t>Γ</m:t>
              </m:r>
            </m:num>
            <m:den>
              <m:r>
                <w:rPr>
                  <w:rFonts w:ascii="Cambria Math" w:hAnsi="Cambria Math" w:cs="Arial"/>
                  <w:sz w:val="24"/>
                  <w:szCs w:val="24"/>
                </w:rPr>
                <m:t>d</m:t>
              </m:r>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den>
          </m:f>
          <m:r>
            <w:rPr>
              <w:rFonts w:ascii="Cambria Math" w:hAnsi="Cambria Math" w:cs="Arial"/>
              <w:sz w:val="24"/>
              <w:szCs w:val="24"/>
            </w:rPr>
            <m:t xml:space="preserve">= - </m:t>
          </m:r>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2</m:t>
              </m:r>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r>
                <w:rPr>
                  <w:rFonts w:ascii="Cambria Math" w:hAnsi="Cambria Math" w:cs="Arial"/>
                  <w:sz w:val="24"/>
                  <w:szCs w:val="24"/>
                </w:rPr>
                <m:t>u</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2</m:t>
              </m:r>
            </m:den>
          </m:f>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m:t>
              </m:r>
              <m:d>
                <m:dPr>
                  <m:ctrlPr>
                    <w:rPr>
                      <w:rFonts w:ascii="Cambria Math" w:hAnsi="Cambria Math" w:cs="Arial"/>
                      <w:i/>
                      <w:sz w:val="24"/>
                      <w:szCs w:val="24"/>
                    </w:rPr>
                  </m:ctrlPr>
                </m:dPr>
                <m:e>
                  <m:sSup>
                    <m:sSupPr>
                      <m:ctrlPr>
                        <w:rPr>
                          <w:rFonts w:ascii="Cambria Math" w:hAnsi="Cambria Math" w:cs="Arial"/>
                          <w:i/>
                          <w:sz w:val="24"/>
                          <w:szCs w:val="24"/>
                        </w:rPr>
                      </m:ctrlPr>
                    </m:sSupPr>
                    <m:e>
                      <m:r>
                        <w:rPr>
                          <w:rFonts w:ascii="Cambria Math" w:hAnsi="Cambria Math" w:cs="Arial"/>
                          <w:sz w:val="24"/>
                          <w:szCs w:val="24"/>
                        </w:rPr>
                        <m:t>yi-β1-β2*xi)</m:t>
                      </m:r>
                    </m:e>
                    <m:sup>
                      <m:r>
                        <w:rPr>
                          <w:rFonts w:ascii="Cambria Math" w:hAnsi="Cambria Math" w:cs="Arial"/>
                          <w:sz w:val="24"/>
                          <w:szCs w:val="24"/>
                        </w:rPr>
                        <m:t>2</m:t>
                      </m:r>
                    </m:sup>
                  </m:sSup>
                </m:e>
              </m:d>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e>
          </m:nary>
          <m:r>
            <w:rPr>
              <w:rFonts w:ascii="Cambria Math" w:hAnsi="Cambria Math" w:cs="Arial"/>
              <w:sz w:val="24"/>
              <w:szCs w:val="24"/>
            </w:rPr>
            <m:t xml:space="preserve">u)^-2=0 </m:t>
          </m:r>
        </m:oMath>
      </m:oMathPara>
    </w:p>
    <w:p w14:paraId="189088B1" w14:textId="749D86EF" w:rsidR="00662A8D" w:rsidRPr="00431183" w:rsidRDefault="00B127E3" w:rsidP="00025AA4">
      <w:pPr>
        <w:spacing w:line="240" w:lineRule="auto"/>
        <w:jc w:val="both"/>
        <w:rPr>
          <w:rFonts w:ascii="Cambria" w:eastAsiaTheme="minorEastAsia" w:hAnsi="Cambria" w:cs="Arial"/>
          <w:sz w:val="24"/>
          <w:szCs w:val="24"/>
        </w:rPr>
      </w:pPr>
      <m:oMathPara>
        <m:oMath>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r>
            <w:rPr>
              <w:rFonts w:ascii="Cambria Math" w:hAnsi="Cambria Math" w:cs="Arial"/>
              <w:sz w:val="24"/>
              <w:szCs w:val="24"/>
            </w:rPr>
            <m:t xml:space="preserve">u MV= </m:t>
          </m:r>
          <m:f>
            <m:fPr>
              <m:ctrlPr>
                <w:rPr>
                  <w:rFonts w:ascii="Cambria Math" w:hAnsi="Cambria Math" w:cs="Arial"/>
                  <w:i/>
                  <w:sz w:val="24"/>
                  <w:szCs w:val="24"/>
                </w:rPr>
              </m:ctrlPr>
            </m:fPr>
            <m:num>
              <m:r>
                <w:rPr>
                  <w:rFonts w:ascii="Cambria Math" w:hAnsi="Cambria Math" w:cs="Arial"/>
                  <w:sz w:val="24"/>
                  <w:szCs w:val="24"/>
                </w:rPr>
                <m:t>e´e</m:t>
              </m:r>
            </m:num>
            <m:den>
              <m:r>
                <w:rPr>
                  <w:rFonts w:ascii="Cambria Math" w:hAnsi="Cambria Math" w:cs="Arial"/>
                  <w:sz w:val="24"/>
                  <w:szCs w:val="24"/>
                </w:rPr>
                <m:t>N</m:t>
              </m:r>
            </m:den>
          </m:f>
          <m:r>
            <w:rPr>
              <w:rFonts w:ascii="Cambria Math" w:hAnsi="Cambria Math" w:cs="Arial"/>
              <w:sz w:val="24"/>
              <w:szCs w:val="24"/>
            </w:rPr>
            <m:t xml:space="preserve"> ≠ </m:t>
          </m:r>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r>
            <w:rPr>
              <w:rFonts w:ascii="Cambria Math" w:hAnsi="Cambria Math" w:cs="Arial"/>
              <w:sz w:val="24"/>
              <w:szCs w:val="24"/>
            </w:rPr>
            <m:t xml:space="preserve">u MCO= </m:t>
          </m:r>
          <m:f>
            <m:fPr>
              <m:ctrlPr>
                <w:rPr>
                  <w:rFonts w:ascii="Cambria Math" w:hAnsi="Cambria Math" w:cs="Arial"/>
                  <w:i/>
                  <w:sz w:val="24"/>
                  <w:szCs w:val="24"/>
                </w:rPr>
              </m:ctrlPr>
            </m:fPr>
            <m:num>
              <m:r>
                <w:rPr>
                  <w:rFonts w:ascii="Cambria Math" w:hAnsi="Cambria Math" w:cs="Arial"/>
                  <w:sz w:val="24"/>
                  <w:szCs w:val="24"/>
                </w:rPr>
                <m:t>e´e</m:t>
              </m:r>
            </m:num>
            <m:den>
              <m:r>
                <w:rPr>
                  <w:rFonts w:ascii="Cambria Math" w:hAnsi="Cambria Math" w:cs="Arial"/>
                  <w:sz w:val="24"/>
                  <w:szCs w:val="24"/>
                </w:rPr>
                <m:t>N-K</m:t>
              </m:r>
            </m:den>
          </m:f>
        </m:oMath>
      </m:oMathPara>
    </w:p>
    <w:p w14:paraId="655036AF" w14:textId="77777777" w:rsidR="00025AA4" w:rsidRPr="00431183" w:rsidRDefault="00025AA4" w:rsidP="00431183">
      <w:pPr>
        <w:spacing w:line="240" w:lineRule="auto"/>
        <w:jc w:val="both"/>
        <w:rPr>
          <w:rFonts w:ascii="Cambria" w:hAnsi="Cambria" w:cs="Times New Roman"/>
          <w:sz w:val="24"/>
          <w:szCs w:val="24"/>
        </w:rPr>
      </w:pPr>
    </w:p>
    <w:p w14:paraId="3D41AA22" w14:textId="77777777" w:rsidR="00696BBF" w:rsidRPr="00431183" w:rsidRDefault="00696BBF" w:rsidP="00431183">
      <w:pPr>
        <w:spacing w:line="240" w:lineRule="auto"/>
        <w:jc w:val="both"/>
        <w:rPr>
          <w:rFonts w:ascii="Cambria" w:eastAsiaTheme="minorEastAsia" w:hAnsi="Cambria" w:cs="Arial"/>
          <w:sz w:val="24"/>
          <w:szCs w:val="24"/>
        </w:rPr>
      </w:pPr>
    </w:p>
    <w:p w14:paraId="1B289EC3" w14:textId="5BB40E69" w:rsidR="009D2E27" w:rsidRPr="00431183" w:rsidRDefault="00662A8D" w:rsidP="00431183">
      <w:pPr>
        <w:spacing w:after="0" w:line="240" w:lineRule="auto"/>
        <w:jc w:val="both"/>
        <w:rPr>
          <w:rFonts w:ascii="Cambria" w:hAnsi="Cambria" w:cs="Arial"/>
          <w:sz w:val="24"/>
          <w:szCs w:val="24"/>
        </w:rPr>
      </w:pPr>
      <w:r>
        <w:rPr>
          <w:rFonts w:ascii="Cambria" w:hAnsi="Cambria" w:cs="Arial"/>
          <w:sz w:val="24"/>
          <w:szCs w:val="24"/>
        </w:rPr>
        <w:t xml:space="preserve">De la especificación anterior, se plantea el modelo para determinar la probabilidad de beneficios de la denominación de origen al utilizar una serie de contribuciones de la Banca para el Desarrollo </w:t>
      </w:r>
    </w:p>
    <w:p w14:paraId="005F7277" w14:textId="77777777" w:rsidR="00251BA7" w:rsidRPr="00431183" w:rsidRDefault="00251BA7" w:rsidP="00431183">
      <w:pPr>
        <w:spacing w:after="0" w:line="240" w:lineRule="auto"/>
        <w:jc w:val="both"/>
        <w:rPr>
          <w:rFonts w:ascii="Cambria" w:hAnsi="Cambria" w:cs="Arial"/>
          <w:sz w:val="24"/>
          <w:szCs w:val="24"/>
        </w:rPr>
      </w:pPr>
    </w:p>
    <w:p w14:paraId="68B6E79D" w14:textId="77777777" w:rsidR="00251BA7" w:rsidRPr="00431183" w:rsidRDefault="00251BA7" w:rsidP="00431183">
      <w:pPr>
        <w:spacing w:after="0" w:line="240" w:lineRule="auto"/>
        <w:jc w:val="both"/>
        <w:rPr>
          <w:rFonts w:ascii="Cambria" w:hAnsi="Cambria" w:cs="Arial"/>
          <w:sz w:val="24"/>
          <w:szCs w:val="24"/>
        </w:rPr>
      </w:pPr>
    </w:p>
    <w:p w14:paraId="4DFE77D4" w14:textId="77777777" w:rsidR="002E1669" w:rsidRPr="00431183" w:rsidRDefault="002E1669" w:rsidP="00AF1E1D">
      <w:pPr>
        <w:spacing w:after="0" w:line="240" w:lineRule="auto"/>
        <w:rPr>
          <w:rFonts w:ascii="Cambria" w:hAnsi="Cambria" w:cs="Arial"/>
          <w:b/>
          <w:sz w:val="24"/>
          <w:szCs w:val="24"/>
        </w:rPr>
      </w:pPr>
    </w:p>
    <w:p w14:paraId="07E6C7E4" w14:textId="77777777" w:rsidR="00102BE2" w:rsidRDefault="00102BE2" w:rsidP="00FE0DCB">
      <w:pPr>
        <w:pStyle w:val="Ttulo1"/>
        <w:jc w:val="center"/>
        <w:rPr>
          <w:rFonts w:ascii="Cambria" w:hAnsi="Cambria"/>
          <w:b/>
          <w:color w:val="auto"/>
          <w:sz w:val="28"/>
          <w:szCs w:val="28"/>
        </w:rPr>
      </w:pPr>
    </w:p>
    <w:p w14:paraId="1EECBCAF" w14:textId="7B0F3D9E" w:rsidR="00102BE2" w:rsidRDefault="00102BE2" w:rsidP="00102BE2">
      <w:pPr>
        <w:pStyle w:val="Ttulo1"/>
        <w:rPr>
          <w:rFonts w:ascii="Cambria" w:hAnsi="Cambria"/>
          <w:b/>
          <w:color w:val="auto"/>
          <w:sz w:val="28"/>
          <w:szCs w:val="28"/>
        </w:rPr>
      </w:pPr>
    </w:p>
    <w:p w14:paraId="12BBD182" w14:textId="4A612C7C" w:rsidR="00102BE2" w:rsidRDefault="00102BE2" w:rsidP="00102BE2">
      <w:pPr>
        <w:rPr>
          <w:lang w:eastAsia="es-CR"/>
        </w:rPr>
      </w:pPr>
    </w:p>
    <w:p w14:paraId="0CF47D19" w14:textId="77777777" w:rsidR="00102BE2" w:rsidRPr="00AF1E1D" w:rsidRDefault="00102BE2" w:rsidP="00AF1E1D">
      <w:pPr>
        <w:rPr>
          <w:lang w:eastAsia="es-CR"/>
        </w:rPr>
      </w:pPr>
    </w:p>
    <w:p w14:paraId="7CE51F15" w14:textId="0ED2C1A6" w:rsidR="00251BA7" w:rsidRPr="00AF1E1D" w:rsidRDefault="00102BE2" w:rsidP="00AF1E1D">
      <w:pPr>
        <w:pStyle w:val="Ttulo1"/>
        <w:jc w:val="both"/>
        <w:rPr>
          <w:rFonts w:ascii="Cambria" w:hAnsi="Cambria"/>
          <w:b/>
          <w:color w:val="auto"/>
          <w:sz w:val="28"/>
          <w:szCs w:val="28"/>
        </w:rPr>
      </w:pPr>
      <w:bookmarkStart w:id="86" w:name="_Toc527576967"/>
      <w:r w:rsidRPr="00AF1E1D">
        <w:rPr>
          <w:rFonts w:ascii="Cambria" w:hAnsi="Cambria"/>
          <w:b/>
          <w:color w:val="auto"/>
          <w:sz w:val="28"/>
          <w:szCs w:val="28"/>
        </w:rPr>
        <w:lastRenderedPageBreak/>
        <w:t xml:space="preserve">Capítulo </w:t>
      </w:r>
      <w:r>
        <w:rPr>
          <w:rFonts w:ascii="Cambria" w:hAnsi="Cambria"/>
          <w:b/>
          <w:color w:val="auto"/>
          <w:sz w:val="28"/>
          <w:szCs w:val="28"/>
        </w:rPr>
        <w:t>IV</w:t>
      </w:r>
      <w:r w:rsidR="00A25AE4" w:rsidRPr="00AF1E1D">
        <w:rPr>
          <w:rFonts w:ascii="Cambria" w:hAnsi="Cambria"/>
          <w:b/>
          <w:color w:val="auto"/>
          <w:sz w:val="28"/>
          <w:szCs w:val="28"/>
        </w:rPr>
        <w:t>:</w:t>
      </w:r>
      <w:r w:rsidR="00FE0DCB">
        <w:rPr>
          <w:rFonts w:ascii="Cambria" w:hAnsi="Cambria"/>
          <w:b/>
          <w:color w:val="auto"/>
          <w:sz w:val="28"/>
          <w:szCs w:val="28"/>
        </w:rPr>
        <w:t xml:space="preserve"> </w:t>
      </w:r>
      <w:r>
        <w:rPr>
          <w:rFonts w:ascii="Cambria" w:hAnsi="Cambria"/>
          <w:b/>
          <w:color w:val="auto"/>
          <w:sz w:val="28"/>
          <w:szCs w:val="28"/>
        </w:rPr>
        <w:t>R</w:t>
      </w:r>
      <w:r w:rsidRPr="00AF1E1D">
        <w:rPr>
          <w:rFonts w:ascii="Cambria" w:hAnsi="Cambria"/>
          <w:b/>
          <w:color w:val="auto"/>
          <w:sz w:val="28"/>
          <w:szCs w:val="28"/>
        </w:rPr>
        <w:t>esultados</w:t>
      </w:r>
      <w:bookmarkEnd w:id="86"/>
    </w:p>
    <w:p w14:paraId="60899C83" w14:textId="77777777" w:rsidR="00662A8D" w:rsidRPr="00AF1E1D" w:rsidRDefault="00662A8D" w:rsidP="00AF1E1D">
      <w:pPr>
        <w:rPr>
          <w:lang w:eastAsia="es-CR"/>
        </w:rPr>
      </w:pPr>
    </w:p>
    <w:p w14:paraId="70CB4EA5" w14:textId="6F590FE6" w:rsidR="00251BA7" w:rsidRPr="00431183" w:rsidRDefault="008314B5" w:rsidP="008314B5">
      <w:pPr>
        <w:spacing w:line="240" w:lineRule="auto"/>
        <w:rPr>
          <w:rFonts w:ascii="Cambria" w:eastAsiaTheme="minorEastAsia" w:hAnsi="Cambria" w:cs="Arial"/>
          <w:b/>
          <w:sz w:val="24"/>
          <w:szCs w:val="24"/>
        </w:rPr>
      </w:pPr>
      <w:r>
        <w:rPr>
          <w:rFonts w:ascii="Cambria" w:eastAsiaTheme="minorEastAsia" w:hAnsi="Cambria" w:cs="Arial"/>
          <w:b/>
          <w:sz w:val="24"/>
          <w:szCs w:val="24"/>
        </w:rPr>
        <w:t>4.1</w:t>
      </w:r>
      <w:r w:rsidR="00662A8D">
        <w:rPr>
          <w:rFonts w:ascii="Cambria" w:eastAsiaTheme="minorEastAsia" w:hAnsi="Cambria" w:cs="Arial"/>
          <w:b/>
          <w:sz w:val="24"/>
          <w:szCs w:val="24"/>
        </w:rPr>
        <w:t xml:space="preserve"> </w:t>
      </w:r>
      <w:r w:rsidR="00251BA7" w:rsidRPr="00431183">
        <w:rPr>
          <w:rFonts w:ascii="Cambria" w:eastAsiaTheme="minorEastAsia" w:hAnsi="Cambria" w:cs="Arial"/>
          <w:b/>
          <w:sz w:val="24"/>
          <w:szCs w:val="24"/>
        </w:rPr>
        <w:t>Caracterización de los productores de café de la Zona de los Santos</w:t>
      </w:r>
    </w:p>
    <w:p w14:paraId="69D8C15C" w14:textId="61E46ABF" w:rsidR="008314B5"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La región de los Santos está conformada por tres cantones conocidos como: Dota Tarrazú y León Cortés de producción agrícola exportadora</w:t>
      </w:r>
      <w:r w:rsidR="008314B5">
        <w:rPr>
          <w:rFonts w:ascii="Cambria" w:eastAsiaTheme="minorEastAsia" w:hAnsi="Cambria" w:cs="Arial"/>
          <w:sz w:val="24"/>
          <w:szCs w:val="24"/>
        </w:rPr>
        <w:t xml:space="preserve"> de café oro, desde los periodos cafetaleros del 2014 a la fecha, el promedio de exportación de la producción local fue del 85% respectivamente</w:t>
      </w:r>
      <w:r w:rsidR="00A25AE4">
        <w:rPr>
          <w:rFonts w:ascii="Cambria" w:eastAsiaTheme="minorEastAsia" w:hAnsi="Cambria" w:cs="Arial"/>
          <w:sz w:val="24"/>
          <w:szCs w:val="24"/>
        </w:rPr>
        <w:t xml:space="preserve"> a mercados como Estados Unidos, Corea del Sur y Europa según datos de la Promotora de</w:t>
      </w:r>
      <w:r w:rsidR="00662A8D">
        <w:rPr>
          <w:rFonts w:ascii="Cambria" w:eastAsiaTheme="minorEastAsia" w:hAnsi="Cambria" w:cs="Arial"/>
          <w:sz w:val="24"/>
          <w:szCs w:val="24"/>
        </w:rPr>
        <w:t xml:space="preserve"> Comercio Exterior de Costa Rica (Procomer)</w:t>
      </w:r>
      <w:r w:rsidR="00564B9B">
        <w:rPr>
          <w:rFonts w:ascii="Cambria" w:eastAsiaTheme="minorEastAsia" w:hAnsi="Cambria" w:cs="Arial"/>
          <w:sz w:val="24"/>
          <w:szCs w:val="24"/>
        </w:rPr>
        <w:t xml:space="preserve">. </w:t>
      </w:r>
    </w:p>
    <w:p w14:paraId="4C670B59" w14:textId="0A8A6063" w:rsidR="00564B9B" w:rsidRDefault="00564B9B"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Según el Censo Agrícola realizado por el Instituto Nacional de Estadísticas y Censos (INEC), la agrupación de fincas dedicadas a la producción de café se concentran en pequeños productores, cuya extensión promedio es de una hectárea a dos hectáreas específicamente para los tres cantones que están de análisis.  </w:t>
      </w:r>
    </w:p>
    <w:p w14:paraId="3B7EE3DA" w14:textId="12E00A24" w:rsidR="00251BA7" w:rsidRPr="00431183" w:rsidRDefault="008314B5"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A nivel cantonal,</w:t>
      </w:r>
      <w:r w:rsidR="00564B9B">
        <w:rPr>
          <w:rFonts w:ascii="Cambria" w:eastAsiaTheme="minorEastAsia" w:hAnsi="Cambria" w:cs="Arial"/>
          <w:sz w:val="24"/>
          <w:szCs w:val="24"/>
        </w:rPr>
        <w:t xml:space="preserve"> utilizando la muestra de productores que fueron encuestados para la presente investigación, comparado con los resultados mostrados en el Censo Agrícola del 2014</w:t>
      </w:r>
      <w:r>
        <w:rPr>
          <w:rFonts w:ascii="Cambria" w:eastAsiaTheme="minorEastAsia" w:hAnsi="Cambria" w:cs="Arial"/>
          <w:sz w:val="24"/>
          <w:szCs w:val="24"/>
        </w:rPr>
        <w:t xml:space="preserve"> </w:t>
      </w:r>
      <w:r w:rsidR="00564B9B">
        <w:rPr>
          <w:rFonts w:ascii="Cambria" w:eastAsiaTheme="minorEastAsia" w:hAnsi="Cambria" w:cs="Arial"/>
          <w:sz w:val="24"/>
          <w:szCs w:val="24"/>
        </w:rPr>
        <w:t xml:space="preserve">se </w:t>
      </w:r>
      <w:r>
        <w:rPr>
          <w:rFonts w:ascii="Cambria" w:eastAsiaTheme="minorEastAsia" w:hAnsi="Cambria" w:cs="Arial"/>
          <w:sz w:val="24"/>
          <w:szCs w:val="24"/>
        </w:rPr>
        <w:t xml:space="preserve">muestra la distribución por hectáreas dedicadas a la producción </w:t>
      </w:r>
      <w:r w:rsidR="00251BA7" w:rsidRPr="00431183">
        <w:rPr>
          <w:rFonts w:ascii="Cambria" w:eastAsiaTheme="minorEastAsia" w:hAnsi="Cambria" w:cs="Arial"/>
          <w:sz w:val="24"/>
          <w:szCs w:val="24"/>
        </w:rPr>
        <w:t>de café</w:t>
      </w:r>
      <w:r>
        <w:rPr>
          <w:rFonts w:ascii="Cambria" w:eastAsiaTheme="minorEastAsia" w:hAnsi="Cambria" w:cs="Arial"/>
          <w:sz w:val="24"/>
          <w:szCs w:val="24"/>
        </w:rPr>
        <w:t xml:space="preserve">: </w:t>
      </w:r>
    </w:p>
    <w:p w14:paraId="0EE21424" w14:textId="37F1B802" w:rsidR="000257F9" w:rsidRDefault="00251BA7" w:rsidP="00431183">
      <w:pPr>
        <w:pStyle w:val="Descripcin"/>
        <w:keepNext/>
        <w:spacing w:after="0"/>
        <w:jc w:val="both"/>
        <w:rPr>
          <w:rFonts w:ascii="Cambria" w:hAnsi="Cambria" w:cs="Arial"/>
          <w:b/>
          <w:i w:val="0"/>
          <w:color w:val="auto"/>
          <w:sz w:val="22"/>
          <w:szCs w:val="22"/>
        </w:rPr>
      </w:pPr>
      <w:bookmarkStart w:id="87" w:name="_Toc527574647"/>
      <w:r w:rsidRPr="00AF1E1D">
        <w:rPr>
          <w:rFonts w:ascii="Cambria" w:hAnsi="Cambria" w:cs="Arial"/>
          <w:b/>
          <w:i w:val="0"/>
          <w:color w:val="auto"/>
          <w:sz w:val="22"/>
          <w:szCs w:val="22"/>
        </w:rPr>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1</w:t>
      </w:r>
      <w:bookmarkEnd w:id="87"/>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0DF7FE96" w14:textId="494FA10C" w:rsidR="00251BA7" w:rsidRPr="00AF1E1D" w:rsidRDefault="009927C4" w:rsidP="00431183">
      <w:pPr>
        <w:pStyle w:val="Descripcin"/>
        <w:keepNext/>
        <w:spacing w:after="0"/>
        <w:jc w:val="both"/>
        <w:rPr>
          <w:rFonts w:ascii="Cambria" w:hAnsi="Cambria" w:cs="Arial"/>
          <w:b/>
          <w:i w:val="0"/>
          <w:color w:val="auto"/>
          <w:sz w:val="22"/>
          <w:szCs w:val="22"/>
        </w:rPr>
      </w:pPr>
      <w:r w:rsidRPr="00AF1E1D">
        <w:rPr>
          <w:rFonts w:ascii="Cambria" w:hAnsi="Cambria" w:cs="Arial"/>
          <w:b/>
          <w:i w:val="0"/>
          <w:color w:val="auto"/>
          <w:sz w:val="22"/>
          <w:szCs w:val="22"/>
        </w:rPr>
        <w:t>Producción de Café</w:t>
      </w:r>
      <w:r w:rsidR="008314B5" w:rsidRPr="00AF1E1D">
        <w:rPr>
          <w:rFonts w:ascii="Cambria" w:hAnsi="Cambria" w:cs="Arial"/>
          <w:b/>
          <w:i w:val="0"/>
          <w:color w:val="auto"/>
          <w:sz w:val="22"/>
          <w:szCs w:val="22"/>
        </w:rPr>
        <w:t xml:space="preserve"> </w:t>
      </w:r>
      <w:r w:rsidR="00251BA7" w:rsidRPr="00AF1E1D">
        <w:rPr>
          <w:rFonts w:ascii="Cambria" w:hAnsi="Cambria" w:cs="Arial"/>
          <w:b/>
          <w:i w:val="0"/>
          <w:color w:val="auto"/>
          <w:sz w:val="22"/>
          <w:szCs w:val="22"/>
        </w:rPr>
        <w:t xml:space="preserve"> por Ca</w:t>
      </w:r>
      <w:r w:rsidRPr="00AF1E1D">
        <w:rPr>
          <w:rFonts w:ascii="Cambria" w:hAnsi="Cambria" w:cs="Arial"/>
          <w:b/>
          <w:i w:val="0"/>
          <w:color w:val="auto"/>
          <w:sz w:val="22"/>
          <w:szCs w:val="22"/>
        </w:rPr>
        <w:t>n</w:t>
      </w:r>
      <w:r w:rsidR="00251BA7" w:rsidRPr="00AF1E1D">
        <w:rPr>
          <w:rFonts w:ascii="Cambria" w:hAnsi="Cambria" w:cs="Arial"/>
          <w:b/>
          <w:i w:val="0"/>
          <w:color w:val="auto"/>
          <w:sz w:val="22"/>
          <w:szCs w:val="22"/>
        </w:rPr>
        <w:t>tón.  Periodo: 2016</w:t>
      </w:r>
      <w:r w:rsidR="00CA004F" w:rsidRPr="00AF1E1D">
        <w:rPr>
          <w:rFonts w:ascii="Cambria" w:hAnsi="Cambria" w:cs="Arial"/>
          <w:b/>
          <w:i w:val="0"/>
          <w:color w:val="auto"/>
          <w:sz w:val="22"/>
          <w:szCs w:val="22"/>
        </w:rPr>
        <w:t>-2017</w:t>
      </w:r>
    </w:p>
    <w:p w14:paraId="7DEE728A" w14:textId="77777777" w:rsidR="00251BA7" w:rsidRPr="00431183" w:rsidRDefault="00251BA7" w:rsidP="00AF1E1D">
      <w:pPr>
        <w:spacing w:line="240" w:lineRule="auto"/>
        <w:rPr>
          <w:rFonts w:ascii="Cambria" w:eastAsiaTheme="minorEastAsia" w:hAnsi="Cambria" w:cs="Arial"/>
          <w:sz w:val="24"/>
          <w:szCs w:val="24"/>
        </w:rPr>
      </w:pPr>
      <w:r w:rsidRPr="00431183">
        <w:rPr>
          <w:rFonts w:ascii="Cambria" w:hAnsi="Cambria"/>
          <w:noProof/>
          <w:sz w:val="24"/>
          <w:szCs w:val="24"/>
          <w:lang w:eastAsia="es-CR"/>
        </w:rPr>
        <w:drawing>
          <wp:inline distT="0" distB="0" distL="0" distR="0" wp14:anchorId="08110F74" wp14:editId="27983A3F">
            <wp:extent cx="5647055" cy="2582333"/>
            <wp:effectExtent l="0" t="0" r="0" b="8890"/>
            <wp:docPr id="3" name="Gráfico 3">
              <a:extLst xmlns:a="http://schemas.openxmlformats.org/drawingml/2006/main">
                <a:ext uri="{FF2B5EF4-FFF2-40B4-BE49-F238E27FC236}">
                  <a16:creationId xmlns:a16="http://schemas.microsoft.com/office/drawing/2014/main" id="{FC441129-9562-42FE-970E-5251825653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FAD2539" w14:textId="4F2CEFA7" w:rsidR="00251BA7" w:rsidRPr="00431183" w:rsidRDefault="00251BA7"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base en datos del Censo Cafetalero e Información aportad</w:t>
      </w:r>
      <w:r w:rsidR="00CA004F">
        <w:rPr>
          <w:rFonts w:ascii="Cambria" w:eastAsiaTheme="minorEastAsia" w:hAnsi="Cambria" w:cs="Arial"/>
          <w:sz w:val="18"/>
          <w:szCs w:val="18"/>
        </w:rPr>
        <w:t>a</w:t>
      </w:r>
      <w:r w:rsidRPr="00431183">
        <w:rPr>
          <w:rFonts w:ascii="Cambria" w:eastAsiaTheme="minorEastAsia" w:hAnsi="Cambria" w:cs="Arial"/>
          <w:sz w:val="18"/>
          <w:szCs w:val="18"/>
        </w:rPr>
        <w:t xml:space="preserve"> por Coopetarrazu R.</w:t>
      </w:r>
      <w:r w:rsidR="000257F9">
        <w:rPr>
          <w:rFonts w:ascii="Cambria" w:eastAsiaTheme="minorEastAsia" w:hAnsi="Cambria" w:cs="Arial"/>
          <w:sz w:val="18"/>
          <w:szCs w:val="18"/>
        </w:rPr>
        <w:t>L, 2018</w:t>
      </w:r>
    </w:p>
    <w:p w14:paraId="7079D6BE" w14:textId="77777777" w:rsidR="00482335"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Como se observa en el gráfico 1 Tarrazú cuenta con un aproximado de 4230,02 hectáreas dedicadas al cultivo de café, lo que representa un total del 45% seguido de le León Cortés con un aproximado de 3817,74 hectáreas que representa un 41% y finalmente Dota con un área cultivada de 1288,72 hectáreas que representa aproximadamente un 14% respectivamente.</w:t>
      </w:r>
      <w:r w:rsidR="00CA004F">
        <w:rPr>
          <w:rFonts w:ascii="Cambria" w:eastAsiaTheme="minorEastAsia" w:hAnsi="Cambria" w:cs="Arial"/>
          <w:sz w:val="24"/>
          <w:szCs w:val="24"/>
        </w:rPr>
        <w:t xml:space="preserve">  Siendo los dos primeros cantones los mayores productores de café de la región. </w:t>
      </w:r>
    </w:p>
    <w:p w14:paraId="0D302B77" w14:textId="428C297B" w:rsidR="008314B5" w:rsidRPr="00431183" w:rsidRDefault="008314B5"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lastRenderedPageBreak/>
        <w:t>Se identifica además que Coopetarraz</w:t>
      </w:r>
      <w:r w:rsidR="006910E2">
        <w:rPr>
          <w:rFonts w:ascii="Cambria" w:eastAsiaTheme="minorEastAsia" w:hAnsi="Cambria" w:cs="Arial"/>
          <w:sz w:val="24"/>
          <w:szCs w:val="24"/>
        </w:rPr>
        <w:t>ú</w:t>
      </w:r>
      <w:r>
        <w:rPr>
          <w:rFonts w:ascii="Cambria" w:eastAsiaTheme="minorEastAsia" w:hAnsi="Cambria" w:cs="Arial"/>
          <w:sz w:val="24"/>
          <w:szCs w:val="24"/>
        </w:rPr>
        <w:t xml:space="preserve"> R.L. es la cooperativa que procesa la mayor cantidad de la producción, llegando un máximo de 250.000 quintales en un</w:t>
      </w:r>
      <w:r w:rsidR="004E3188">
        <w:rPr>
          <w:rFonts w:ascii="Cambria" w:eastAsiaTheme="minorEastAsia" w:hAnsi="Cambria" w:cs="Arial"/>
          <w:sz w:val="24"/>
          <w:szCs w:val="24"/>
        </w:rPr>
        <w:t xml:space="preserve"> </w:t>
      </w:r>
      <w:r>
        <w:rPr>
          <w:rFonts w:ascii="Cambria" w:eastAsiaTheme="minorEastAsia" w:hAnsi="Cambria" w:cs="Arial"/>
          <w:sz w:val="24"/>
          <w:szCs w:val="24"/>
        </w:rPr>
        <w:t xml:space="preserve">año productivo, aunque existe otros productores que se han organizado en figuras alternas como los microbeneficios con objetivos de exportación a mercados </w:t>
      </w:r>
      <w:r w:rsidR="004E3188">
        <w:rPr>
          <w:rFonts w:ascii="Cambria" w:eastAsiaTheme="minorEastAsia" w:hAnsi="Cambria" w:cs="Arial"/>
          <w:sz w:val="24"/>
          <w:szCs w:val="24"/>
        </w:rPr>
        <w:t>más</w:t>
      </w:r>
      <w:r>
        <w:rPr>
          <w:rFonts w:ascii="Cambria" w:eastAsiaTheme="minorEastAsia" w:hAnsi="Cambria" w:cs="Arial"/>
          <w:sz w:val="24"/>
          <w:szCs w:val="24"/>
        </w:rPr>
        <w:t xml:space="preserve"> selectos</w:t>
      </w:r>
      <w:r w:rsidR="004E3188">
        <w:rPr>
          <w:rFonts w:ascii="Cambria" w:eastAsiaTheme="minorEastAsia" w:hAnsi="Cambria" w:cs="Arial"/>
          <w:sz w:val="24"/>
          <w:szCs w:val="24"/>
        </w:rPr>
        <w:t xml:space="preserve">. </w:t>
      </w:r>
    </w:p>
    <w:p w14:paraId="0C003233" w14:textId="16202416" w:rsidR="00251BA7" w:rsidRDefault="004E3188"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Con los datos productivos anteriores, </w:t>
      </w:r>
      <w:r w:rsidR="00CA004F">
        <w:rPr>
          <w:rFonts w:ascii="Cambria" w:eastAsiaTheme="minorEastAsia" w:hAnsi="Cambria" w:cs="Arial"/>
          <w:sz w:val="24"/>
          <w:szCs w:val="24"/>
        </w:rPr>
        <w:t xml:space="preserve">se contrasta al analizar </w:t>
      </w:r>
      <w:r w:rsidR="00482335" w:rsidRPr="00431183">
        <w:rPr>
          <w:rFonts w:ascii="Cambria" w:eastAsiaTheme="minorEastAsia" w:hAnsi="Cambria" w:cs="Arial"/>
          <w:sz w:val="24"/>
          <w:szCs w:val="24"/>
        </w:rPr>
        <w:t>datos del Instituto del Café de Costa Rica,</w:t>
      </w:r>
      <w:r w:rsidR="00CA004F">
        <w:rPr>
          <w:rFonts w:ascii="Cambria" w:eastAsiaTheme="minorEastAsia" w:hAnsi="Cambria" w:cs="Arial"/>
          <w:sz w:val="24"/>
          <w:szCs w:val="24"/>
        </w:rPr>
        <w:t xml:space="preserve"> donde especifica que los</w:t>
      </w:r>
      <w:r w:rsidR="00482335" w:rsidRPr="00431183">
        <w:rPr>
          <w:rFonts w:ascii="Cambria" w:eastAsiaTheme="minorEastAsia" w:hAnsi="Cambria" w:cs="Arial"/>
          <w:sz w:val="24"/>
          <w:szCs w:val="24"/>
        </w:rPr>
        <w:t xml:space="preserve"> cantones de Tarrazú y León Cortés son el segundo y tercer mayores productores actuales</w:t>
      </w:r>
      <w:r w:rsidR="00CA004F">
        <w:rPr>
          <w:rFonts w:ascii="Cambria" w:eastAsiaTheme="minorEastAsia" w:hAnsi="Cambria" w:cs="Arial"/>
          <w:sz w:val="24"/>
          <w:szCs w:val="24"/>
        </w:rPr>
        <w:t xml:space="preserve"> de Costa Rica</w:t>
      </w:r>
      <w:r>
        <w:rPr>
          <w:rFonts w:ascii="Cambria" w:eastAsiaTheme="minorEastAsia" w:hAnsi="Cambria" w:cs="Arial"/>
          <w:sz w:val="24"/>
          <w:szCs w:val="24"/>
        </w:rPr>
        <w:t>, además de contar a nivel de registros de cataci</w:t>
      </w:r>
      <w:r w:rsidR="006910E2">
        <w:rPr>
          <w:rFonts w:ascii="Cambria" w:eastAsiaTheme="minorEastAsia" w:hAnsi="Cambria" w:cs="Arial"/>
          <w:sz w:val="24"/>
          <w:szCs w:val="24"/>
        </w:rPr>
        <w:t>ó</w:t>
      </w:r>
      <w:r>
        <w:rPr>
          <w:rFonts w:ascii="Cambria" w:eastAsiaTheme="minorEastAsia" w:hAnsi="Cambria" w:cs="Arial"/>
          <w:sz w:val="24"/>
          <w:szCs w:val="24"/>
        </w:rPr>
        <w:t>n</w:t>
      </w:r>
      <w:r>
        <w:rPr>
          <w:rStyle w:val="Refdenotaalpie"/>
          <w:rFonts w:ascii="Cambria" w:eastAsiaTheme="minorEastAsia" w:hAnsi="Cambria" w:cs="Arial"/>
          <w:sz w:val="24"/>
          <w:szCs w:val="24"/>
        </w:rPr>
        <w:footnoteReference w:id="6"/>
      </w:r>
      <w:r>
        <w:rPr>
          <w:rFonts w:ascii="Cambria" w:eastAsiaTheme="minorEastAsia" w:hAnsi="Cambria" w:cs="Arial"/>
          <w:sz w:val="24"/>
          <w:szCs w:val="24"/>
        </w:rPr>
        <w:t xml:space="preserve"> la presencia de la mayor cantidad de lotes de alta calidad de café según la organización de cafés finos de Costa Rica.</w:t>
      </w:r>
    </w:p>
    <w:p w14:paraId="17FD7045" w14:textId="5F517893" w:rsidR="00564B9B" w:rsidRDefault="00564B9B"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Dicha producción se concentra en especial en productores pequeños como se mencionó anteriormente, por ende, desde los planteamiento de la Denominación de Origen como instrumento jurídico, entre una de sus justificaciones se encuentra la protección de los productores al conservar una característica que se agrupa con el nombre Tarrazú.  </w:t>
      </w:r>
    </w:p>
    <w:p w14:paraId="7E928A51" w14:textId="6A150FA5" w:rsidR="004E3188" w:rsidRPr="00431183" w:rsidRDefault="00796E9C">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Además</w:t>
      </w:r>
      <w:r w:rsidR="00564B9B">
        <w:rPr>
          <w:rFonts w:ascii="Cambria" w:eastAsiaTheme="minorEastAsia" w:hAnsi="Cambria" w:cs="Arial"/>
          <w:sz w:val="24"/>
          <w:szCs w:val="24"/>
        </w:rPr>
        <w:t>, desde el enfoque de cadenas globales de valor que se utiliza en la presente investigación</w:t>
      </w:r>
      <w:r>
        <w:rPr>
          <w:rFonts w:ascii="Cambria" w:eastAsiaTheme="minorEastAsia" w:hAnsi="Cambria" w:cs="Arial"/>
          <w:sz w:val="24"/>
          <w:szCs w:val="24"/>
        </w:rPr>
        <w:t xml:space="preserve">, al ser estos los iniciales dentro del </w:t>
      </w:r>
      <w:r w:rsidR="00C63672">
        <w:rPr>
          <w:rFonts w:ascii="Cambria" w:eastAsiaTheme="minorEastAsia" w:hAnsi="Cambria" w:cs="Arial"/>
          <w:sz w:val="24"/>
          <w:szCs w:val="24"/>
        </w:rPr>
        <w:t xml:space="preserve">eslabón de la cadena de café, buscan apoderarse de mayor valor al momento de comercializar la producción dada a las características que el territorio brinda como es el caso de la Zona de los Santos. </w:t>
      </w:r>
    </w:p>
    <w:p w14:paraId="56D143AE" w14:textId="77777777" w:rsidR="00251BA7" w:rsidRPr="00431183"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Al analizar la producción total café en la región, el siguiente gráfico muestra el comportamiento histórico. </w:t>
      </w:r>
    </w:p>
    <w:p w14:paraId="00CF8341" w14:textId="45061ADC" w:rsidR="000257F9" w:rsidRDefault="00251BA7" w:rsidP="00AF1E1D">
      <w:pPr>
        <w:pStyle w:val="Descripcin"/>
        <w:keepNext/>
        <w:jc w:val="both"/>
        <w:rPr>
          <w:rFonts w:ascii="Cambria" w:hAnsi="Cambria" w:cs="Arial"/>
          <w:b/>
          <w:i w:val="0"/>
          <w:color w:val="auto"/>
          <w:sz w:val="22"/>
          <w:szCs w:val="22"/>
        </w:rPr>
      </w:pPr>
      <w:bookmarkStart w:id="88" w:name="_Toc527574648"/>
      <w:r w:rsidRPr="00AF1E1D">
        <w:rPr>
          <w:rFonts w:ascii="Cambria" w:hAnsi="Cambria" w:cs="Arial"/>
          <w:b/>
          <w:i w:val="0"/>
          <w:color w:val="auto"/>
          <w:sz w:val="22"/>
          <w:szCs w:val="22"/>
        </w:rPr>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2</w:t>
      </w:r>
      <w:bookmarkEnd w:id="88"/>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351E4699" w14:textId="164155AC" w:rsidR="00251BA7" w:rsidRPr="00AF1E1D" w:rsidRDefault="00251BA7" w:rsidP="00AF1E1D">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 xml:space="preserve">Producción </w:t>
      </w:r>
      <w:r w:rsidR="006910E2" w:rsidRPr="00AF1E1D">
        <w:rPr>
          <w:rFonts w:ascii="Cambria" w:hAnsi="Cambria" w:cs="Arial"/>
          <w:b/>
          <w:i w:val="0"/>
          <w:color w:val="auto"/>
          <w:sz w:val="22"/>
          <w:szCs w:val="22"/>
        </w:rPr>
        <w:t>t</w:t>
      </w:r>
      <w:r w:rsidRPr="00AF1E1D">
        <w:rPr>
          <w:rFonts w:ascii="Cambria" w:hAnsi="Cambria" w:cs="Arial"/>
          <w:b/>
          <w:i w:val="0"/>
          <w:color w:val="auto"/>
          <w:sz w:val="22"/>
          <w:szCs w:val="22"/>
        </w:rPr>
        <w:t>otal en Fanegas (equivalente a quintales de 50 kilogramos) de Café.  Región de los Santos peri</w:t>
      </w:r>
      <w:r w:rsidR="00653956" w:rsidRPr="00AF1E1D">
        <w:rPr>
          <w:rFonts w:ascii="Cambria" w:hAnsi="Cambria" w:cs="Arial"/>
          <w:b/>
          <w:i w:val="0"/>
          <w:color w:val="auto"/>
          <w:sz w:val="22"/>
          <w:szCs w:val="22"/>
        </w:rPr>
        <w:t>o</w:t>
      </w:r>
      <w:r w:rsidRPr="00AF1E1D">
        <w:rPr>
          <w:rFonts w:ascii="Cambria" w:hAnsi="Cambria" w:cs="Arial"/>
          <w:b/>
          <w:i w:val="0"/>
          <w:color w:val="auto"/>
          <w:sz w:val="22"/>
          <w:szCs w:val="22"/>
        </w:rPr>
        <w:t>do: 2010-2016</w:t>
      </w:r>
    </w:p>
    <w:p w14:paraId="658733FF" w14:textId="77777777" w:rsidR="00251BA7" w:rsidRPr="00431183" w:rsidRDefault="00251BA7" w:rsidP="00AF1E1D">
      <w:pPr>
        <w:spacing w:line="240" w:lineRule="auto"/>
        <w:rPr>
          <w:rFonts w:ascii="Cambria" w:eastAsiaTheme="minorEastAsia" w:hAnsi="Cambria" w:cs="Arial"/>
          <w:sz w:val="24"/>
          <w:szCs w:val="24"/>
        </w:rPr>
      </w:pPr>
      <w:r w:rsidRPr="00431183">
        <w:rPr>
          <w:rFonts w:ascii="Cambria" w:hAnsi="Cambria"/>
          <w:noProof/>
          <w:sz w:val="24"/>
          <w:szCs w:val="24"/>
          <w:lang w:eastAsia="es-CR"/>
        </w:rPr>
        <w:drawing>
          <wp:inline distT="0" distB="0" distL="0" distR="0" wp14:anchorId="0B0F626B" wp14:editId="2B84A929">
            <wp:extent cx="5000625" cy="1905000"/>
            <wp:effectExtent l="0" t="0" r="0" b="0"/>
            <wp:docPr id="4" name="Gráfico 4">
              <a:extLst xmlns:a="http://schemas.openxmlformats.org/drawingml/2006/main">
                <a:ext uri="{FF2B5EF4-FFF2-40B4-BE49-F238E27FC236}">
                  <a16:creationId xmlns:a16="http://schemas.microsoft.com/office/drawing/2014/main" id="{886411EC-9DF7-49B7-8A35-863077F234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EE2A45E" w14:textId="448375EC" w:rsidR="00251BA7" w:rsidRPr="00431183" w:rsidRDefault="00251BA7"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datos del Instituto del Café de Costa Rica</w:t>
      </w:r>
      <w:r w:rsidR="000257F9">
        <w:rPr>
          <w:rFonts w:ascii="Cambria" w:eastAsiaTheme="minorEastAsia" w:hAnsi="Cambria" w:cs="Arial"/>
          <w:sz w:val="18"/>
          <w:szCs w:val="18"/>
        </w:rPr>
        <w:t>, 2018</w:t>
      </w:r>
    </w:p>
    <w:p w14:paraId="27C85EC0" w14:textId="77777777" w:rsidR="00251BA7" w:rsidRPr="00431183"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Como se observa en el gráfico 2</w:t>
      </w:r>
      <w:r w:rsidR="00653956" w:rsidRPr="00431183">
        <w:rPr>
          <w:rFonts w:ascii="Cambria" w:eastAsiaTheme="minorEastAsia" w:hAnsi="Cambria" w:cs="Arial"/>
          <w:sz w:val="24"/>
          <w:szCs w:val="24"/>
        </w:rPr>
        <w:t>,</w:t>
      </w:r>
      <w:r w:rsidRPr="00431183">
        <w:rPr>
          <w:rFonts w:ascii="Cambria" w:eastAsiaTheme="minorEastAsia" w:hAnsi="Cambria" w:cs="Arial"/>
          <w:sz w:val="24"/>
          <w:szCs w:val="24"/>
        </w:rPr>
        <w:t xml:space="preserve"> desde el 2010 la región ha experimentado un crecimiento en la producción de café medida en fanegas o su equivalente en quintales, pasando de una cosecha de 350.339 fanegas en el periodo de cosecha 2010-2011 a </w:t>
      </w:r>
      <w:r w:rsidRPr="00431183">
        <w:rPr>
          <w:rFonts w:ascii="Cambria" w:eastAsiaTheme="minorEastAsia" w:hAnsi="Cambria" w:cs="Arial"/>
          <w:sz w:val="24"/>
          <w:szCs w:val="24"/>
        </w:rPr>
        <w:lastRenderedPageBreak/>
        <w:t xml:space="preserve">579.668 fanegas en el periodo 2015-2016 lo que significó un incremento promedio del 12% anual en la producción. </w:t>
      </w:r>
    </w:p>
    <w:p w14:paraId="4CE7B2DB" w14:textId="01565A07" w:rsidR="00251BA7" w:rsidRPr="00431183" w:rsidRDefault="00941BDD"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Lo anterior implica </w:t>
      </w:r>
      <w:r w:rsidR="00C63672">
        <w:rPr>
          <w:rFonts w:ascii="Cambria" w:eastAsiaTheme="minorEastAsia" w:hAnsi="Cambria" w:cs="Arial"/>
          <w:sz w:val="24"/>
          <w:szCs w:val="24"/>
        </w:rPr>
        <w:t xml:space="preserve">que a pesar de no existir una variación positiva o negativa en el total de hectáreas dedicadas en producción de café en términos </w:t>
      </w:r>
      <w:r>
        <w:rPr>
          <w:rFonts w:ascii="Cambria" w:eastAsiaTheme="minorEastAsia" w:hAnsi="Cambria" w:cs="Arial"/>
          <w:sz w:val="24"/>
          <w:szCs w:val="24"/>
        </w:rPr>
        <w:t xml:space="preserve">de productividad por hectárea, se encontró una </w:t>
      </w:r>
      <w:r w:rsidR="004E3188">
        <w:rPr>
          <w:rFonts w:ascii="Cambria" w:eastAsiaTheme="minorEastAsia" w:hAnsi="Cambria" w:cs="Arial"/>
          <w:sz w:val="24"/>
          <w:szCs w:val="24"/>
        </w:rPr>
        <w:t>mejora relativa</w:t>
      </w:r>
      <w:r w:rsidR="00977191" w:rsidRPr="00431183">
        <w:rPr>
          <w:rFonts w:ascii="Cambria" w:eastAsiaTheme="minorEastAsia" w:hAnsi="Cambria" w:cs="Arial"/>
          <w:sz w:val="24"/>
          <w:szCs w:val="24"/>
        </w:rPr>
        <w:t xml:space="preserve"> </w:t>
      </w:r>
      <w:r w:rsidR="00251BA7" w:rsidRPr="00431183">
        <w:rPr>
          <w:rFonts w:ascii="Cambria" w:eastAsiaTheme="minorEastAsia" w:hAnsi="Cambria" w:cs="Arial"/>
          <w:sz w:val="24"/>
          <w:szCs w:val="24"/>
        </w:rPr>
        <w:t xml:space="preserve">por hectárea como se observa en el siguiente gráfico </w:t>
      </w:r>
    </w:p>
    <w:p w14:paraId="48882424" w14:textId="68C873BD" w:rsidR="000257F9" w:rsidRDefault="00251BA7" w:rsidP="00431183">
      <w:pPr>
        <w:pStyle w:val="Descripcin"/>
        <w:keepNext/>
        <w:jc w:val="both"/>
        <w:rPr>
          <w:rFonts w:ascii="Cambria" w:hAnsi="Cambria" w:cs="Arial"/>
          <w:b/>
          <w:i w:val="0"/>
          <w:color w:val="auto"/>
          <w:sz w:val="22"/>
          <w:szCs w:val="22"/>
        </w:rPr>
      </w:pPr>
      <w:bookmarkStart w:id="89" w:name="_Toc527574649"/>
      <w:r w:rsidRPr="00AF1E1D">
        <w:rPr>
          <w:rFonts w:ascii="Cambria" w:hAnsi="Cambria" w:cs="Arial"/>
          <w:b/>
          <w:i w:val="0"/>
          <w:color w:val="auto"/>
          <w:sz w:val="22"/>
          <w:szCs w:val="22"/>
        </w:rPr>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3</w:t>
      </w:r>
      <w:bookmarkEnd w:id="89"/>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6FC563DB" w14:textId="024FC012" w:rsidR="00251BA7" w:rsidRPr="00AF1E1D" w:rsidRDefault="00251BA7" w:rsidP="00431183">
      <w:pPr>
        <w:pStyle w:val="Descripcin"/>
        <w:keepNext/>
        <w:jc w:val="both"/>
        <w:rPr>
          <w:rFonts w:ascii="Cambria" w:hAnsi="Cambria" w:cs="Arial"/>
          <w:b/>
          <w:i w:val="0"/>
          <w:sz w:val="22"/>
          <w:szCs w:val="22"/>
        </w:rPr>
      </w:pPr>
      <w:r w:rsidRPr="00AF1E1D">
        <w:rPr>
          <w:rFonts w:ascii="Cambria" w:hAnsi="Cambria" w:cs="Arial"/>
          <w:b/>
          <w:i w:val="0"/>
          <w:color w:val="auto"/>
          <w:sz w:val="22"/>
          <w:szCs w:val="22"/>
        </w:rPr>
        <w:t>Productividad por hectárea Zona de los Santos.  Periodo: 2010-2016</w:t>
      </w:r>
    </w:p>
    <w:p w14:paraId="0294C2C5" w14:textId="77777777" w:rsidR="00251BA7" w:rsidRPr="00431183" w:rsidRDefault="00251BA7" w:rsidP="00AF1E1D">
      <w:pPr>
        <w:spacing w:line="240" w:lineRule="auto"/>
        <w:rPr>
          <w:rFonts w:ascii="Cambria" w:eastAsiaTheme="minorEastAsia" w:hAnsi="Cambria" w:cs="Arial"/>
          <w:sz w:val="24"/>
          <w:szCs w:val="24"/>
        </w:rPr>
      </w:pPr>
      <w:r w:rsidRPr="00431183">
        <w:rPr>
          <w:rFonts w:ascii="Cambria" w:hAnsi="Cambria"/>
          <w:noProof/>
          <w:sz w:val="24"/>
          <w:szCs w:val="24"/>
          <w:lang w:eastAsia="es-CR"/>
        </w:rPr>
        <w:drawing>
          <wp:inline distT="0" distB="0" distL="0" distR="0" wp14:anchorId="61929DFC" wp14:editId="5E2A4F16">
            <wp:extent cx="4572000" cy="2099733"/>
            <wp:effectExtent l="0" t="0" r="0" b="0"/>
            <wp:docPr id="5" name="Gráfico 5">
              <a:extLst xmlns:a="http://schemas.openxmlformats.org/drawingml/2006/main">
                <a:ext uri="{FF2B5EF4-FFF2-40B4-BE49-F238E27FC236}">
                  <a16:creationId xmlns:a16="http://schemas.microsoft.com/office/drawing/2014/main" id="{0F50DE3B-FCDB-40EB-800F-E125C1C236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000BCEF" w14:textId="1A7E54D7" w:rsidR="00251BA7" w:rsidRPr="00431183" w:rsidRDefault="00251BA7"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datos del Instituto de Café de Costa Rica</w:t>
      </w:r>
      <w:r w:rsidR="000257F9">
        <w:rPr>
          <w:rFonts w:ascii="Cambria" w:eastAsiaTheme="minorEastAsia" w:hAnsi="Cambria" w:cs="Arial"/>
          <w:sz w:val="18"/>
          <w:szCs w:val="18"/>
        </w:rPr>
        <w:t>, 2018</w:t>
      </w:r>
      <w:r w:rsidRPr="00431183">
        <w:rPr>
          <w:rFonts w:ascii="Cambria" w:eastAsiaTheme="minorEastAsia" w:hAnsi="Cambria" w:cs="Arial"/>
          <w:sz w:val="18"/>
          <w:szCs w:val="18"/>
        </w:rPr>
        <w:t xml:space="preserve"> </w:t>
      </w:r>
    </w:p>
    <w:p w14:paraId="575CED99" w14:textId="77777777" w:rsidR="00482335"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Según los datos del Censo cafetalero y sumado a las proyecciones sobre cambio en el uso del suelo, para la región de los Santos no se pronostica cambio significativo en la cantidad de hectáreas cultivadas, por ende, al realzar la medición de productividad se observa que esta ha mantenido una tendencia a la mejora si se compara el periodo de cosecha 2015-2016 con respecto al 2010-2011.  </w:t>
      </w:r>
    </w:p>
    <w:p w14:paraId="2313F015" w14:textId="77777777" w:rsidR="004E3188" w:rsidRDefault="004E3188"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El analizar sobre las razones de la productividad en los cafetales, se determina que existen las siguientes razones: </w:t>
      </w:r>
    </w:p>
    <w:p w14:paraId="4EEE25E0" w14:textId="6D0D1883" w:rsidR="004E3188" w:rsidRDefault="004E3188" w:rsidP="004E3188">
      <w:pPr>
        <w:pStyle w:val="Prrafodelista"/>
        <w:numPr>
          <w:ilvl w:val="0"/>
          <w:numId w:val="29"/>
        </w:numPr>
        <w:spacing w:line="240" w:lineRule="auto"/>
        <w:jc w:val="both"/>
        <w:rPr>
          <w:rFonts w:ascii="Cambria" w:eastAsiaTheme="minorEastAsia" w:hAnsi="Cambria" w:cs="Arial"/>
          <w:sz w:val="24"/>
          <w:szCs w:val="24"/>
        </w:rPr>
      </w:pPr>
      <w:r>
        <w:rPr>
          <w:rFonts w:ascii="Cambria" w:eastAsiaTheme="minorEastAsia" w:hAnsi="Cambria" w:cs="Arial"/>
          <w:sz w:val="24"/>
          <w:szCs w:val="24"/>
        </w:rPr>
        <w:t xml:space="preserve">Las organizaciones locales como las cooperativas mediante programas de </w:t>
      </w:r>
      <w:r w:rsidR="006910E2">
        <w:rPr>
          <w:rFonts w:ascii="Cambria" w:eastAsiaTheme="minorEastAsia" w:hAnsi="Cambria" w:cs="Arial"/>
          <w:sz w:val="24"/>
          <w:szCs w:val="24"/>
        </w:rPr>
        <w:t>préstamos</w:t>
      </w:r>
      <w:r>
        <w:rPr>
          <w:rFonts w:ascii="Cambria" w:eastAsiaTheme="minorEastAsia" w:hAnsi="Cambria" w:cs="Arial"/>
          <w:sz w:val="24"/>
          <w:szCs w:val="24"/>
        </w:rPr>
        <w:t xml:space="preserve"> como la figura de segundo piso, ofrecen financiamiento a los productores, estos pueden realizar actividades de cambio de variedades, prevención de enfermedades que tienen efectos en la producción final. </w:t>
      </w:r>
    </w:p>
    <w:p w14:paraId="212FF0D2" w14:textId="44FD6CD3" w:rsidR="004E3188" w:rsidRDefault="004E3188" w:rsidP="004E3188">
      <w:pPr>
        <w:pStyle w:val="Prrafodelista"/>
        <w:numPr>
          <w:ilvl w:val="0"/>
          <w:numId w:val="29"/>
        </w:numPr>
        <w:spacing w:line="240" w:lineRule="auto"/>
        <w:jc w:val="both"/>
        <w:rPr>
          <w:rFonts w:ascii="Cambria" w:eastAsiaTheme="minorEastAsia" w:hAnsi="Cambria" w:cs="Arial"/>
          <w:sz w:val="24"/>
          <w:szCs w:val="24"/>
        </w:rPr>
      </w:pPr>
      <w:r>
        <w:rPr>
          <w:rFonts w:ascii="Cambria" w:eastAsiaTheme="minorEastAsia" w:hAnsi="Cambria" w:cs="Arial"/>
          <w:sz w:val="24"/>
          <w:szCs w:val="24"/>
        </w:rPr>
        <w:t xml:space="preserve">El ICAFE mediante una serie de programas como el de renovación de cafetales ha generado efectos positivos en bajar el promedio de vejes de cafetales en dos años. </w:t>
      </w:r>
    </w:p>
    <w:p w14:paraId="4944C19B" w14:textId="72F5D60C" w:rsidR="00C63672" w:rsidRPr="004E3188" w:rsidRDefault="00C63672" w:rsidP="004E3188">
      <w:pPr>
        <w:pStyle w:val="Prrafodelista"/>
        <w:numPr>
          <w:ilvl w:val="0"/>
          <w:numId w:val="29"/>
        </w:numPr>
        <w:spacing w:line="240" w:lineRule="auto"/>
        <w:jc w:val="both"/>
        <w:rPr>
          <w:rFonts w:ascii="Cambria" w:eastAsiaTheme="minorEastAsia" w:hAnsi="Cambria" w:cs="Arial"/>
          <w:sz w:val="24"/>
          <w:szCs w:val="24"/>
        </w:rPr>
      </w:pPr>
      <w:r>
        <w:rPr>
          <w:rFonts w:ascii="Cambria" w:eastAsiaTheme="minorEastAsia" w:hAnsi="Cambria" w:cs="Arial"/>
          <w:sz w:val="24"/>
          <w:szCs w:val="24"/>
        </w:rPr>
        <w:t xml:space="preserve">Introducción de variedades de café resistentes a enfermedades, donde no se sacrifica la calidad de la producción local, además, diferentes formas de organización como lo son los Microbeneficios que al estar vinculados con otros mercados, necesitan mantener un flujo constante de producción para hacer frente a los requerimientos anuales. </w:t>
      </w:r>
    </w:p>
    <w:p w14:paraId="0FA9CEFE" w14:textId="04ED85F3" w:rsidR="00E2669B" w:rsidRPr="00431183" w:rsidRDefault="004E3188">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lastRenderedPageBreak/>
        <w:t>Los efectos anteriores se observan al analizar la producción a nivel cantonal, donde Tarraz</w:t>
      </w:r>
      <w:r w:rsidR="00430DC8">
        <w:rPr>
          <w:rFonts w:ascii="Cambria" w:eastAsiaTheme="minorEastAsia" w:hAnsi="Cambria" w:cs="Arial"/>
          <w:sz w:val="24"/>
          <w:szCs w:val="24"/>
        </w:rPr>
        <w:t>ú</w:t>
      </w:r>
      <w:r>
        <w:rPr>
          <w:rFonts w:ascii="Cambria" w:eastAsiaTheme="minorEastAsia" w:hAnsi="Cambria" w:cs="Arial"/>
          <w:sz w:val="24"/>
          <w:szCs w:val="24"/>
        </w:rPr>
        <w:t xml:space="preserve"> es el cantón con la mayor mejora en términos de productividad</w:t>
      </w:r>
      <w:r w:rsidR="00C63672">
        <w:rPr>
          <w:rFonts w:ascii="Cambria" w:eastAsiaTheme="minorEastAsia" w:hAnsi="Cambria" w:cs="Arial"/>
          <w:sz w:val="24"/>
          <w:szCs w:val="24"/>
        </w:rPr>
        <w:t xml:space="preserve">, seguido de León Cortes.   </w:t>
      </w:r>
      <w:r w:rsidR="00E2669B">
        <w:rPr>
          <w:rFonts w:ascii="Cambria" w:eastAsiaTheme="minorEastAsia" w:hAnsi="Cambria" w:cs="Arial"/>
          <w:sz w:val="24"/>
          <w:szCs w:val="24"/>
        </w:rPr>
        <w:t xml:space="preserve">Lo anterior se puede evidenciar en el siguiente gráfico </w:t>
      </w:r>
    </w:p>
    <w:p w14:paraId="729D5867" w14:textId="2738701B" w:rsidR="000257F9" w:rsidRDefault="00251BA7" w:rsidP="00431183">
      <w:pPr>
        <w:pStyle w:val="Descripcin"/>
        <w:keepNext/>
        <w:jc w:val="both"/>
        <w:rPr>
          <w:rFonts w:ascii="Cambria" w:hAnsi="Cambria" w:cs="Arial"/>
          <w:b/>
          <w:i w:val="0"/>
          <w:color w:val="auto"/>
          <w:sz w:val="22"/>
          <w:szCs w:val="22"/>
        </w:rPr>
      </w:pPr>
      <w:bookmarkStart w:id="90" w:name="_Toc527574650"/>
      <w:r w:rsidRPr="00AF1E1D">
        <w:rPr>
          <w:rFonts w:ascii="Cambria" w:hAnsi="Cambria" w:cs="Arial"/>
          <w:b/>
          <w:i w:val="0"/>
          <w:color w:val="auto"/>
          <w:sz w:val="22"/>
          <w:szCs w:val="22"/>
        </w:rPr>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4</w:t>
      </w:r>
      <w:bookmarkEnd w:id="90"/>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0076A870" w14:textId="1B5A4F35" w:rsidR="00251BA7" w:rsidRPr="00AF1E1D" w:rsidRDefault="00251BA7" w:rsidP="00431183">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Producción en fanegas según cantón perteneciente a la Región de los Santos.  Periodo: 2010 - 2016</w:t>
      </w:r>
    </w:p>
    <w:p w14:paraId="63289312" w14:textId="77777777" w:rsidR="00251BA7" w:rsidRPr="00431183" w:rsidRDefault="00251BA7" w:rsidP="00AF1E1D">
      <w:pPr>
        <w:spacing w:line="240" w:lineRule="auto"/>
        <w:rPr>
          <w:rFonts w:ascii="Cambria" w:eastAsiaTheme="minorEastAsia" w:hAnsi="Cambria" w:cs="Arial"/>
          <w:sz w:val="24"/>
          <w:szCs w:val="24"/>
        </w:rPr>
      </w:pPr>
      <w:r w:rsidRPr="00431183">
        <w:rPr>
          <w:rFonts w:ascii="Cambria" w:hAnsi="Cambria"/>
          <w:noProof/>
          <w:sz w:val="24"/>
          <w:szCs w:val="24"/>
          <w:lang w:eastAsia="es-CR"/>
        </w:rPr>
        <w:drawing>
          <wp:inline distT="0" distB="0" distL="0" distR="0" wp14:anchorId="7EB5DFE8" wp14:editId="3A4C6610">
            <wp:extent cx="5875020" cy="2743200"/>
            <wp:effectExtent l="0" t="0" r="0" b="0"/>
            <wp:docPr id="6" name="Gráfico 6">
              <a:extLst xmlns:a="http://schemas.openxmlformats.org/drawingml/2006/main">
                <a:ext uri="{FF2B5EF4-FFF2-40B4-BE49-F238E27FC236}">
                  <a16:creationId xmlns:a16="http://schemas.microsoft.com/office/drawing/2014/main" id="{188FB4E4-56E6-421A-B07E-ABB00A8ABB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69F1732" w14:textId="3B317175" w:rsidR="00251BA7" w:rsidRPr="00431183" w:rsidRDefault="00251BA7"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datos del Censo Cafetalero, Instituto del Café de Costa Rica</w:t>
      </w:r>
      <w:r w:rsidR="009C07E3">
        <w:rPr>
          <w:rFonts w:ascii="Cambria" w:eastAsiaTheme="minorEastAsia" w:hAnsi="Cambria" w:cs="Arial"/>
          <w:sz w:val="18"/>
          <w:szCs w:val="18"/>
        </w:rPr>
        <w:t>, 2018</w:t>
      </w:r>
    </w:p>
    <w:p w14:paraId="4049AF8F" w14:textId="413ED105" w:rsidR="00251BA7" w:rsidRPr="00431183"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Propiamente a nivel cantonal</w:t>
      </w:r>
      <w:r w:rsidR="00C63672">
        <w:rPr>
          <w:rFonts w:ascii="Cambria" w:eastAsiaTheme="minorEastAsia" w:hAnsi="Cambria" w:cs="Arial"/>
          <w:sz w:val="24"/>
          <w:szCs w:val="24"/>
        </w:rPr>
        <w:t xml:space="preserve">, es </w:t>
      </w:r>
      <w:r w:rsidRPr="00431183">
        <w:rPr>
          <w:rFonts w:ascii="Cambria" w:eastAsiaTheme="minorEastAsia" w:hAnsi="Cambria" w:cs="Arial"/>
          <w:sz w:val="24"/>
          <w:szCs w:val="24"/>
        </w:rPr>
        <w:t>Dota el que ha registrado el mejor promedio de crecimiento desde el periodo de cosecha 2010-2011 con una tasa promedio de 22% seguido de León Cortés que registra una tasa de crecimiento del 15%</w:t>
      </w:r>
      <w:r w:rsidR="00941BDD">
        <w:rPr>
          <w:rFonts w:ascii="Cambria" w:eastAsiaTheme="minorEastAsia" w:hAnsi="Cambria" w:cs="Arial"/>
          <w:sz w:val="24"/>
          <w:szCs w:val="24"/>
        </w:rPr>
        <w:t xml:space="preserve"> </w:t>
      </w:r>
      <w:r w:rsidRPr="00431183">
        <w:rPr>
          <w:rFonts w:ascii="Cambria" w:eastAsiaTheme="minorEastAsia" w:hAnsi="Cambria" w:cs="Arial"/>
          <w:sz w:val="24"/>
          <w:szCs w:val="24"/>
        </w:rPr>
        <w:t>y finalmente Tarraz</w:t>
      </w:r>
      <w:r w:rsidR="00C63672">
        <w:rPr>
          <w:rFonts w:ascii="Cambria" w:eastAsiaTheme="minorEastAsia" w:hAnsi="Cambria" w:cs="Arial"/>
          <w:sz w:val="24"/>
          <w:szCs w:val="24"/>
        </w:rPr>
        <w:t>ú</w:t>
      </w:r>
      <w:r w:rsidRPr="00431183">
        <w:rPr>
          <w:rFonts w:ascii="Cambria" w:eastAsiaTheme="minorEastAsia" w:hAnsi="Cambria" w:cs="Arial"/>
          <w:sz w:val="24"/>
          <w:szCs w:val="24"/>
        </w:rPr>
        <w:t xml:space="preserve"> con una tasa de crecimiento de 13% respectivamente. </w:t>
      </w:r>
    </w:p>
    <w:p w14:paraId="65E0C4FB" w14:textId="77777777" w:rsidR="00251BA7" w:rsidRPr="00431183"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Al compararlo con el total, al poseer Tarrazú la mayor cantidad de hectáreas dedicadas al cultivo de café la mejora productiva es más evidente</w:t>
      </w:r>
      <w:r w:rsidR="00941BDD">
        <w:rPr>
          <w:rFonts w:ascii="Cambria" w:eastAsiaTheme="minorEastAsia" w:hAnsi="Cambria" w:cs="Arial"/>
          <w:sz w:val="24"/>
          <w:szCs w:val="24"/>
        </w:rPr>
        <w:t xml:space="preserve"> en este cantón</w:t>
      </w:r>
      <w:r w:rsidRPr="00431183">
        <w:rPr>
          <w:rFonts w:ascii="Cambria" w:eastAsiaTheme="minorEastAsia" w:hAnsi="Cambria" w:cs="Arial"/>
          <w:sz w:val="24"/>
          <w:szCs w:val="24"/>
        </w:rPr>
        <w:t>, además, en el periodo de análisis, se determina que únicamente en el periodo de cosecha 2014-2015 se registra una disminución el total de fanegas o quintales producidos, la razón de lo anterior es por los impactos de plagas como lo fue la roya</w:t>
      </w:r>
      <w:r w:rsidR="00E2669B">
        <w:rPr>
          <w:rFonts w:ascii="Cambria" w:eastAsiaTheme="minorEastAsia" w:hAnsi="Cambria" w:cs="Arial"/>
          <w:sz w:val="24"/>
          <w:szCs w:val="24"/>
        </w:rPr>
        <w:t xml:space="preserve">, que fue mitigada por la puesta en marcha de programas estatales y otras fuentes de financiamiento que se dispusieron en la época. </w:t>
      </w:r>
      <w:r w:rsidRPr="00431183">
        <w:rPr>
          <w:rFonts w:ascii="Cambria" w:eastAsiaTheme="minorEastAsia" w:hAnsi="Cambria" w:cs="Arial"/>
          <w:sz w:val="24"/>
          <w:szCs w:val="24"/>
        </w:rPr>
        <w:t xml:space="preserve"> </w:t>
      </w:r>
    </w:p>
    <w:p w14:paraId="7AF1CEAF" w14:textId="77777777" w:rsidR="00482335" w:rsidRPr="00431183" w:rsidRDefault="00941BDD" w:rsidP="00431183">
      <w:pPr>
        <w:spacing w:line="240" w:lineRule="auto"/>
        <w:jc w:val="both"/>
        <w:rPr>
          <w:rFonts w:ascii="Cambria" w:eastAsiaTheme="minorEastAsia" w:hAnsi="Cambria" w:cs="Arial"/>
          <w:b/>
          <w:sz w:val="24"/>
          <w:szCs w:val="24"/>
        </w:rPr>
      </w:pPr>
      <w:r>
        <w:rPr>
          <w:rFonts w:ascii="Cambria" w:eastAsiaTheme="minorEastAsia" w:hAnsi="Cambria" w:cs="Arial"/>
          <w:b/>
          <w:sz w:val="24"/>
          <w:szCs w:val="24"/>
        </w:rPr>
        <w:t xml:space="preserve">4.1.2 </w:t>
      </w:r>
      <w:r w:rsidR="00251BA7" w:rsidRPr="00431183">
        <w:rPr>
          <w:rFonts w:ascii="Cambria" w:eastAsiaTheme="minorEastAsia" w:hAnsi="Cambria" w:cs="Arial"/>
          <w:b/>
          <w:sz w:val="24"/>
          <w:szCs w:val="24"/>
        </w:rPr>
        <w:t xml:space="preserve">Características Socioeconómicas </w:t>
      </w:r>
      <w:r>
        <w:rPr>
          <w:rFonts w:ascii="Cambria" w:eastAsiaTheme="minorEastAsia" w:hAnsi="Cambria" w:cs="Arial"/>
          <w:b/>
          <w:sz w:val="24"/>
          <w:szCs w:val="24"/>
        </w:rPr>
        <w:t>de los productores de café</w:t>
      </w:r>
    </w:p>
    <w:p w14:paraId="2993194B" w14:textId="23123DDF" w:rsidR="00482335" w:rsidRPr="00431183" w:rsidRDefault="00482335"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Para analizar la situación socioeconómica de los tres cantones, se </w:t>
      </w:r>
      <w:r w:rsidR="00941BDD" w:rsidRPr="00431183">
        <w:rPr>
          <w:rFonts w:ascii="Cambria" w:eastAsiaTheme="minorEastAsia" w:hAnsi="Cambria" w:cs="Arial"/>
          <w:sz w:val="24"/>
          <w:szCs w:val="24"/>
        </w:rPr>
        <w:t>utilizará</w:t>
      </w:r>
      <w:r w:rsidRPr="00431183">
        <w:rPr>
          <w:rFonts w:ascii="Cambria" w:eastAsiaTheme="minorEastAsia" w:hAnsi="Cambria" w:cs="Arial"/>
          <w:sz w:val="24"/>
          <w:szCs w:val="24"/>
        </w:rPr>
        <w:t xml:space="preserve"> una serie de indicadores como el Índice de competitividad Cantonal</w:t>
      </w:r>
      <w:r w:rsidR="00FE0DCB">
        <w:rPr>
          <w:rStyle w:val="Refdenotaalpie"/>
          <w:rFonts w:ascii="Cambria" w:eastAsiaTheme="minorEastAsia" w:hAnsi="Cambria" w:cs="Arial"/>
          <w:sz w:val="24"/>
          <w:szCs w:val="24"/>
        </w:rPr>
        <w:footnoteReference w:id="7"/>
      </w:r>
      <w:r w:rsidRPr="00431183">
        <w:rPr>
          <w:rFonts w:ascii="Cambria" w:eastAsiaTheme="minorEastAsia" w:hAnsi="Cambria" w:cs="Arial"/>
          <w:sz w:val="24"/>
          <w:szCs w:val="24"/>
        </w:rPr>
        <w:t xml:space="preserve">, el de Desarrollo </w:t>
      </w:r>
      <w:r w:rsidRPr="00431183">
        <w:rPr>
          <w:rFonts w:ascii="Cambria" w:eastAsiaTheme="minorEastAsia" w:hAnsi="Cambria" w:cs="Arial"/>
          <w:sz w:val="24"/>
          <w:szCs w:val="24"/>
        </w:rPr>
        <w:lastRenderedPageBreak/>
        <w:t>Social</w:t>
      </w:r>
      <w:r w:rsidR="00FE0DCB">
        <w:rPr>
          <w:rStyle w:val="Refdenotaalpie"/>
          <w:rFonts w:ascii="Cambria" w:eastAsiaTheme="minorEastAsia" w:hAnsi="Cambria" w:cs="Arial"/>
          <w:sz w:val="24"/>
          <w:szCs w:val="24"/>
        </w:rPr>
        <w:footnoteReference w:id="8"/>
      </w:r>
      <w:r w:rsidRPr="00431183">
        <w:rPr>
          <w:rFonts w:ascii="Cambria" w:eastAsiaTheme="minorEastAsia" w:hAnsi="Cambria" w:cs="Arial"/>
          <w:sz w:val="24"/>
          <w:szCs w:val="24"/>
        </w:rPr>
        <w:t xml:space="preserve"> entre otros</w:t>
      </w:r>
      <w:r w:rsidR="00941BDD">
        <w:rPr>
          <w:rFonts w:ascii="Cambria" w:eastAsiaTheme="minorEastAsia" w:hAnsi="Cambria" w:cs="Arial"/>
          <w:sz w:val="24"/>
          <w:szCs w:val="24"/>
        </w:rPr>
        <w:t xml:space="preserve"> para realizar una aproximación socioeconómico de los productores en los que están inmersos las actividades económicas.</w:t>
      </w:r>
    </w:p>
    <w:p w14:paraId="0B3E26B2" w14:textId="77777777" w:rsidR="00251BA7" w:rsidRPr="00431183" w:rsidRDefault="00764811"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E</w:t>
      </w:r>
      <w:r w:rsidR="00251BA7" w:rsidRPr="00431183">
        <w:rPr>
          <w:rFonts w:ascii="Cambria" w:eastAsiaTheme="minorEastAsia" w:hAnsi="Cambria" w:cs="Arial"/>
          <w:sz w:val="24"/>
          <w:szCs w:val="24"/>
        </w:rPr>
        <w:t xml:space="preserve">l índice de competitividad </w:t>
      </w:r>
      <w:r w:rsidR="000B46DE" w:rsidRPr="00431183">
        <w:rPr>
          <w:rFonts w:ascii="Cambria" w:eastAsiaTheme="minorEastAsia" w:hAnsi="Cambria" w:cs="Arial"/>
          <w:sz w:val="24"/>
          <w:szCs w:val="24"/>
        </w:rPr>
        <w:t>Cantonal se</w:t>
      </w:r>
      <w:r w:rsidR="00251BA7" w:rsidRPr="00431183">
        <w:rPr>
          <w:rFonts w:ascii="Cambria" w:eastAsiaTheme="minorEastAsia" w:hAnsi="Cambria" w:cs="Arial"/>
          <w:sz w:val="24"/>
          <w:szCs w:val="24"/>
        </w:rPr>
        <w:t xml:space="preserve"> construye mediante</w:t>
      </w:r>
      <w:r w:rsidR="00482335" w:rsidRPr="00431183">
        <w:rPr>
          <w:rFonts w:ascii="Cambria" w:eastAsiaTheme="minorEastAsia" w:hAnsi="Cambria" w:cs="Arial"/>
          <w:sz w:val="24"/>
          <w:szCs w:val="24"/>
        </w:rPr>
        <w:t xml:space="preserve"> los </w:t>
      </w:r>
      <w:r w:rsidR="00251BA7" w:rsidRPr="00431183">
        <w:rPr>
          <w:rFonts w:ascii="Cambria" w:eastAsiaTheme="minorEastAsia" w:hAnsi="Cambria" w:cs="Arial"/>
          <w:sz w:val="24"/>
          <w:szCs w:val="24"/>
        </w:rPr>
        <w:t>pilares</w:t>
      </w:r>
      <w:r w:rsidR="00482335" w:rsidRPr="00431183">
        <w:rPr>
          <w:rFonts w:ascii="Cambria" w:eastAsiaTheme="minorEastAsia" w:hAnsi="Cambria" w:cs="Arial"/>
          <w:sz w:val="24"/>
          <w:szCs w:val="24"/>
        </w:rPr>
        <w:t>: Económico</w:t>
      </w:r>
      <w:r w:rsidR="00251BA7" w:rsidRPr="00431183">
        <w:rPr>
          <w:rFonts w:ascii="Cambria" w:eastAsiaTheme="minorEastAsia" w:hAnsi="Cambria" w:cs="Arial"/>
          <w:sz w:val="24"/>
          <w:szCs w:val="24"/>
        </w:rPr>
        <w:t>,</w:t>
      </w:r>
      <w:r w:rsidR="00482335" w:rsidRPr="00431183">
        <w:rPr>
          <w:rFonts w:ascii="Cambria" w:eastAsiaTheme="minorEastAsia" w:hAnsi="Cambria" w:cs="Arial"/>
          <w:sz w:val="24"/>
          <w:szCs w:val="24"/>
        </w:rPr>
        <w:t xml:space="preserve"> Gobierno, Infraestructura, Clima Empresarial, Clima laboral, Capacidad de Innovación, Calidad de Vida</w:t>
      </w:r>
      <w:r w:rsidR="00251BA7" w:rsidRPr="00431183">
        <w:rPr>
          <w:rFonts w:ascii="Cambria" w:eastAsiaTheme="minorEastAsia" w:hAnsi="Cambria" w:cs="Arial"/>
          <w:sz w:val="24"/>
          <w:szCs w:val="24"/>
        </w:rPr>
        <w:t xml:space="preserve"> </w:t>
      </w:r>
      <w:r w:rsidRPr="00431183">
        <w:rPr>
          <w:rFonts w:ascii="Cambria" w:eastAsiaTheme="minorEastAsia" w:hAnsi="Cambria" w:cs="Arial"/>
          <w:sz w:val="24"/>
          <w:szCs w:val="24"/>
        </w:rPr>
        <w:t xml:space="preserve">para los 81 cantones del país, </w:t>
      </w:r>
      <w:r w:rsidR="00251BA7" w:rsidRPr="00431183">
        <w:rPr>
          <w:rFonts w:ascii="Cambria" w:eastAsiaTheme="minorEastAsia" w:hAnsi="Cambria" w:cs="Arial"/>
          <w:sz w:val="24"/>
          <w:szCs w:val="24"/>
        </w:rPr>
        <w:t xml:space="preserve">el siguiente gráfico muestra la distribución </w:t>
      </w:r>
      <w:r w:rsidRPr="00431183">
        <w:rPr>
          <w:rFonts w:ascii="Cambria" w:eastAsiaTheme="minorEastAsia" w:hAnsi="Cambria" w:cs="Arial"/>
          <w:sz w:val="24"/>
          <w:szCs w:val="24"/>
        </w:rPr>
        <w:t>de los cantones en estudio.</w:t>
      </w:r>
    </w:p>
    <w:p w14:paraId="0754C906" w14:textId="77777777" w:rsidR="009C07E3" w:rsidRPr="00AF1E1D" w:rsidRDefault="00251BA7" w:rsidP="00431183">
      <w:pPr>
        <w:pStyle w:val="Descripcin"/>
        <w:keepNext/>
        <w:jc w:val="both"/>
        <w:rPr>
          <w:rFonts w:ascii="Cambria" w:hAnsi="Cambria" w:cs="Arial"/>
          <w:b/>
          <w:i w:val="0"/>
          <w:color w:val="auto"/>
          <w:sz w:val="22"/>
          <w:szCs w:val="22"/>
        </w:rPr>
      </w:pPr>
      <w:bookmarkStart w:id="91" w:name="_Toc527574651"/>
      <w:r w:rsidRPr="00AF1E1D">
        <w:rPr>
          <w:rFonts w:ascii="Cambria" w:hAnsi="Cambria" w:cs="Arial"/>
          <w:b/>
          <w:i w:val="0"/>
          <w:color w:val="auto"/>
          <w:sz w:val="22"/>
          <w:szCs w:val="22"/>
        </w:rPr>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sidRPr="00AF1E1D">
        <w:rPr>
          <w:rFonts w:ascii="Cambria" w:hAnsi="Cambria" w:cs="Arial"/>
          <w:b/>
          <w:i w:val="0"/>
          <w:noProof/>
          <w:color w:val="auto"/>
          <w:sz w:val="22"/>
          <w:szCs w:val="22"/>
        </w:rPr>
        <w:t>5</w:t>
      </w:r>
      <w:bookmarkEnd w:id="91"/>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6A5F22F9" w14:textId="680AF48E" w:rsidR="00251BA7" w:rsidRPr="00AF1E1D" w:rsidRDefault="00251BA7" w:rsidP="00431183">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Índice de competitividad Cantonal para Dota, Tarrazú, León Cortés.  Periodo: 2011</w:t>
      </w:r>
    </w:p>
    <w:p w14:paraId="5ECDA005" w14:textId="77777777" w:rsidR="00251BA7" w:rsidRPr="00431183" w:rsidRDefault="00251BA7" w:rsidP="00AF1E1D">
      <w:pPr>
        <w:spacing w:line="240" w:lineRule="auto"/>
        <w:rPr>
          <w:rFonts w:ascii="Cambria" w:eastAsiaTheme="minorEastAsia" w:hAnsi="Cambria" w:cs="Arial"/>
          <w:sz w:val="24"/>
          <w:szCs w:val="24"/>
        </w:rPr>
      </w:pPr>
      <w:r w:rsidRPr="00431183">
        <w:rPr>
          <w:rFonts w:ascii="Cambria" w:hAnsi="Cambria"/>
          <w:noProof/>
          <w:sz w:val="24"/>
          <w:szCs w:val="24"/>
          <w:lang w:eastAsia="es-CR"/>
        </w:rPr>
        <w:drawing>
          <wp:inline distT="0" distB="0" distL="0" distR="0" wp14:anchorId="35AA75AD" wp14:editId="4A3C96BA">
            <wp:extent cx="5740400" cy="2142066"/>
            <wp:effectExtent l="0" t="0" r="0" b="0"/>
            <wp:docPr id="7" name="Gráfico 7">
              <a:extLst xmlns:a="http://schemas.openxmlformats.org/drawingml/2006/main">
                <a:ext uri="{FF2B5EF4-FFF2-40B4-BE49-F238E27FC236}">
                  <a16:creationId xmlns:a16="http://schemas.microsoft.com/office/drawing/2014/main" id="{4DE96EA4-4FF9-4BB2-816F-9987A8A2EF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180B96F" w14:textId="77777777" w:rsidR="00482335" w:rsidRPr="00431183" w:rsidRDefault="00251BA7"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datos del Observatorio de Desarrollo, Universidad de Costa Rica</w:t>
      </w:r>
      <w:r w:rsidR="00482335" w:rsidRPr="00431183">
        <w:rPr>
          <w:rFonts w:ascii="Cambria" w:eastAsiaTheme="minorEastAsia" w:hAnsi="Cambria" w:cs="Arial"/>
          <w:sz w:val="18"/>
          <w:szCs w:val="18"/>
        </w:rPr>
        <w:t xml:space="preserve"> publicación 2011</w:t>
      </w:r>
    </w:p>
    <w:p w14:paraId="36BDC6D9" w14:textId="59E0FAC6" w:rsidR="008E39BC" w:rsidRPr="00431183" w:rsidRDefault="00ED4DFA" w:rsidP="00AF1E1D">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Al utilizar estos índices, s</w:t>
      </w:r>
      <w:r w:rsidR="00251BA7" w:rsidRPr="00431183">
        <w:rPr>
          <w:rFonts w:ascii="Cambria" w:eastAsiaTheme="minorEastAsia" w:hAnsi="Cambria" w:cs="Arial"/>
          <w:sz w:val="24"/>
          <w:szCs w:val="24"/>
        </w:rPr>
        <w:t>e</w:t>
      </w:r>
      <w:r>
        <w:rPr>
          <w:rFonts w:ascii="Cambria" w:eastAsiaTheme="minorEastAsia" w:hAnsi="Cambria" w:cs="Arial"/>
          <w:sz w:val="24"/>
          <w:szCs w:val="24"/>
        </w:rPr>
        <w:t xml:space="preserve"> observa</w:t>
      </w:r>
      <w:r w:rsidR="00251BA7" w:rsidRPr="00431183">
        <w:rPr>
          <w:rFonts w:ascii="Cambria" w:eastAsiaTheme="minorEastAsia" w:hAnsi="Cambria" w:cs="Arial"/>
          <w:sz w:val="24"/>
          <w:szCs w:val="24"/>
        </w:rPr>
        <w:t xml:space="preserve"> que lo referente al clima empresarial, económico y la capacidad de Innovación </w:t>
      </w:r>
      <w:r w:rsidR="00764811" w:rsidRPr="00431183">
        <w:rPr>
          <w:rFonts w:ascii="Cambria" w:eastAsiaTheme="minorEastAsia" w:hAnsi="Cambria" w:cs="Arial"/>
          <w:sz w:val="24"/>
          <w:szCs w:val="24"/>
        </w:rPr>
        <w:t xml:space="preserve">son </w:t>
      </w:r>
      <w:r w:rsidR="00251BA7" w:rsidRPr="00431183">
        <w:rPr>
          <w:rFonts w:ascii="Cambria" w:eastAsiaTheme="minorEastAsia" w:hAnsi="Cambria" w:cs="Arial"/>
          <w:sz w:val="24"/>
          <w:szCs w:val="24"/>
        </w:rPr>
        <w:t xml:space="preserve">los pilares más débiles </w:t>
      </w:r>
      <w:r w:rsidR="00FE0DCB">
        <w:rPr>
          <w:rFonts w:ascii="Cambria" w:eastAsiaTheme="minorEastAsia" w:hAnsi="Cambria" w:cs="Arial"/>
          <w:sz w:val="24"/>
          <w:szCs w:val="24"/>
        </w:rPr>
        <w:t>en los cantones de Dota, Tarrazú y León Cortés</w:t>
      </w:r>
      <w:r w:rsidR="00251BA7" w:rsidRPr="00431183">
        <w:rPr>
          <w:rFonts w:ascii="Cambria" w:eastAsiaTheme="minorEastAsia" w:hAnsi="Cambria" w:cs="Arial"/>
          <w:sz w:val="24"/>
          <w:szCs w:val="24"/>
        </w:rPr>
        <w:t xml:space="preserve"> respecto a otros cantones. </w:t>
      </w:r>
      <w:r w:rsidR="00583A3B" w:rsidRPr="00431183">
        <w:rPr>
          <w:rFonts w:ascii="Cambria" w:eastAsiaTheme="minorEastAsia" w:hAnsi="Cambria" w:cs="Arial"/>
          <w:sz w:val="24"/>
          <w:szCs w:val="24"/>
        </w:rPr>
        <w:t>El resultado anterior</w:t>
      </w:r>
      <w:r w:rsidR="00764811" w:rsidRPr="00431183">
        <w:rPr>
          <w:rFonts w:ascii="Cambria" w:eastAsiaTheme="minorEastAsia" w:hAnsi="Cambria" w:cs="Arial"/>
          <w:sz w:val="24"/>
          <w:szCs w:val="24"/>
        </w:rPr>
        <w:t>,</w:t>
      </w:r>
      <w:r w:rsidR="00583A3B" w:rsidRPr="00431183">
        <w:rPr>
          <w:rFonts w:ascii="Cambria" w:eastAsiaTheme="minorEastAsia" w:hAnsi="Cambria" w:cs="Arial"/>
          <w:sz w:val="24"/>
          <w:szCs w:val="24"/>
        </w:rPr>
        <w:t xml:space="preserve"> se debe en especial a la dependencia a una actividad económica</w:t>
      </w:r>
      <w:r w:rsidR="00FE0DCB">
        <w:rPr>
          <w:rFonts w:ascii="Cambria" w:eastAsiaTheme="minorEastAsia" w:hAnsi="Cambria" w:cs="Arial"/>
          <w:sz w:val="24"/>
          <w:szCs w:val="24"/>
        </w:rPr>
        <w:t xml:space="preserve"> como lo es el cultivo de café, además, en términos estructurales la economía local en los tres cantones no se ha diversificado impulsando otras actividades económicas</w:t>
      </w:r>
      <w:r w:rsidR="008E39BC">
        <w:rPr>
          <w:rFonts w:ascii="Cambria" w:eastAsiaTheme="minorEastAsia" w:hAnsi="Cambria" w:cs="Arial"/>
          <w:sz w:val="24"/>
          <w:szCs w:val="24"/>
        </w:rPr>
        <w:t xml:space="preserve">.  El cual según datos del ICAFE y del Censo cafetalero del 2006 más del 50% del territorio es dedicado a la actividad cafetalera. </w:t>
      </w:r>
    </w:p>
    <w:p w14:paraId="1E7C1C1C" w14:textId="2701512D" w:rsidR="00251BA7" w:rsidRDefault="00583A3B" w:rsidP="00AF1E1D">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De la muestra seleccionada a la que se le aplico el instrumento de campo, en un 98% de los ingresos individuales dependen de la actividad cafetalera, y únicamente un 30% de los productores de la muestra seleccionada percibe ingresos de otras actividades económicas de característica agrícola</w:t>
      </w:r>
      <w:r w:rsidR="008E39BC">
        <w:rPr>
          <w:rFonts w:ascii="Cambria" w:eastAsiaTheme="minorEastAsia" w:hAnsi="Cambria" w:cs="Arial"/>
          <w:sz w:val="24"/>
          <w:szCs w:val="24"/>
        </w:rPr>
        <w:t xml:space="preserve">  como lo es la producción de aguacate</w:t>
      </w:r>
      <w:r w:rsidR="004D56E0">
        <w:rPr>
          <w:rFonts w:ascii="Cambria" w:eastAsiaTheme="minorEastAsia" w:hAnsi="Cambria" w:cs="Arial"/>
          <w:sz w:val="24"/>
          <w:szCs w:val="24"/>
        </w:rPr>
        <w:t xml:space="preserve">, además que la segunda actividad económica de la región es concentrada en distritos por lo que se perciben efectos dinamizadores de la economía local como si se observa con el cultivo de café. </w:t>
      </w:r>
    </w:p>
    <w:p w14:paraId="1A4F2B47" w14:textId="77777777" w:rsidR="00941BDD" w:rsidRDefault="00354F80"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Además,</w:t>
      </w:r>
      <w:r w:rsidR="00941BDD">
        <w:rPr>
          <w:rFonts w:ascii="Cambria" w:eastAsiaTheme="minorEastAsia" w:hAnsi="Cambria" w:cs="Arial"/>
          <w:sz w:val="24"/>
          <w:szCs w:val="24"/>
        </w:rPr>
        <w:t xml:space="preserve"> se encontró que estos únicamente realizan actividades de producción en finca</w:t>
      </w:r>
      <w:r>
        <w:rPr>
          <w:rFonts w:ascii="Cambria" w:eastAsiaTheme="minorEastAsia" w:hAnsi="Cambria" w:cs="Arial"/>
          <w:sz w:val="24"/>
          <w:szCs w:val="24"/>
        </w:rPr>
        <w:t xml:space="preserve"> y existe una dependencia sustancial a las fluctuaciones internacionales asociadas a la variaciones positivas o negativas de las cotizaciones en la bolsa de New </w:t>
      </w:r>
      <w:r>
        <w:rPr>
          <w:rFonts w:ascii="Cambria" w:eastAsiaTheme="minorEastAsia" w:hAnsi="Cambria" w:cs="Arial"/>
          <w:sz w:val="24"/>
          <w:szCs w:val="24"/>
        </w:rPr>
        <w:lastRenderedPageBreak/>
        <w:t xml:space="preserve">York, lo que genera un efecto negativo sobre la situación relativa a nivel individual de los productores. </w:t>
      </w:r>
    </w:p>
    <w:p w14:paraId="6A3BF2BF" w14:textId="6075812B" w:rsidR="00E2669B" w:rsidRDefault="00E2669B"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Lo anterior se debe a una dependencia con organizaciones locales como la Coopetarrazu R.L. que, aunque han mejorado sus mecanismos de negociación de la producción, variaciones negativas son transmitidas mediante un proceso de contagio</w:t>
      </w:r>
      <w:r w:rsidR="00806B12">
        <w:rPr>
          <w:rFonts w:ascii="Cambria" w:eastAsiaTheme="minorEastAsia" w:hAnsi="Cambria" w:cs="Arial"/>
          <w:sz w:val="24"/>
          <w:szCs w:val="24"/>
        </w:rPr>
        <w:t xml:space="preserve"> en la liquidación final, lo anterior, hace que a nivel individual por productor no puedan planificar de manera acertada su estructura de costo</w:t>
      </w:r>
      <w:r w:rsidR="004D56E0">
        <w:rPr>
          <w:rFonts w:ascii="Cambria" w:eastAsiaTheme="minorEastAsia" w:hAnsi="Cambria" w:cs="Arial"/>
          <w:sz w:val="24"/>
          <w:szCs w:val="24"/>
        </w:rPr>
        <w:t>s</w:t>
      </w:r>
      <w:r w:rsidR="00806B12">
        <w:rPr>
          <w:rFonts w:ascii="Cambria" w:eastAsiaTheme="minorEastAsia" w:hAnsi="Cambria" w:cs="Arial"/>
          <w:sz w:val="24"/>
          <w:szCs w:val="24"/>
        </w:rPr>
        <w:t xml:space="preserve"> dada a la inestabilidad de ingresos</w:t>
      </w:r>
      <w:r w:rsidR="00292F6B">
        <w:rPr>
          <w:rFonts w:ascii="Cambria" w:eastAsiaTheme="minorEastAsia" w:hAnsi="Cambria" w:cs="Arial"/>
          <w:sz w:val="24"/>
          <w:szCs w:val="24"/>
        </w:rPr>
        <w:t xml:space="preserve">. </w:t>
      </w:r>
    </w:p>
    <w:p w14:paraId="2EE9E463" w14:textId="77777777" w:rsidR="00292F6B" w:rsidRPr="00AF1E1D" w:rsidRDefault="00292F6B" w:rsidP="00AF1E1D">
      <w:pPr>
        <w:pStyle w:val="Descripcin"/>
        <w:keepNext/>
        <w:rPr>
          <w:rFonts w:ascii="Cambria" w:hAnsi="Cambria"/>
          <w:b/>
          <w:i w:val="0"/>
          <w:color w:val="auto"/>
          <w:sz w:val="22"/>
          <w:szCs w:val="22"/>
        </w:rPr>
      </w:pPr>
      <w:bookmarkStart w:id="92" w:name="_Toc527574652"/>
      <w:r w:rsidRPr="00AF1E1D">
        <w:rPr>
          <w:rFonts w:ascii="Cambria" w:hAnsi="Cambria"/>
          <w:b/>
          <w:i w:val="0"/>
          <w:color w:val="auto"/>
          <w:sz w:val="22"/>
          <w:szCs w:val="22"/>
        </w:rPr>
        <w:t xml:space="preserve">Gráfico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Gráfico \* ARABIC </w:instrText>
      </w:r>
      <w:r w:rsidRPr="00AF1E1D">
        <w:rPr>
          <w:rFonts w:ascii="Cambria" w:hAnsi="Cambria"/>
          <w:b/>
          <w:i w:val="0"/>
          <w:color w:val="auto"/>
          <w:sz w:val="22"/>
          <w:szCs w:val="22"/>
        </w:rPr>
        <w:fldChar w:fldCharType="separate"/>
      </w:r>
      <w:r w:rsidRPr="00AF1E1D">
        <w:rPr>
          <w:rFonts w:ascii="Cambria" w:hAnsi="Cambria"/>
          <w:b/>
          <w:i w:val="0"/>
          <w:noProof/>
          <w:color w:val="auto"/>
          <w:sz w:val="22"/>
          <w:szCs w:val="22"/>
        </w:rPr>
        <w:t>6</w:t>
      </w:r>
      <w:bookmarkEnd w:id="92"/>
      <w:r w:rsidRPr="00AF1E1D">
        <w:rPr>
          <w:rFonts w:ascii="Cambria" w:hAnsi="Cambria"/>
          <w:b/>
          <w:i w:val="0"/>
          <w:color w:val="auto"/>
          <w:sz w:val="22"/>
          <w:szCs w:val="22"/>
        </w:rPr>
        <w:fldChar w:fldCharType="end"/>
      </w:r>
    </w:p>
    <w:p w14:paraId="44A007F6" w14:textId="61902A9B" w:rsidR="00292F6B" w:rsidRPr="00AF1E1D" w:rsidRDefault="009C07E3" w:rsidP="00AF1E1D">
      <w:pPr>
        <w:pStyle w:val="Descripcin"/>
        <w:keepNext/>
        <w:rPr>
          <w:rFonts w:ascii="Cambria" w:hAnsi="Cambria"/>
          <w:b/>
          <w:i w:val="0"/>
          <w:color w:val="auto"/>
          <w:sz w:val="22"/>
          <w:szCs w:val="22"/>
        </w:rPr>
      </w:pPr>
      <w:r>
        <w:rPr>
          <w:noProof/>
        </w:rPr>
        <w:drawing>
          <wp:anchor distT="0" distB="0" distL="114300" distR="114300" simplePos="0" relativeHeight="251667456" behindDoc="0" locked="0" layoutInCell="1" allowOverlap="1" wp14:anchorId="7EE3DC69" wp14:editId="24792404">
            <wp:simplePos x="0" y="0"/>
            <wp:positionH relativeFrom="margin">
              <wp:align>right</wp:align>
            </wp:positionH>
            <wp:positionV relativeFrom="paragraph">
              <wp:posOffset>328930</wp:posOffset>
            </wp:positionV>
            <wp:extent cx="5604510" cy="2454910"/>
            <wp:effectExtent l="0" t="0" r="0" b="2540"/>
            <wp:wrapTopAndBottom/>
            <wp:docPr id="28" name="Gráfico 28">
              <a:extLst xmlns:a="http://schemas.openxmlformats.org/drawingml/2006/main">
                <a:ext uri="{FF2B5EF4-FFF2-40B4-BE49-F238E27FC236}">
                  <a16:creationId xmlns:a16="http://schemas.microsoft.com/office/drawing/2014/main" id="{CB5BAE88-1C68-41D5-8677-074ACED223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anchor>
        </w:drawing>
      </w:r>
      <w:r w:rsidR="00292F6B" w:rsidRPr="00AF1E1D">
        <w:rPr>
          <w:rFonts w:ascii="Cambria" w:hAnsi="Cambria"/>
          <w:b/>
          <w:i w:val="0"/>
          <w:color w:val="auto"/>
          <w:sz w:val="22"/>
          <w:szCs w:val="22"/>
        </w:rPr>
        <w:t>Comportamiento histórico de los precios negociados en la Bolsa de New York.  Periodo: Enero 1990-</w:t>
      </w:r>
      <w:r>
        <w:rPr>
          <w:rFonts w:ascii="Cambria" w:hAnsi="Cambria"/>
          <w:b/>
          <w:i w:val="0"/>
          <w:color w:val="auto"/>
          <w:sz w:val="22"/>
          <w:szCs w:val="22"/>
        </w:rPr>
        <w:t xml:space="preserve"> Abril </w:t>
      </w:r>
      <w:r w:rsidR="00292F6B" w:rsidRPr="00AF1E1D">
        <w:rPr>
          <w:rFonts w:ascii="Cambria" w:hAnsi="Cambria"/>
          <w:b/>
          <w:i w:val="0"/>
          <w:color w:val="auto"/>
          <w:sz w:val="22"/>
          <w:szCs w:val="22"/>
        </w:rPr>
        <w:t>2018</w:t>
      </w:r>
    </w:p>
    <w:p w14:paraId="065157F7" w14:textId="0035756A" w:rsidR="00292F6B" w:rsidRPr="00AF1E1D" w:rsidRDefault="00292F6B" w:rsidP="00AF1E1D">
      <w:pPr>
        <w:spacing w:line="240" w:lineRule="auto"/>
        <w:ind w:firstLine="708"/>
        <w:rPr>
          <w:rFonts w:ascii="Cambria" w:eastAsiaTheme="minorEastAsia" w:hAnsi="Cambria" w:cs="Arial"/>
          <w:sz w:val="18"/>
          <w:szCs w:val="18"/>
        </w:rPr>
      </w:pPr>
      <w:r w:rsidRPr="00AF1E1D">
        <w:rPr>
          <w:rFonts w:ascii="Cambria" w:eastAsiaTheme="minorEastAsia" w:hAnsi="Cambria" w:cs="Arial"/>
          <w:sz w:val="18"/>
          <w:szCs w:val="18"/>
        </w:rPr>
        <w:t>Fuente: Elaboración propia con datos del Instituto del Café de Costa Rica, 2018</w:t>
      </w:r>
    </w:p>
    <w:p w14:paraId="7642D253" w14:textId="77777777" w:rsidR="00292F6B" w:rsidRDefault="00E2669B"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Este proceso de contagio consiste en que la organización en muchos de los casos utiliza mecanismos como la banca de segundo piso para financiar actividades de productores, pero ante contextos de variabilidad negativa de los precios internacionales del café,</w:t>
      </w:r>
      <w:r w:rsidR="00292F6B">
        <w:rPr>
          <w:rFonts w:ascii="Cambria" w:eastAsiaTheme="minorEastAsia" w:hAnsi="Cambria" w:cs="Arial"/>
          <w:sz w:val="24"/>
          <w:szCs w:val="24"/>
        </w:rPr>
        <w:t xml:space="preserve"> (Ver gráfico 6)</w:t>
      </w:r>
      <w:r>
        <w:rPr>
          <w:rFonts w:ascii="Cambria" w:eastAsiaTheme="minorEastAsia" w:hAnsi="Cambria" w:cs="Arial"/>
          <w:sz w:val="24"/>
          <w:szCs w:val="24"/>
        </w:rPr>
        <w:t xml:space="preserve"> estos se ven limitados en sus actividades por falta de numerario para hacer frente a las responsabilidades productivas.  </w:t>
      </w:r>
      <w:r w:rsidR="00806B12">
        <w:rPr>
          <w:rFonts w:ascii="Cambria" w:eastAsiaTheme="minorEastAsia" w:hAnsi="Cambria" w:cs="Arial"/>
          <w:sz w:val="24"/>
          <w:szCs w:val="24"/>
        </w:rPr>
        <w:t xml:space="preserve"> </w:t>
      </w:r>
    </w:p>
    <w:p w14:paraId="18DC6CD2" w14:textId="08E28CDE" w:rsidR="00E2669B" w:rsidRPr="00431183" w:rsidRDefault="00806B12"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Por consiguiente, aunque con la Denominación de Oriente Tarrazú busca proteger una nombre que obtiene beneficios extraordinarios por parte de otros agentes económicos no locales, dentro de sus planteamientos paralelos esta romper con la dependencia internacional de los precios, planteando la necesidad de negociar en otros mercados de alta especialidad para los casos de productores que aplique. </w:t>
      </w:r>
    </w:p>
    <w:p w14:paraId="5B476930" w14:textId="0E9610EF" w:rsidR="00251BA7" w:rsidRPr="00431183" w:rsidRDefault="00ED4DFA" w:rsidP="00431183">
      <w:pPr>
        <w:spacing w:line="240" w:lineRule="auto"/>
        <w:jc w:val="both"/>
        <w:rPr>
          <w:rFonts w:ascii="Cambria" w:eastAsiaTheme="minorEastAsia" w:hAnsi="Cambria" w:cs="Arial"/>
          <w:sz w:val="24"/>
          <w:szCs w:val="24"/>
        </w:rPr>
      </w:pPr>
      <w:r>
        <w:rPr>
          <w:rFonts w:ascii="Cambria" w:eastAsiaTheme="minorEastAsia" w:hAnsi="Cambria" w:cs="Arial"/>
          <w:b/>
          <w:sz w:val="24"/>
          <w:szCs w:val="24"/>
        </w:rPr>
        <w:tab/>
      </w:r>
      <w:r w:rsidR="00E2669B">
        <w:rPr>
          <w:rFonts w:ascii="Cambria" w:eastAsiaTheme="minorEastAsia" w:hAnsi="Cambria" w:cs="Arial"/>
          <w:sz w:val="24"/>
          <w:szCs w:val="24"/>
        </w:rPr>
        <w:t>Además, la ser pequeños productores con una cantidad limitada de parcelas, ven limitadas sus capacidades para hacer frente a crisis sistémicas del sector,</w:t>
      </w:r>
      <w:r w:rsidR="007974DB">
        <w:rPr>
          <w:rFonts w:ascii="Cambria" w:eastAsiaTheme="minorEastAsia" w:hAnsi="Cambria" w:cs="Arial"/>
          <w:sz w:val="24"/>
          <w:szCs w:val="24"/>
        </w:rPr>
        <w:t xml:space="preserve"> por consiguiente, propiamente en la región de los Santos ha experimentado episodios de crisis como la registrada en los periodos 2001-2003. </w:t>
      </w:r>
      <w:r w:rsidR="00E2669B">
        <w:rPr>
          <w:rFonts w:ascii="Cambria" w:eastAsiaTheme="minorEastAsia" w:hAnsi="Cambria" w:cs="Arial"/>
          <w:sz w:val="24"/>
          <w:szCs w:val="24"/>
        </w:rPr>
        <w:t xml:space="preserve"> </w:t>
      </w:r>
      <w:r w:rsidR="007974DB">
        <w:rPr>
          <w:rFonts w:ascii="Cambria" w:eastAsiaTheme="minorEastAsia" w:hAnsi="Cambria" w:cs="Arial"/>
          <w:sz w:val="24"/>
          <w:szCs w:val="24"/>
        </w:rPr>
        <w:t>L</w:t>
      </w:r>
      <w:r w:rsidR="00E2669B">
        <w:rPr>
          <w:rFonts w:ascii="Cambria" w:eastAsiaTheme="minorEastAsia" w:hAnsi="Cambria" w:cs="Arial"/>
          <w:sz w:val="24"/>
          <w:szCs w:val="24"/>
        </w:rPr>
        <w:t xml:space="preserve">o anterior se evidencia en el gráfico </w:t>
      </w:r>
      <w:r w:rsidR="00292F6B">
        <w:rPr>
          <w:rFonts w:ascii="Cambria" w:eastAsiaTheme="minorEastAsia" w:hAnsi="Cambria" w:cs="Arial"/>
          <w:sz w:val="24"/>
          <w:szCs w:val="24"/>
        </w:rPr>
        <w:t>7</w:t>
      </w:r>
      <w:r w:rsidR="00026A34">
        <w:rPr>
          <w:rFonts w:ascii="Cambria" w:eastAsiaTheme="minorEastAsia" w:hAnsi="Cambria" w:cs="Arial"/>
          <w:sz w:val="24"/>
          <w:szCs w:val="24"/>
        </w:rPr>
        <w:t>.</w:t>
      </w:r>
    </w:p>
    <w:p w14:paraId="162EE26D" w14:textId="2E144C82" w:rsidR="007974DB" w:rsidRDefault="00251BA7" w:rsidP="00AF1E1D">
      <w:pPr>
        <w:pStyle w:val="Descripcin"/>
        <w:keepNext/>
        <w:jc w:val="both"/>
        <w:rPr>
          <w:rFonts w:ascii="Cambria" w:hAnsi="Cambria" w:cs="Arial"/>
          <w:b/>
          <w:i w:val="0"/>
          <w:color w:val="auto"/>
          <w:sz w:val="22"/>
          <w:szCs w:val="22"/>
        </w:rPr>
      </w:pPr>
      <w:bookmarkStart w:id="93" w:name="_Toc527574653"/>
      <w:r w:rsidRPr="00AF1E1D">
        <w:rPr>
          <w:rFonts w:ascii="Cambria" w:hAnsi="Cambria" w:cs="Arial"/>
          <w:b/>
          <w:i w:val="0"/>
          <w:color w:val="auto"/>
          <w:sz w:val="22"/>
          <w:szCs w:val="22"/>
        </w:rPr>
        <w:lastRenderedPageBreak/>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7</w:t>
      </w:r>
      <w:bookmarkEnd w:id="93"/>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5D9B396B" w14:textId="5BC7ED18" w:rsidR="00251BA7" w:rsidRPr="00AF1E1D" w:rsidRDefault="00251BA7" w:rsidP="00AF1E1D">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 xml:space="preserve">Total de parcelas por productor </w:t>
      </w:r>
      <w:r w:rsidR="007974DB">
        <w:rPr>
          <w:rFonts w:ascii="Cambria" w:hAnsi="Cambria" w:cs="Arial"/>
          <w:b/>
          <w:i w:val="0"/>
          <w:color w:val="auto"/>
          <w:sz w:val="22"/>
          <w:szCs w:val="22"/>
        </w:rPr>
        <w:t xml:space="preserve">según la muestra seleccionada de 380 productores </w:t>
      </w:r>
    </w:p>
    <w:p w14:paraId="26F695B0" w14:textId="77777777" w:rsidR="00251BA7" w:rsidRPr="00431183" w:rsidRDefault="00251BA7" w:rsidP="00AF1E1D">
      <w:pPr>
        <w:spacing w:line="240" w:lineRule="auto"/>
        <w:jc w:val="both"/>
        <w:rPr>
          <w:rFonts w:ascii="Cambria" w:eastAsiaTheme="minorEastAsia" w:hAnsi="Cambria" w:cs="Arial"/>
          <w:sz w:val="24"/>
          <w:szCs w:val="24"/>
        </w:rPr>
      </w:pPr>
      <w:r w:rsidRPr="00431183">
        <w:rPr>
          <w:rFonts w:ascii="Cambria" w:hAnsi="Cambria"/>
          <w:noProof/>
          <w:sz w:val="24"/>
          <w:szCs w:val="24"/>
          <w:lang w:eastAsia="es-CR"/>
        </w:rPr>
        <w:drawing>
          <wp:inline distT="0" distB="0" distL="0" distR="0" wp14:anchorId="7C5A04D4" wp14:editId="1327D19E">
            <wp:extent cx="5588000" cy="2200275"/>
            <wp:effectExtent l="0" t="0" r="0" b="0"/>
            <wp:docPr id="18" name="Gráfico 18">
              <a:extLst xmlns:a="http://schemas.openxmlformats.org/drawingml/2006/main">
                <a:ext uri="{FF2B5EF4-FFF2-40B4-BE49-F238E27FC236}">
                  <a16:creationId xmlns:a16="http://schemas.microsoft.com/office/drawing/2014/main" id="{3FD55C16-E573-46BF-B77E-B517280C8E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CD95648" w14:textId="5293E84D" w:rsidR="00251BA7" w:rsidRPr="00431183" w:rsidRDefault="00251BA7"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base a la información suministrada por los productores de café de la región de los Santos</w:t>
      </w:r>
      <w:r w:rsidR="007974DB">
        <w:rPr>
          <w:rFonts w:ascii="Cambria" w:eastAsiaTheme="minorEastAsia" w:hAnsi="Cambria" w:cs="Arial"/>
          <w:sz w:val="18"/>
          <w:szCs w:val="18"/>
        </w:rPr>
        <w:t>, 2018</w:t>
      </w:r>
    </w:p>
    <w:p w14:paraId="02FA750A" w14:textId="5EE57404" w:rsidR="007974DB"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Se observa que el 76,3% poseen 3 parcelas</w:t>
      </w:r>
      <w:r w:rsidR="007974DB">
        <w:rPr>
          <w:rFonts w:ascii="Cambria" w:eastAsiaTheme="minorEastAsia" w:hAnsi="Cambria" w:cs="Arial"/>
          <w:sz w:val="24"/>
          <w:szCs w:val="24"/>
        </w:rPr>
        <w:t xml:space="preserve"> de una extensión máxima de una hectárea por parcela,  </w:t>
      </w:r>
      <w:r w:rsidRPr="00431183">
        <w:rPr>
          <w:rFonts w:ascii="Cambria" w:eastAsiaTheme="minorEastAsia" w:hAnsi="Cambria" w:cs="Arial"/>
          <w:sz w:val="24"/>
          <w:szCs w:val="24"/>
        </w:rPr>
        <w:t xml:space="preserve"> frente a 8,2% que poseen 2 parcelas</w:t>
      </w:r>
      <w:r w:rsidR="007974DB">
        <w:rPr>
          <w:rFonts w:ascii="Cambria" w:eastAsiaTheme="minorEastAsia" w:hAnsi="Cambria" w:cs="Arial"/>
          <w:sz w:val="24"/>
          <w:szCs w:val="24"/>
        </w:rPr>
        <w:t xml:space="preserve"> con una extensión máxima de 1,5 hectáreas por parcela</w:t>
      </w:r>
      <w:r w:rsidRPr="00431183">
        <w:rPr>
          <w:rFonts w:ascii="Cambria" w:eastAsiaTheme="minorEastAsia" w:hAnsi="Cambria" w:cs="Arial"/>
          <w:sz w:val="24"/>
          <w:szCs w:val="24"/>
        </w:rPr>
        <w:t xml:space="preserve"> y finalmente con porcentajes menores se identificó que un 5,3%, 5,3% y un 5,0% poseen entre 1, 2, y 5 parcelas</w:t>
      </w:r>
      <w:r w:rsidR="007974DB">
        <w:rPr>
          <w:rFonts w:ascii="Cambria" w:eastAsiaTheme="minorEastAsia" w:hAnsi="Cambria" w:cs="Arial"/>
          <w:sz w:val="24"/>
          <w:szCs w:val="24"/>
        </w:rPr>
        <w:t xml:space="preserve"> con extensiones máximas por parcela de 2, 3, y 4 hectáreas respectivamente. </w:t>
      </w:r>
      <w:r w:rsidRPr="00431183">
        <w:rPr>
          <w:rFonts w:ascii="Cambria" w:eastAsiaTheme="minorEastAsia" w:hAnsi="Cambria" w:cs="Arial"/>
          <w:sz w:val="24"/>
          <w:szCs w:val="24"/>
        </w:rPr>
        <w:t xml:space="preserve"> </w:t>
      </w:r>
    </w:p>
    <w:p w14:paraId="18CFDDBA" w14:textId="29D246FF" w:rsidR="00251BA7" w:rsidRPr="00431183"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Referente a la extensión de las parcelas, el promedio de extensión es de 2,64 hectáreas</w:t>
      </w:r>
      <w:r w:rsidRPr="00431183">
        <w:rPr>
          <w:rStyle w:val="Refdenotaalpie"/>
          <w:rFonts w:ascii="Cambria" w:eastAsiaTheme="minorEastAsia" w:hAnsi="Cambria" w:cs="Arial"/>
          <w:sz w:val="24"/>
          <w:szCs w:val="24"/>
        </w:rPr>
        <w:footnoteReference w:id="9"/>
      </w:r>
      <w:r w:rsidRPr="00431183">
        <w:rPr>
          <w:rFonts w:ascii="Cambria" w:eastAsiaTheme="minorEastAsia" w:hAnsi="Cambria" w:cs="Arial"/>
          <w:sz w:val="24"/>
          <w:szCs w:val="24"/>
        </w:rPr>
        <w:t xml:space="preserve"> respectivamente. El siguiente histograma muestra la concentración de hectáreas por productor.</w:t>
      </w:r>
    </w:p>
    <w:p w14:paraId="435C9392" w14:textId="23A09E30" w:rsidR="007974DB" w:rsidRDefault="00251BA7" w:rsidP="00AF1E1D">
      <w:pPr>
        <w:pStyle w:val="Descripcin"/>
        <w:keepNext/>
        <w:rPr>
          <w:rFonts w:ascii="Cambria" w:hAnsi="Cambria" w:cs="Arial"/>
          <w:b/>
          <w:i w:val="0"/>
          <w:color w:val="auto"/>
          <w:sz w:val="22"/>
          <w:szCs w:val="22"/>
        </w:rPr>
      </w:pPr>
      <w:bookmarkStart w:id="94" w:name="_Toc527574654"/>
      <w:r w:rsidRPr="00AF1E1D">
        <w:rPr>
          <w:rFonts w:ascii="Cambria" w:hAnsi="Cambria" w:cs="Arial"/>
          <w:b/>
          <w:i w:val="0"/>
          <w:color w:val="auto"/>
          <w:sz w:val="22"/>
          <w:szCs w:val="22"/>
        </w:rPr>
        <w:lastRenderedPageBreak/>
        <w:t xml:space="preserve">Gráfico </w:t>
      </w:r>
      <w:r w:rsidR="005C7CB3" w:rsidRPr="00AF1E1D">
        <w:rPr>
          <w:rFonts w:ascii="Cambria" w:hAnsi="Cambria" w:cs="Arial"/>
          <w:b/>
          <w:i w:val="0"/>
          <w:color w:val="auto"/>
          <w:sz w:val="22"/>
          <w:szCs w:val="22"/>
        </w:rPr>
        <w:fldChar w:fldCharType="begin"/>
      </w:r>
      <w:r w:rsidR="00FB60D6"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8</w:t>
      </w:r>
      <w:bookmarkEnd w:id="94"/>
      <w:r w:rsidR="005C7CB3" w:rsidRPr="00AF1E1D">
        <w:rPr>
          <w:rFonts w:ascii="Cambria" w:hAnsi="Cambria" w:cs="Arial"/>
          <w:b/>
          <w:i w:val="0"/>
          <w:noProof/>
          <w:color w:val="auto"/>
          <w:sz w:val="22"/>
          <w:szCs w:val="22"/>
        </w:rPr>
        <w:fldChar w:fldCharType="end"/>
      </w:r>
      <w:r w:rsidRPr="00AF1E1D">
        <w:rPr>
          <w:rFonts w:ascii="Cambria" w:hAnsi="Cambria" w:cs="Arial"/>
          <w:b/>
          <w:i w:val="0"/>
          <w:color w:val="auto"/>
          <w:sz w:val="22"/>
          <w:szCs w:val="22"/>
        </w:rPr>
        <w:t xml:space="preserve"> </w:t>
      </w:r>
    </w:p>
    <w:p w14:paraId="7979ECAD" w14:textId="63E15E05" w:rsidR="00251BA7" w:rsidRPr="00AF1E1D" w:rsidRDefault="007974DB" w:rsidP="00AF1E1D">
      <w:pPr>
        <w:pStyle w:val="Descripcin"/>
        <w:keepNext/>
        <w:rPr>
          <w:rFonts w:ascii="Cambria" w:hAnsi="Cambria" w:cs="Arial"/>
          <w:b/>
          <w:i w:val="0"/>
          <w:color w:val="auto"/>
          <w:sz w:val="22"/>
          <w:szCs w:val="22"/>
        </w:rPr>
      </w:pPr>
      <w:r>
        <w:rPr>
          <w:rFonts w:ascii="Cambria" w:hAnsi="Cambria" w:cs="Arial"/>
          <w:b/>
          <w:i w:val="0"/>
          <w:color w:val="auto"/>
          <w:sz w:val="22"/>
          <w:szCs w:val="22"/>
        </w:rPr>
        <w:t>Distribución del t</w:t>
      </w:r>
      <w:r w:rsidR="00251BA7" w:rsidRPr="00AF1E1D">
        <w:rPr>
          <w:rFonts w:ascii="Cambria" w:hAnsi="Cambria" w:cs="Arial"/>
          <w:b/>
          <w:i w:val="0"/>
          <w:color w:val="auto"/>
          <w:sz w:val="22"/>
          <w:szCs w:val="22"/>
        </w:rPr>
        <w:t>amaño de las parcelas por productor</w:t>
      </w:r>
      <w:r>
        <w:rPr>
          <w:rFonts w:ascii="Cambria" w:hAnsi="Cambria" w:cs="Arial"/>
          <w:b/>
          <w:i w:val="0"/>
          <w:color w:val="auto"/>
          <w:sz w:val="22"/>
          <w:szCs w:val="22"/>
        </w:rPr>
        <w:t>, muestra 380 productores</w:t>
      </w:r>
      <w:r w:rsidR="00251BA7" w:rsidRPr="00AF1E1D">
        <w:rPr>
          <w:rFonts w:ascii="Cambria" w:hAnsi="Cambria" w:cs="Arial"/>
          <w:b/>
          <w:i w:val="0"/>
          <w:color w:val="auto"/>
          <w:sz w:val="22"/>
          <w:szCs w:val="22"/>
        </w:rPr>
        <w:t>.  Zona de los Santos</w:t>
      </w:r>
    </w:p>
    <w:p w14:paraId="338974DA" w14:textId="64C09AB8" w:rsidR="00251BA7" w:rsidRPr="00431183" w:rsidRDefault="00251BA7" w:rsidP="00431183">
      <w:pPr>
        <w:autoSpaceDE w:val="0"/>
        <w:autoSpaceDN w:val="0"/>
        <w:adjustRightInd w:val="0"/>
        <w:spacing w:after="0" w:line="240" w:lineRule="auto"/>
        <w:rPr>
          <w:rFonts w:ascii="Cambria" w:hAnsi="Cambria" w:cs="Times New Roman"/>
          <w:sz w:val="24"/>
          <w:szCs w:val="24"/>
        </w:rPr>
      </w:pPr>
      <w:r w:rsidRPr="00431183">
        <w:rPr>
          <w:rFonts w:ascii="Cambria" w:hAnsi="Cambria" w:cs="Times New Roman"/>
          <w:noProof/>
          <w:sz w:val="24"/>
          <w:szCs w:val="24"/>
          <w:lang w:eastAsia="es-CR"/>
        </w:rPr>
        <w:drawing>
          <wp:inline distT="0" distB="0" distL="0" distR="0" wp14:anchorId="2FBFB321" wp14:editId="7CE7356A">
            <wp:extent cx="5545667" cy="293751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19270" cy="2976497"/>
                    </a:xfrm>
                    <a:prstGeom prst="rect">
                      <a:avLst/>
                    </a:prstGeom>
                    <a:noFill/>
                    <a:ln>
                      <a:noFill/>
                    </a:ln>
                  </pic:spPr>
                </pic:pic>
              </a:graphicData>
            </a:graphic>
          </wp:inline>
        </w:drawing>
      </w:r>
    </w:p>
    <w:p w14:paraId="3B548C6A" w14:textId="6265897E" w:rsidR="00251BA7" w:rsidRPr="00431183" w:rsidRDefault="00251BA7"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24"/>
          <w:szCs w:val="24"/>
        </w:rPr>
        <w:t xml:space="preserve"> </w:t>
      </w:r>
      <w:r w:rsidRPr="00431183">
        <w:rPr>
          <w:rFonts w:ascii="Cambria" w:eastAsiaTheme="minorEastAsia" w:hAnsi="Cambria" w:cs="Arial"/>
          <w:sz w:val="18"/>
          <w:szCs w:val="18"/>
        </w:rPr>
        <w:t>Fuente: Elaboración propia con base a la información suministrada por los productores de café de la región de los Santos</w:t>
      </w:r>
      <w:r w:rsidR="007974DB">
        <w:rPr>
          <w:rFonts w:ascii="Cambria" w:eastAsiaTheme="minorEastAsia" w:hAnsi="Cambria" w:cs="Arial"/>
          <w:sz w:val="18"/>
          <w:szCs w:val="18"/>
        </w:rPr>
        <w:t>, 2018</w:t>
      </w:r>
    </w:p>
    <w:p w14:paraId="359B8158" w14:textId="4BFC65E0" w:rsidR="00251BA7" w:rsidRPr="00431183"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Comparado la cantidad de parcelas que tiene los productores, y utilizando la escala definida por el Instituto del café de Costa Rica, se determina que los productores de la muestra seleccionada son pequeños</w:t>
      </w:r>
      <w:r w:rsidR="00583A3B" w:rsidRPr="00431183">
        <w:rPr>
          <w:rFonts w:ascii="Cambria" w:eastAsiaTheme="minorEastAsia" w:hAnsi="Cambria" w:cs="Arial"/>
          <w:sz w:val="24"/>
          <w:szCs w:val="24"/>
        </w:rPr>
        <w:t xml:space="preserve"> productores</w:t>
      </w:r>
      <w:r w:rsidRPr="00431183">
        <w:rPr>
          <w:rFonts w:ascii="Cambria" w:eastAsiaTheme="minorEastAsia" w:hAnsi="Cambria" w:cs="Arial"/>
          <w:sz w:val="24"/>
          <w:szCs w:val="24"/>
        </w:rPr>
        <w:t>, con algunos casos extremos que no representan más del 10% de la muestra analizada</w:t>
      </w:r>
      <w:r w:rsidR="00354F80">
        <w:rPr>
          <w:rFonts w:ascii="Cambria" w:eastAsiaTheme="minorEastAsia" w:hAnsi="Cambria" w:cs="Arial"/>
          <w:sz w:val="24"/>
          <w:szCs w:val="24"/>
        </w:rPr>
        <w:t>,</w:t>
      </w:r>
      <w:r w:rsidR="00583A3B" w:rsidRPr="00431183">
        <w:rPr>
          <w:rFonts w:ascii="Cambria" w:eastAsiaTheme="minorEastAsia" w:hAnsi="Cambria" w:cs="Arial"/>
          <w:sz w:val="24"/>
          <w:szCs w:val="24"/>
        </w:rPr>
        <w:t xml:space="preserve"> con una producción mayor a los 300 quintales o fanegas respectivamente. </w:t>
      </w:r>
      <w:r w:rsidRPr="00431183">
        <w:rPr>
          <w:rFonts w:ascii="Cambria" w:eastAsiaTheme="minorEastAsia" w:hAnsi="Cambria" w:cs="Arial"/>
          <w:sz w:val="24"/>
          <w:szCs w:val="24"/>
        </w:rPr>
        <w:t xml:space="preserve"> </w:t>
      </w:r>
    </w:p>
    <w:p w14:paraId="29BDE7B5" w14:textId="77777777" w:rsidR="00251BA7" w:rsidRPr="00431183"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En cuanto al tiempo aproximado que cada productor posee actualmente de dedicarse la actividad, se obtiene un promedio de 31,97 años respectivamente tal como se observa en el histograma del siguiente gráfico: </w:t>
      </w:r>
    </w:p>
    <w:p w14:paraId="1DA3722C" w14:textId="2CDD24D5" w:rsidR="007974DB" w:rsidRDefault="00251BA7" w:rsidP="00AF1E1D">
      <w:pPr>
        <w:pStyle w:val="Descripcin"/>
        <w:keepNext/>
        <w:jc w:val="both"/>
        <w:rPr>
          <w:rFonts w:ascii="Cambria" w:hAnsi="Cambria" w:cs="Arial"/>
          <w:b/>
          <w:i w:val="0"/>
          <w:color w:val="auto"/>
          <w:sz w:val="22"/>
          <w:szCs w:val="22"/>
        </w:rPr>
      </w:pPr>
      <w:bookmarkStart w:id="95" w:name="_Toc527574655"/>
      <w:r w:rsidRPr="00AF1E1D">
        <w:rPr>
          <w:rFonts w:ascii="Cambria" w:hAnsi="Cambria" w:cs="Arial"/>
          <w:b/>
          <w:i w:val="0"/>
          <w:color w:val="auto"/>
          <w:sz w:val="22"/>
          <w:szCs w:val="22"/>
        </w:rPr>
        <w:lastRenderedPageBreak/>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9</w:t>
      </w:r>
      <w:bookmarkEnd w:id="95"/>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1B653827" w14:textId="7BD3381B" w:rsidR="00251BA7" w:rsidRPr="00431183" w:rsidRDefault="00251BA7" w:rsidP="00AF1E1D">
      <w:pPr>
        <w:pStyle w:val="Descripcin"/>
        <w:keepNext/>
        <w:jc w:val="both"/>
      </w:pPr>
      <w:r w:rsidRPr="00AF1E1D">
        <w:rPr>
          <w:rFonts w:ascii="Cambria" w:hAnsi="Cambria" w:cs="Arial"/>
          <w:b/>
          <w:i w:val="0"/>
          <w:color w:val="auto"/>
          <w:sz w:val="22"/>
          <w:szCs w:val="22"/>
        </w:rPr>
        <w:t xml:space="preserve">Histograma de </w:t>
      </w:r>
      <w:r w:rsidR="00B771EE">
        <w:rPr>
          <w:rFonts w:ascii="Cambria" w:hAnsi="Cambria" w:cs="Arial"/>
          <w:b/>
          <w:i w:val="0"/>
          <w:color w:val="auto"/>
          <w:sz w:val="22"/>
          <w:szCs w:val="22"/>
        </w:rPr>
        <w:t>tiempo dedicado a</w:t>
      </w:r>
      <w:r w:rsidRPr="00AF1E1D">
        <w:rPr>
          <w:rFonts w:ascii="Cambria" w:hAnsi="Cambria" w:cs="Arial"/>
          <w:b/>
          <w:i w:val="0"/>
          <w:color w:val="auto"/>
          <w:sz w:val="22"/>
          <w:szCs w:val="22"/>
        </w:rPr>
        <w:t xml:space="preserve"> la actividad del cultivo de café</w:t>
      </w:r>
      <w:r w:rsidR="00B771EE">
        <w:rPr>
          <w:rFonts w:ascii="Cambria" w:hAnsi="Cambria" w:cs="Arial"/>
          <w:b/>
          <w:i w:val="0"/>
          <w:color w:val="auto"/>
          <w:sz w:val="22"/>
          <w:szCs w:val="22"/>
        </w:rPr>
        <w:t>, muestra 380 productores</w:t>
      </w:r>
      <w:r w:rsidR="00B771EE" w:rsidRPr="00431183">
        <w:rPr>
          <w:rFonts w:ascii="Cambria" w:hAnsi="Cambria" w:cs="Times New Roman"/>
          <w:noProof/>
          <w:sz w:val="24"/>
          <w:szCs w:val="24"/>
          <w:lang w:eastAsia="es-CR"/>
        </w:rPr>
        <w:drawing>
          <wp:inline distT="0" distB="0" distL="0" distR="0" wp14:anchorId="7EB46A79" wp14:editId="5406F49E">
            <wp:extent cx="5647055" cy="2379134"/>
            <wp:effectExtent l="0" t="0" r="0" b="254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82333" cy="2393997"/>
                    </a:xfrm>
                    <a:prstGeom prst="rect">
                      <a:avLst/>
                    </a:prstGeom>
                    <a:noFill/>
                    <a:ln>
                      <a:noFill/>
                    </a:ln>
                  </pic:spPr>
                </pic:pic>
              </a:graphicData>
            </a:graphic>
          </wp:inline>
        </w:drawing>
      </w:r>
    </w:p>
    <w:p w14:paraId="1527FEFF" w14:textId="6CF45548" w:rsidR="00251BA7" w:rsidRPr="00431183" w:rsidRDefault="00251BA7" w:rsidP="00431183">
      <w:pPr>
        <w:spacing w:line="240" w:lineRule="auto"/>
        <w:jc w:val="both"/>
        <w:rPr>
          <w:rFonts w:ascii="Cambria" w:hAnsi="Cambria" w:cs="Times New Roman"/>
          <w:sz w:val="18"/>
          <w:szCs w:val="18"/>
        </w:rPr>
      </w:pPr>
      <w:r w:rsidRPr="00431183">
        <w:rPr>
          <w:rFonts w:ascii="Cambria" w:eastAsiaTheme="minorEastAsia" w:hAnsi="Cambria" w:cs="Arial"/>
          <w:sz w:val="18"/>
          <w:szCs w:val="18"/>
        </w:rPr>
        <w:t>Fuente:</w:t>
      </w:r>
      <w:r w:rsidRPr="00431183">
        <w:rPr>
          <w:rFonts w:ascii="Cambria" w:hAnsi="Cambria" w:cs="Times New Roman"/>
          <w:sz w:val="18"/>
          <w:szCs w:val="18"/>
        </w:rPr>
        <w:t xml:space="preserve"> </w:t>
      </w:r>
      <w:r w:rsidRPr="00431183">
        <w:rPr>
          <w:rFonts w:ascii="Cambria" w:eastAsiaTheme="minorEastAsia" w:hAnsi="Cambria" w:cs="Arial"/>
          <w:sz w:val="18"/>
          <w:szCs w:val="18"/>
        </w:rPr>
        <w:t>Elaboración propia con base a la información suministrada por los productores de café de la región de los Santos</w:t>
      </w:r>
      <w:r w:rsidR="007974DB">
        <w:rPr>
          <w:rFonts w:ascii="Cambria" w:eastAsiaTheme="minorEastAsia" w:hAnsi="Cambria" w:cs="Arial"/>
          <w:sz w:val="18"/>
          <w:szCs w:val="18"/>
        </w:rPr>
        <w:t>, 2018</w:t>
      </w:r>
    </w:p>
    <w:p w14:paraId="3A6E3369" w14:textId="77777777" w:rsidR="00251BA7" w:rsidRPr="00431183" w:rsidRDefault="00251BA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Del histograma anterior, se </w:t>
      </w:r>
      <w:r w:rsidR="00583A3B" w:rsidRPr="00431183">
        <w:rPr>
          <w:rFonts w:ascii="Cambria" w:eastAsiaTheme="minorEastAsia" w:hAnsi="Cambria" w:cs="Arial"/>
          <w:sz w:val="24"/>
          <w:szCs w:val="24"/>
        </w:rPr>
        <w:t>observa</w:t>
      </w:r>
      <w:r w:rsidRPr="00431183">
        <w:rPr>
          <w:rFonts w:ascii="Cambria" w:eastAsiaTheme="minorEastAsia" w:hAnsi="Cambria" w:cs="Arial"/>
          <w:sz w:val="24"/>
          <w:szCs w:val="24"/>
        </w:rPr>
        <w:t xml:space="preserve"> que existe una concentración de importancia en la cantidad de años de los productores en especial después de los 20 años, es decir, no se observa un cambio generacional de importancia lo que a mediano plazo podría afectar la sostenibilidad de la actividad, en especial al compararlo con la edad del productor que ronda en un promedio de 53 </w:t>
      </w:r>
      <w:r w:rsidR="00354F80" w:rsidRPr="00431183">
        <w:rPr>
          <w:rFonts w:ascii="Cambria" w:eastAsiaTheme="minorEastAsia" w:hAnsi="Cambria" w:cs="Arial"/>
          <w:sz w:val="24"/>
          <w:szCs w:val="24"/>
        </w:rPr>
        <w:t>años</w:t>
      </w:r>
      <w:r w:rsidRPr="00431183">
        <w:rPr>
          <w:rFonts w:ascii="Cambria" w:eastAsiaTheme="minorEastAsia" w:hAnsi="Cambria" w:cs="Arial"/>
          <w:sz w:val="24"/>
          <w:szCs w:val="24"/>
        </w:rPr>
        <w:t xml:space="preserve"> respectivamente.  </w:t>
      </w:r>
    </w:p>
    <w:p w14:paraId="30B71485" w14:textId="77777777" w:rsidR="00251BA7" w:rsidRPr="00431183" w:rsidRDefault="00ED4DFA" w:rsidP="00431183">
      <w:pPr>
        <w:spacing w:line="240" w:lineRule="auto"/>
        <w:ind w:firstLine="708"/>
        <w:jc w:val="both"/>
        <w:rPr>
          <w:rFonts w:ascii="Cambria" w:hAnsi="Cambria" w:cs="Times New Roman"/>
          <w:sz w:val="24"/>
          <w:szCs w:val="24"/>
        </w:rPr>
      </w:pPr>
      <w:r>
        <w:rPr>
          <w:rFonts w:ascii="Cambria" w:eastAsiaTheme="minorEastAsia" w:hAnsi="Cambria" w:cs="Arial"/>
          <w:sz w:val="24"/>
          <w:szCs w:val="24"/>
        </w:rPr>
        <w:t>E</w:t>
      </w:r>
      <w:r w:rsidR="00251BA7" w:rsidRPr="00431183">
        <w:rPr>
          <w:rFonts w:ascii="Cambria" w:eastAsiaTheme="minorEastAsia" w:hAnsi="Cambria" w:cs="Arial"/>
          <w:sz w:val="24"/>
          <w:szCs w:val="24"/>
        </w:rPr>
        <w:t>l total de productores, se analizó si estos forman parte de alguna cooperativa o no</w:t>
      </w:r>
      <w:r w:rsidR="00354F80">
        <w:rPr>
          <w:rFonts w:ascii="Cambria" w:eastAsiaTheme="minorEastAsia" w:hAnsi="Cambria" w:cs="Arial"/>
          <w:sz w:val="24"/>
          <w:szCs w:val="24"/>
        </w:rPr>
        <w:t xml:space="preserve"> con el objeto de analizar las formas de organización presentes en los cantones, </w:t>
      </w:r>
      <w:r w:rsidR="00251BA7" w:rsidRPr="00431183">
        <w:rPr>
          <w:rFonts w:ascii="Cambria" w:eastAsiaTheme="minorEastAsia" w:hAnsi="Cambria" w:cs="Arial"/>
          <w:sz w:val="24"/>
          <w:szCs w:val="24"/>
        </w:rPr>
        <w:t>donde el gráfico 6 present</w:t>
      </w:r>
      <w:r w:rsidR="00354F80">
        <w:rPr>
          <w:rFonts w:ascii="Cambria" w:eastAsiaTheme="minorEastAsia" w:hAnsi="Cambria" w:cs="Arial"/>
          <w:sz w:val="24"/>
          <w:szCs w:val="24"/>
        </w:rPr>
        <w:t>a</w:t>
      </w:r>
      <w:r w:rsidR="00251BA7" w:rsidRPr="00431183">
        <w:rPr>
          <w:rFonts w:ascii="Cambria" w:eastAsiaTheme="minorEastAsia" w:hAnsi="Cambria" w:cs="Arial"/>
          <w:sz w:val="24"/>
          <w:szCs w:val="24"/>
        </w:rPr>
        <w:t xml:space="preserve"> los </w:t>
      </w:r>
      <w:r w:rsidR="00354F80">
        <w:rPr>
          <w:rFonts w:ascii="Cambria" w:eastAsiaTheme="minorEastAsia" w:hAnsi="Cambria" w:cs="Arial"/>
          <w:sz w:val="24"/>
          <w:szCs w:val="24"/>
        </w:rPr>
        <w:t xml:space="preserve">principales </w:t>
      </w:r>
      <w:r w:rsidR="00251BA7" w:rsidRPr="00431183">
        <w:rPr>
          <w:rFonts w:ascii="Cambria" w:eastAsiaTheme="minorEastAsia" w:hAnsi="Cambria" w:cs="Arial"/>
          <w:sz w:val="24"/>
          <w:szCs w:val="24"/>
        </w:rPr>
        <w:t xml:space="preserve">hallazgos. </w:t>
      </w:r>
    </w:p>
    <w:p w14:paraId="2D107AAA" w14:textId="711C6608" w:rsidR="00B771EE" w:rsidRDefault="00251BA7" w:rsidP="00431183">
      <w:pPr>
        <w:pStyle w:val="Descripcin"/>
        <w:keepNext/>
        <w:jc w:val="both"/>
        <w:rPr>
          <w:rFonts w:ascii="Cambria" w:hAnsi="Cambria" w:cs="Arial"/>
          <w:b/>
          <w:i w:val="0"/>
          <w:color w:val="auto"/>
          <w:sz w:val="22"/>
          <w:szCs w:val="22"/>
        </w:rPr>
      </w:pPr>
      <w:bookmarkStart w:id="96" w:name="_Toc527574656"/>
      <w:r w:rsidRPr="00AF1E1D">
        <w:rPr>
          <w:rFonts w:ascii="Cambria" w:hAnsi="Cambria" w:cs="Arial"/>
          <w:b/>
          <w:i w:val="0"/>
          <w:color w:val="auto"/>
          <w:sz w:val="22"/>
          <w:szCs w:val="22"/>
        </w:rPr>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10</w:t>
      </w:r>
      <w:bookmarkEnd w:id="96"/>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7A9AEFD4" w14:textId="57748B4A" w:rsidR="00251BA7" w:rsidRPr="00AF1E1D" w:rsidRDefault="00251BA7" w:rsidP="00431183">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Organización de los productores de la Región de los Santos.</w:t>
      </w:r>
      <w:r w:rsidR="001D38D7">
        <w:rPr>
          <w:rFonts w:ascii="Cambria" w:hAnsi="Cambria" w:cs="Arial"/>
          <w:b/>
          <w:i w:val="0"/>
          <w:color w:val="auto"/>
          <w:sz w:val="22"/>
          <w:szCs w:val="22"/>
        </w:rPr>
        <w:t xml:space="preserve"> Muestra: 380 productores</w:t>
      </w:r>
    </w:p>
    <w:p w14:paraId="24EF9D17" w14:textId="77777777" w:rsidR="00251BA7" w:rsidRPr="00431183" w:rsidRDefault="00251BA7" w:rsidP="00AF1E1D">
      <w:pPr>
        <w:spacing w:line="240" w:lineRule="auto"/>
        <w:rPr>
          <w:rFonts w:ascii="Cambria" w:eastAsiaTheme="minorEastAsia" w:hAnsi="Cambria" w:cs="Arial"/>
          <w:sz w:val="24"/>
          <w:szCs w:val="24"/>
        </w:rPr>
      </w:pPr>
      <w:r w:rsidRPr="00431183">
        <w:rPr>
          <w:rFonts w:ascii="Cambria" w:hAnsi="Cambria"/>
          <w:noProof/>
          <w:sz w:val="24"/>
          <w:szCs w:val="24"/>
          <w:lang w:eastAsia="es-CR"/>
        </w:rPr>
        <w:drawing>
          <wp:inline distT="0" distB="0" distL="0" distR="0" wp14:anchorId="3090FA7F" wp14:editId="681B318D">
            <wp:extent cx="5664200" cy="2159000"/>
            <wp:effectExtent l="0" t="0" r="0" b="0"/>
            <wp:docPr id="17" name="Gráfico 17">
              <a:extLst xmlns:a="http://schemas.openxmlformats.org/drawingml/2006/main">
                <a:ext uri="{FF2B5EF4-FFF2-40B4-BE49-F238E27FC236}">
                  <a16:creationId xmlns:a16="http://schemas.microsoft.com/office/drawing/2014/main" id="{DCDF1B63-4957-40D4-92AB-8F422F9C17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76A459D" w14:textId="441E508F" w:rsidR="00251BA7" w:rsidRPr="00431183" w:rsidRDefault="00251BA7"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base a la información suministrada por los productores de café de la región de los Santos</w:t>
      </w:r>
      <w:r w:rsidR="00B771EE">
        <w:rPr>
          <w:rFonts w:ascii="Cambria" w:eastAsiaTheme="minorEastAsia" w:hAnsi="Cambria" w:cs="Arial"/>
          <w:sz w:val="18"/>
          <w:szCs w:val="18"/>
        </w:rPr>
        <w:t>, 2018</w:t>
      </w:r>
    </w:p>
    <w:p w14:paraId="62FD4BBC" w14:textId="77777777" w:rsidR="00354F80" w:rsidRDefault="00ED4DFA"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lastRenderedPageBreak/>
        <w:t xml:space="preserve">De los </w:t>
      </w:r>
      <w:r w:rsidR="00251BA7" w:rsidRPr="00431183">
        <w:rPr>
          <w:rFonts w:ascii="Cambria" w:eastAsiaTheme="minorEastAsia" w:hAnsi="Cambria" w:cs="Arial"/>
          <w:sz w:val="24"/>
          <w:szCs w:val="24"/>
        </w:rPr>
        <w:t xml:space="preserve">380 productores encuestados un 76% contesta pertenecer a una cooperativa, y un 24% no pertenecen a esta forma de </w:t>
      </w:r>
      <w:r w:rsidR="00354F80" w:rsidRPr="00431183">
        <w:rPr>
          <w:rFonts w:ascii="Cambria" w:eastAsiaTheme="minorEastAsia" w:hAnsi="Cambria" w:cs="Arial"/>
          <w:sz w:val="24"/>
          <w:szCs w:val="24"/>
        </w:rPr>
        <w:t xml:space="preserve">organización, </w:t>
      </w:r>
      <w:r w:rsidR="00354F80">
        <w:rPr>
          <w:rFonts w:ascii="Cambria" w:eastAsiaTheme="minorEastAsia" w:hAnsi="Cambria" w:cs="Arial"/>
          <w:sz w:val="24"/>
          <w:szCs w:val="24"/>
        </w:rPr>
        <w:t>especialmente porque este grupo comercializa su producción de café con otras organizaciones como lo son beneficios de café, y entre las principales razones que estos han aportado es que no observan beneficioso pertenecer a estas organizaciones o porque existen disputas con los precios pagados por fanega producida.</w:t>
      </w:r>
    </w:p>
    <w:p w14:paraId="2A4F51E0" w14:textId="77777777" w:rsidR="00251BA7" w:rsidRPr="00431183" w:rsidRDefault="00354F80"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Lo anterior se contrasta al analizar cuando </w:t>
      </w:r>
      <w:r w:rsidR="00251BA7" w:rsidRPr="00431183">
        <w:rPr>
          <w:rFonts w:ascii="Cambria" w:eastAsiaTheme="minorEastAsia" w:hAnsi="Cambria" w:cs="Arial"/>
          <w:sz w:val="24"/>
          <w:szCs w:val="24"/>
        </w:rPr>
        <w:t>se les consult</w:t>
      </w:r>
      <w:r>
        <w:rPr>
          <w:rFonts w:ascii="Cambria" w:eastAsiaTheme="minorEastAsia" w:hAnsi="Cambria" w:cs="Arial"/>
          <w:sz w:val="24"/>
          <w:szCs w:val="24"/>
        </w:rPr>
        <w:t>a</w:t>
      </w:r>
      <w:r w:rsidR="00251BA7" w:rsidRPr="00431183">
        <w:rPr>
          <w:rFonts w:ascii="Cambria" w:eastAsiaTheme="minorEastAsia" w:hAnsi="Cambria" w:cs="Arial"/>
          <w:sz w:val="24"/>
          <w:szCs w:val="24"/>
        </w:rPr>
        <w:t xml:space="preserve"> a que actores económicos colocan su producción tal como se observa en el siguiente gráfico.</w:t>
      </w:r>
    </w:p>
    <w:p w14:paraId="17A72D58" w14:textId="6983356B" w:rsidR="00B771EE" w:rsidRDefault="00251BA7" w:rsidP="00AF1E1D">
      <w:pPr>
        <w:pStyle w:val="Descripcin"/>
        <w:keepNext/>
        <w:jc w:val="both"/>
        <w:rPr>
          <w:rFonts w:ascii="Cambria" w:hAnsi="Cambria" w:cs="Arial"/>
          <w:b/>
          <w:i w:val="0"/>
          <w:color w:val="auto"/>
          <w:sz w:val="22"/>
          <w:szCs w:val="22"/>
        </w:rPr>
      </w:pPr>
      <w:bookmarkStart w:id="97" w:name="_Toc527574657"/>
      <w:r w:rsidRPr="00AF1E1D">
        <w:rPr>
          <w:rFonts w:ascii="Cambria" w:hAnsi="Cambria" w:cs="Arial"/>
          <w:b/>
          <w:i w:val="0"/>
          <w:color w:val="auto"/>
          <w:sz w:val="22"/>
          <w:szCs w:val="22"/>
        </w:rPr>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11</w:t>
      </w:r>
      <w:bookmarkEnd w:id="97"/>
      <w:r w:rsidR="005C7CB3" w:rsidRPr="00AF1E1D">
        <w:rPr>
          <w:rFonts w:ascii="Cambria" w:hAnsi="Cambria" w:cs="Arial"/>
          <w:b/>
          <w:i w:val="0"/>
          <w:color w:val="auto"/>
          <w:sz w:val="22"/>
          <w:szCs w:val="22"/>
        </w:rPr>
        <w:fldChar w:fldCharType="end"/>
      </w:r>
    </w:p>
    <w:p w14:paraId="4004CB67" w14:textId="69A53517" w:rsidR="00251BA7" w:rsidRPr="00AF1E1D" w:rsidRDefault="00251BA7" w:rsidP="00AF1E1D">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Colocación de la producción anual de café por parte de los productores según tipo de organización.</w:t>
      </w:r>
    </w:p>
    <w:p w14:paraId="12FBFDC5" w14:textId="77777777" w:rsidR="00251BA7" w:rsidRPr="00431183" w:rsidRDefault="00251BA7" w:rsidP="00AF1E1D">
      <w:pPr>
        <w:spacing w:line="240" w:lineRule="auto"/>
        <w:rPr>
          <w:rFonts w:ascii="Cambria" w:eastAsiaTheme="minorEastAsia" w:hAnsi="Cambria" w:cs="Arial"/>
          <w:sz w:val="24"/>
          <w:szCs w:val="24"/>
        </w:rPr>
      </w:pPr>
      <w:r w:rsidRPr="00431183">
        <w:rPr>
          <w:rFonts w:ascii="Cambria" w:hAnsi="Cambria"/>
          <w:noProof/>
          <w:sz w:val="24"/>
          <w:szCs w:val="24"/>
          <w:lang w:eastAsia="es-CR"/>
        </w:rPr>
        <w:drawing>
          <wp:inline distT="0" distB="0" distL="0" distR="0" wp14:anchorId="61B2EE11" wp14:editId="2382897F">
            <wp:extent cx="5537200" cy="2201333"/>
            <wp:effectExtent l="0" t="0" r="6350" b="8890"/>
            <wp:docPr id="23" name="Gráfico 23">
              <a:extLst xmlns:a="http://schemas.openxmlformats.org/drawingml/2006/main">
                <a:ext uri="{FF2B5EF4-FFF2-40B4-BE49-F238E27FC236}">
                  <a16:creationId xmlns:a16="http://schemas.microsoft.com/office/drawing/2014/main" id="{7A9583C8-10EF-476C-A277-8654DA551B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8432FC0" w14:textId="375CA60E" w:rsidR="00251BA7" w:rsidRPr="00431183" w:rsidRDefault="00251BA7"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base a la información suministrada por los productores de café de la región de los Santos</w:t>
      </w:r>
      <w:r w:rsidR="00B771EE">
        <w:rPr>
          <w:rFonts w:ascii="Cambria" w:eastAsiaTheme="minorEastAsia" w:hAnsi="Cambria" w:cs="Arial"/>
          <w:sz w:val="18"/>
          <w:szCs w:val="18"/>
        </w:rPr>
        <w:t>, 2018</w:t>
      </w:r>
    </w:p>
    <w:p w14:paraId="748BDA00" w14:textId="77777777" w:rsidR="00251BA7" w:rsidRPr="00431183" w:rsidRDefault="00ED4DFA"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U</w:t>
      </w:r>
      <w:r w:rsidR="00251BA7" w:rsidRPr="00431183">
        <w:rPr>
          <w:rFonts w:ascii="Cambria" w:eastAsiaTheme="minorEastAsia" w:hAnsi="Cambria" w:cs="Arial"/>
          <w:sz w:val="24"/>
          <w:szCs w:val="24"/>
        </w:rPr>
        <w:t xml:space="preserve">n 73% de la producción realizada por parte de los productores actualmente es vendida en especial en las cooperativas de la región (Coopetarrazu R.L., Coopedota R.L. entre otras). Aunque otras formas de organización como los beneficios poseen una presencia importante, debido en especial porque 27% de los productores venden su producción a estos. </w:t>
      </w:r>
    </w:p>
    <w:p w14:paraId="34371881" w14:textId="047A012E" w:rsidR="00251BA7" w:rsidRDefault="00592F87" w:rsidP="00431183">
      <w:pPr>
        <w:spacing w:after="0" w:line="240" w:lineRule="auto"/>
        <w:ind w:firstLine="708"/>
        <w:jc w:val="both"/>
        <w:rPr>
          <w:rFonts w:ascii="Cambria" w:hAnsi="Cambria" w:cs="Arial"/>
          <w:sz w:val="24"/>
          <w:szCs w:val="24"/>
        </w:rPr>
      </w:pPr>
      <w:r w:rsidRPr="00431183">
        <w:rPr>
          <w:rFonts w:ascii="Cambria" w:hAnsi="Cambria" w:cs="Arial"/>
          <w:sz w:val="24"/>
          <w:szCs w:val="24"/>
        </w:rPr>
        <w:t>De</w:t>
      </w:r>
      <w:r w:rsidR="00ED4DFA">
        <w:rPr>
          <w:rFonts w:ascii="Cambria" w:hAnsi="Cambria" w:cs="Arial"/>
          <w:sz w:val="24"/>
          <w:szCs w:val="24"/>
        </w:rPr>
        <w:t xml:space="preserve">l </w:t>
      </w:r>
      <w:r w:rsidR="00583A3B" w:rsidRPr="00431183">
        <w:rPr>
          <w:rFonts w:ascii="Cambria" w:hAnsi="Cambria" w:cs="Arial"/>
          <w:sz w:val="24"/>
          <w:szCs w:val="24"/>
        </w:rPr>
        <w:t>27% de los productores de café que venden su café a beneficios externos a la región, entre las razones resaltan un</w:t>
      </w:r>
      <w:r w:rsidR="00A27B39" w:rsidRPr="00431183">
        <w:rPr>
          <w:rFonts w:ascii="Cambria" w:hAnsi="Cambria" w:cs="Arial"/>
          <w:sz w:val="24"/>
          <w:szCs w:val="24"/>
        </w:rPr>
        <w:t>a relación precio-beneficio en la liquidación final por fanega, otro de los factores resaltados por parte de los productores son los problemas de falta de liquidez o de flujo de caja individual, debido a una necesidad de numerario en el corto plazo para hacer frente a necesidades y que la forma actual de pago como de Coopetarrazú R.L. no les abastece.</w:t>
      </w:r>
    </w:p>
    <w:p w14:paraId="578BE2E7" w14:textId="3DCCBA1A" w:rsidR="001D38D7" w:rsidRDefault="001D38D7" w:rsidP="00431183">
      <w:pPr>
        <w:spacing w:after="0" w:line="240" w:lineRule="auto"/>
        <w:ind w:firstLine="708"/>
        <w:jc w:val="both"/>
        <w:rPr>
          <w:rFonts w:ascii="Cambria" w:hAnsi="Cambria" w:cs="Arial"/>
          <w:sz w:val="24"/>
          <w:szCs w:val="24"/>
        </w:rPr>
      </w:pPr>
      <w:r>
        <w:rPr>
          <w:rFonts w:ascii="Cambria" w:hAnsi="Cambria" w:cs="Arial"/>
          <w:sz w:val="24"/>
          <w:szCs w:val="24"/>
        </w:rPr>
        <w:t xml:space="preserve">Por consiguiente se observa según la muestra que ha sido entrevistada que la Denominación de Origen puede ser un instrumento para la negociación de nuevos precios de venta por quintal producido para el productor a pesar de que estos son el primer eslabón de la cadena de café, o una alternativa para ingresar a mercados diferenciados donde la negociación no utiliza la bolsa de New York. </w:t>
      </w:r>
    </w:p>
    <w:p w14:paraId="720C3AE1" w14:textId="11BD7E40" w:rsidR="001D38D7" w:rsidRPr="00431183" w:rsidRDefault="001D38D7" w:rsidP="00431183">
      <w:pPr>
        <w:spacing w:after="0" w:line="240" w:lineRule="auto"/>
        <w:ind w:firstLine="708"/>
        <w:jc w:val="both"/>
        <w:rPr>
          <w:rFonts w:ascii="Cambria" w:hAnsi="Cambria" w:cs="Arial"/>
          <w:sz w:val="24"/>
          <w:szCs w:val="24"/>
        </w:rPr>
      </w:pPr>
      <w:r>
        <w:rPr>
          <w:rFonts w:ascii="Cambria" w:hAnsi="Cambria" w:cs="Arial"/>
          <w:sz w:val="24"/>
          <w:szCs w:val="24"/>
        </w:rPr>
        <w:lastRenderedPageBreak/>
        <w:t xml:space="preserve">Se determina además, una debilidad por parte de un grupo pequeño de productores que no forman parte de organizaciones locales, debido que no muestran interés en formar parte de la Denominación de Origen, que al momento de hacerla operativa podrían quedar excluidos y presentar dificultades al momento de comercializar la producción. </w:t>
      </w:r>
    </w:p>
    <w:p w14:paraId="4DAF7B34" w14:textId="77777777" w:rsidR="00122431" w:rsidRPr="00431183" w:rsidRDefault="00122431" w:rsidP="00431183">
      <w:pPr>
        <w:spacing w:line="240" w:lineRule="auto"/>
        <w:jc w:val="both"/>
        <w:rPr>
          <w:rFonts w:ascii="Cambria" w:eastAsiaTheme="minorEastAsia" w:hAnsi="Cambria" w:cs="Arial"/>
          <w:sz w:val="24"/>
          <w:szCs w:val="24"/>
        </w:rPr>
      </w:pPr>
    </w:p>
    <w:p w14:paraId="60166111" w14:textId="77777777" w:rsidR="00696BBF" w:rsidRPr="00431183" w:rsidRDefault="00ED4DFA" w:rsidP="00431183">
      <w:pPr>
        <w:spacing w:line="240" w:lineRule="auto"/>
        <w:rPr>
          <w:rFonts w:ascii="Cambria" w:eastAsiaTheme="minorEastAsia" w:hAnsi="Cambria" w:cs="Arial"/>
          <w:b/>
          <w:sz w:val="24"/>
          <w:szCs w:val="24"/>
        </w:rPr>
      </w:pPr>
      <w:r>
        <w:rPr>
          <w:rFonts w:ascii="Cambria" w:eastAsiaTheme="minorEastAsia" w:hAnsi="Cambria" w:cs="Arial"/>
          <w:b/>
          <w:sz w:val="24"/>
          <w:szCs w:val="24"/>
        </w:rPr>
        <w:t xml:space="preserve">4.1.3 </w:t>
      </w:r>
      <w:r w:rsidR="00696BBF" w:rsidRPr="00431183">
        <w:rPr>
          <w:rFonts w:ascii="Cambria" w:eastAsiaTheme="minorEastAsia" w:hAnsi="Cambria" w:cs="Arial"/>
          <w:b/>
          <w:sz w:val="24"/>
          <w:szCs w:val="24"/>
        </w:rPr>
        <w:t>Características de la Banca para el Desarrollo en Costa Rica</w:t>
      </w:r>
      <w:r w:rsidR="00026A34">
        <w:rPr>
          <w:rFonts w:ascii="Cambria" w:eastAsiaTheme="minorEastAsia" w:hAnsi="Cambria" w:cs="Arial"/>
          <w:b/>
          <w:sz w:val="24"/>
          <w:szCs w:val="24"/>
        </w:rPr>
        <w:t>: Identificando las principales contribuciones para la denominación de origen Tarrazú</w:t>
      </w:r>
    </w:p>
    <w:p w14:paraId="5596A796" w14:textId="0FFFBB34" w:rsidR="00696BBF" w:rsidRPr="00431183" w:rsidRDefault="00696BBF" w:rsidP="00431183">
      <w:pPr>
        <w:spacing w:line="240" w:lineRule="auto"/>
        <w:ind w:firstLine="708"/>
        <w:jc w:val="both"/>
        <w:rPr>
          <w:rFonts w:ascii="Cambria" w:hAnsi="Cambria" w:cs="Arial"/>
          <w:sz w:val="24"/>
          <w:szCs w:val="24"/>
        </w:rPr>
      </w:pPr>
      <w:r w:rsidRPr="00431183">
        <w:rPr>
          <w:rFonts w:ascii="Cambria" w:hAnsi="Cambria" w:cs="Arial"/>
          <w:sz w:val="24"/>
          <w:szCs w:val="24"/>
        </w:rPr>
        <w:t>Al analizar el Sistema de Banca para el Desarrollo se determina que existen una variedad de objetivos, podría generar una dispersión tanto de esfuerzos y recursos, por lo que se requiere de una gran planificación y supervisión, para que esto no suceda.</w:t>
      </w:r>
      <w:r w:rsidR="00081D6E" w:rsidRPr="00431183">
        <w:rPr>
          <w:rFonts w:ascii="Cambria" w:hAnsi="Cambria" w:cs="Arial"/>
          <w:sz w:val="24"/>
          <w:szCs w:val="24"/>
        </w:rPr>
        <w:t xml:space="preserve"> </w:t>
      </w:r>
      <w:r w:rsidR="00592F87" w:rsidRPr="00431183">
        <w:rPr>
          <w:rFonts w:ascii="Cambria" w:hAnsi="Cambria" w:cs="Arial"/>
          <w:sz w:val="24"/>
          <w:szCs w:val="24"/>
        </w:rPr>
        <w:t xml:space="preserve">Entre sus </w:t>
      </w:r>
      <w:r w:rsidR="00081D6E" w:rsidRPr="00431183">
        <w:rPr>
          <w:rFonts w:ascii="Cambria" w:hAnsi="Cambria" w:cs="Arial"/>
          <w:sz w:val="24"/>
          <w:szCs w:val="24"/>
        </w:rPr>
        <w:t xml:space="preserve">principales objetivos </w:t>
      </w:r>
      <w:r w:rsidR="00592F87" w:rsidRPr="00431183">
        <w:rPr>
          <w:rFonts w:ascii="Cambria" w:hAnsi="Cambria" w:cs="Arial"/>
          <w:sz w:val="24"/>
          <w:szCs w:val="24"/>
        </w:rPr>
        <w:t xml:space="preserve">se encuentra </w:t>
      </w:r>
      <w:r w:rsidR="00081D6E" w:rsidRPr="00431183">
        <w:rPr>
          <w:rFonts w:ascii="Cambria" w:hAnsi="Cambria" w:cs="Arial"/>
          <w:sz w:val="24"/>
          <w:szCs w:val="24"/>
        </w:rPr>
        <w:t>la inclusión financiera de sectores económicos vulnerables que le permitan la dotación de recursos.</w:t>
      </w:r>
    </w:p>
    <w:p w14:paraId="0FA7FA3D" w14:textId="77777777" w:rsidR="00081D6E" w:rsidRPr="00431183" w:rsidRDefault="00081D6E" w:rsidP="00431183">
      <w:pPr>
        <w:spacing w:line="240" w:lineRule="auto"/>
        <w:ind w:firstLine="708"/>
        <w:jc w:val="both"/>
        <w:rPr>
          <w:rFonts w:ascii="Cambria" w:hAnsi="Cambria" w:cs="Arial"/>
          <w:sz w:val="24"/>
          <w:szCs w:val="24"/>
          <w:lang w:val="es-ES"/>
        </w:rPr>
      </w:pPr>
      <w:r w:rsidRPr="00431183">
        <w:rPr>
          <w:rFonts w:ascii="Cambria" w:hAnsi="Cambria" w:cs="Arial"/>
          <w:sz w:val="24"/>
          <w:szCs w:val="24"/>
        </w:rPr>
        <w:t xml:space="preserve">Específicamente, en el 2016 el programa coloco </w:t>
      </w:r>
      <w:r w:rsidRPr="00431183">
        <w:rPr>
          <w:rFonts w:ascii="Cambria" w:hAnsi="Cambria" w:cs="Arial"/>
          <w:sz w:val="24"/>
          <w:szCs w:val="24"/>
          <w:lang w:val="es-ES"/>
        </w:rPr>
        <w:t xml:space="preserve">277.260 millones de colones en diversos sectores de la economía real, lo que se traducen en 30.000 operaciones crediticias dirigidas a sectores entre instituciones públicas y privadas, para un resultado de que el crédito promedio registrado es de 9 millones de colones respectivamente, además que el 56% de las colocaciones fueron directamente al sector Agropecuario. </w:t>
      </w:r>
    </w:p>
    <w:p w14:paraId="3A37BA58" w14:textId="77777777" w:rsidR="00AB67B9" w:rsidRDefault="00081D6E" w:rsidP="00431183">
      <w:pPr>
        <w:spacing w:line="240" w:lineRule="auto"/>
        <w:ind w:firstLine="708"/>
        <w:jc w:val="both"/>
        <w:rPr>
          <w:rFonts w:ascii="Cambria" w:hAnsi="Cambria" w:cs="Arial"/>
          <w:sz w:val="24"/>
          <w:szCs w:val="24"/>
          <w:lang w:val="es-ES"/>
        </w:rPr>
      </w:pPr>
      <w:r w:rsidRPr="00431183">
        <w:rPr>
          <w:rFonts w:ascii="Cambria" w:hAnsi="Cambria" w:cs="Arial"/>
          <w:sz w:val="24"/>
          <w:szCs w:val="24"/>
          <w:lang w:val="es-ES"/>
        </w:rPr>
        <w:t xml:space="preserve">Analizando la escala de las colaciones, se presenta </w:t>
      </w:r>
      <w:r w:rsidR="005F60A7" w:rsidRPr="00431183">
        <w:rPr>
          <w:rFonts w:ascii="Cambria" w:hAnsi="Cambria" w:cs="Arial"/>
          <w:sz w:val="24"/>
          <w:szCs w:val="24"/>
          <w:lang w:val="es-ES"/>
        </w:rPr>
        <w:t>que,</w:t>
      </w:r>
      <w:r w:rsidRPr="00431183">
        <w:rPr>
          <w:rFonts w:ascii="Cambria" w:hAnsi="Cambria" w:cs="Arial"/>
          <w:sz w:val="24"/>
          <w:szCs w:val="24"/>
          <w:lang w:val="es-ES"/>
        </w:rPr>
        <w:t xml:space="preserve"> de cada 10 créditos otorgados por el Sistema de Banca para el Desarrollo, 7 corresponden a créditos a pequeñas empresas, y propiamente en el sector Agropecuario, corr</w:t>
      </w:r>
      <w:r w:rsidR="00AB67B9" w:rsidRPr="00431183">
        <w:rPr>
          <w:rFonts w:ascii="Cambria" w:hAnsi="Cambria" w:cs="Arial"/>
          <w:sz w:val="24"/>
          <w:szCs w:val="24"/>
          <w:lang w:val="es-ES"/>
        </w:rPr>
        <w:t xml:space="preserve">esponden a pequeños productores. </w:t>
      </w:r>
    </w:p>
    <w:p w14:paraId="06F4A70D" w14:textId="77777777" w:rsidR="00026A34" w:rsidRDefault="00026A34" w:rsidP="00431183">
      <w:pPr>
        <w:spacing w:line="240" w:lineRule="auto"/>
        <w:ind w:firstLine="708"/>
        <w:jc w:val="both"/>
        <w:rPr>
          <w:rFonts w:ascii="Cambria" w:hAnsi="Cambria" w:cs="Arial"/>
          <w:sz w:val="24"/>
          <w:szCs w:val="24"/>
          <w:lang w:val="es-ES"/>
        </w:rPr>
      </w:pPr>
      <w:r>
        <w:rPr>
          <w:rFonts w:ascii="Cambria" w:hAnsi="Cambria" w:cs="Arial"/>
          <w:sz w:val="24"/>
          <w:szCs w:val="24"/>
          <w:lang w:val="es-ES"/>
        </w:rPr>
        <w:t xml:space="preserve">Por consiguiente, una de las contribuciones identificadas con el programa de Banca para Desarrollo, es lo que se refiere al apoyo de la </w:t>
      </w:r>
      <w:r w:rsidR="00D60A62">
        <w:rPr>
          <w:rFonts w:ascii="Cambria" w:hAnsi="Cambria" w:cs="Arial"/>
          <w:sz w:val="24"/>
          <w:szCs w:val="24"/>
          <w:lang w:val="es-ES"/>
        </w:rPr>
        <w:t xml:space="preserve">pequeña </w:t>
      </w:r>
      <w:r>
        <w:rPr>
          <w:rFonts w:ascii="Cambria" w:hAnsi="Cambria" w:cs="Arial"/>
          <w:sz w:val="24"/>
          <w:szCs w:val="24"/>
          <w:lang w:val="es-ES"/>
        </w:rPr>
        <w:t xml:space="preserve">empresa, para el caso de la denominación de origen, un productor puede </w:t>
      </w:r>
      <w:r w:rsidR="00D60A62">
        <w:rPr>
          <w:rFonts w:ascii="Cambria" w:hAnsi="Cambria" w:cs="Arial"/>
          <w:sz w:val="24"/>
          <w:szCs w:val="24"/>
          <w:lang w:val="es-ES"/>
        </w:rPr>
        <w:t>optar</w:t>
      </w:r>
      <w:r>
        <w:rPr>
          <w:rFonts w:ascii="Cambria" w:hAnsi="Cambria" w:cs="Arial"/>
          <w:sz w:val="24"/>
          <w:szCs w:val="24"/>
          <w:lang w:val="es-ES"/>
        </w:rPr>
        <w:t xml:space="preserve"> por varios mecanismos para adquirir el distintivo </w:t>
      </w:r>
      <w:r w:rsidR="00D60A62">
        <w:rPr>
          <w:rFonts w:ascii="Cambria" w:hAnsi="Cambria" w:cs="Arial"/>
          <w:sz w:val="24"/>
          <w:szCs w:val="24"/>
          <w:lang w:val="es-ES"/>
        </w:rPr>
        <w:t xml:space="preserve">ya sea como productor individual que comercializa su producción, o mediante una figura jurídica que utiliza el mecanismo de Microbeneficio para comercializar su producción. </w:t>
      </w:r>
    </w:p>
    <w:p w14:paraId="72B95278" w14:textId="77777777" w:rsidR="00D60A62" w:rsidRDefault="00D60A62" w:rsidP="00431183">
      <w:pPr>
        <w:spacing w:line="240" w:lineRule="auto"/>
        <w:ind w:firstLine="708"/>
        <w:jc w:val="both"/>
        <w:rPr>
          <w:rFonts w:ascii="Cambria" w:hAnsi="Cambria" w:cs="Arial"/>
          <w:sz w:val="24"/>
          <w:szCs w:val="24"/>
          <w:lang w:val="es-ES"/>
        </w:rPr>
      </w:pPr>
      <w:r>
        <w:rPr>
          <w:rFonts w:ascii="Cambria" w:hAnsi="Cambria" w:cs="Arial"/>
          <w:sz w:val="24"/>
          <w:szCs w:val="24"/>
          <w:lang w:val="es-ES"/>
        </w:rPr>
        <w:t>Se encuentra una debilidad por parte de la denominación de origen, debido a que esta apela por una certificación orientada a las productoras que realicen su comercialización individual, y para el caso de las cooperativas, son estas las que obtienen el distintivo y no así los productores que son asociados.</w:t>
      </w:r>
    </w:p>
    <w:p w14:paraId="4A9DC100" w14:textId="77777777" w:rsidR="00AB67B9" w:rsidRPr="00431183" w:rsidRDefault="00D60A62" w:rsidP="00D60A62">
      <w:pPr>
        <w:spacing w:line="240" w:lineRule="auto"/>
        <w:ind w:firstLine="708"/>
        <w:jc w:val="both"/>
        <w:rPr>
          <w:rFonts w:ascii="Cambria" w:hAnsi="Cambria" w:cs="Arial"/>
          <w:sz w:val="24"/>
          <w:szCs w:val="24"/>
          <w:lang w:val="es-ES"/>
        </w:rPr>
      </w:pPr>
      <w:r>
        <w:rPr>
          <w:rFonts w:ascii="Cambria" w:hAnsi="Cambria" w:cs="Arial"/>
          <w:sz w:val="24"/>
          <w:szCs w:val="24"/>
          <w:lang w:val="es-ES"/>
        </w:rPr>
        <w:t xml:space="preserve">Por consiguiente, cuando se les consulto sobre cuales son los usos que se les brindarían a los recursos provenientes del programa de Banca para Desarrollo, y se obtienen los siguientes resultados </w:t>
      </w:r>
    </w:p>
    <w:p w14:paraId="5D0DB5D7" w14:textId="01F2B0CA" w:rsidR="00B771EE" w:rsidRPr="00AF1E1D" w:rsidRDefault="005F60A7" w:rsidP="00431183">
      <w:pPr>
        <w:pStyle w:val="Descripcin"/>
        <w:keepNext/>
        <w:jc w:val="both"/>
        <w:rPr>
          <w:rFonts w:ascii="Cambria" w:hAnsi="Cambria" w:cs="Arial"/>
          <w:b/>
          <w:i w:val="0"/>
          <w:color w:val="auto"/>
          <w:sz w:val="22"/>
          <w:szCs w:val="22"/>
        </w:rPr>
      </w:pPr>
      <w:bookmarkStart w:id="98" w:name="_Toc527574658"/>
      <w:r w:rsidRPr="00AF1E1D">
        <w:rPr>
          <w:rFonts w:ascii="Cambria" w:hAnsi="Cambria" w:cs="Arial"/>
          <w:b/>
          <w:i w:val="0"/>
          <w:color w:val="auto"/>
          <w:sz w:val="22"/>
          <w:szCs w:val="22"/>
        </w:rPr>
        <w:lastRenderedPageBreak/>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sidRPr="00AF1E1D">
        <w:rPr>
          <w:rFonts w:ascii="Cambria" w:hAnsi="Cambria" w:cs="Arial"/>
          <w:b/>
          <w:i w:val="0"/>
          <w:noProof/>
          <w:color w:val="auto"/>
          <w:sz w:val="22"/>
          <w:szCs w:val="22"/>
        </w:rPr>
        <w:t>12</w:t>
      </w:r>
      <w:bookmarkEnd w:id="98"/>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2101FD23" w14:textId="785B2E57" w:rsidR="005F60A7" w:rsidRPr="00AF1E1D" w:rsidRDefault="005F60A7" w:rsidP="00431183">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Principales usos de los recursos provenientes de Banca para el Desarrollo en la Denominación de Origen par parte de los productores</w:t>
      </w:r>
    </w:p>
    <w:p w14:paraId="401FD580" w14:textId="5674EB68" w:rsidR="005F60A7" w:rsidRPr="00431183" w:rsidRDefault="005F60A7" w:rsidP="00AF1E1D">
      <w:pPr>
        <w:spacing w:line="240" w:lineRule="auto"/>
        <w:rPr>
          <w:rFonts w:ascii="Cambria" w:hAnsi="Cambria" w:cs="Arial"/>
          <w:sz w:val="24"/>
          <w:szCs w:val="24"/>
        </w:rPr>
      </w:pPr>
      <w:r w:rsidRPr="00431183">
        <w:rPr>
          <w:rFonts w:ascii="Cambria" w:hAnsi="Cambria"/>
          <w:noProof/>
          <w:sz w:val="24"/>
          <w:szCs w:val="24"/>
          <w:lang w:eastAsia="es-CR"/>
        </w:rPr>
        <w:drawing>
          <wp:inline distT="0" distB="0" distL="0" distR="0" wp14:anchorId="1E9F81B7" wp14:editId="6CB783AA">
            <wp:extent cx="5706534" cy="2692400"/>
            <wp:effectExtent l="0" t="0" r="8890" b="0"/>
            <wp:docPr id="25" name="Gráfico 25">
              <a:extLst xmlns:a="http://schemas.openxmlformats.org/drawingml/2006/main">
                <a:ext uri="{FF2B5EF4-FFF2-40B4-BE49-F238E27FC236}">
                  <a16:creationId xmlns:a16="http://schemas.microsoft.com/office/drawing/2014/main" id="{DEB0B88D-5486-42AC-AF54-E727C14EBA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04E56D6" w14:textId="5E77CD33" w:rsidR="00696BBF" w:rsidRPr="00431183" w:rsidRDefault="005F60A7" w:rsidP="00431183">
      <w:pPr>
        <w:spacing w:line="240" w:lineRule="auto"/>
        <w:jc w:val="both"/>
        <w:rPr>
          <w:rFonts w:ascii="Cambria" w:eastAsiaTheme="minorEastAsia" w:hAnsi="Cambria" w:cs="Arial"/>
          <w:sz w:val="18"/>
          <w:szCs w:val="18"/>
        </w:rPr>
      </w:pPr>
      <w:r w:rsidRPr="00431183">
        <w:rPr>
          <w:rFonts w:ascii="Cambria" w:hAnsi="Cambria" w:cs="Arial"/>
          <w:sz w:val="18"/>
          <w:szCs w:val="18"/>
        </w:rPr>
        <w:t xml:space="preserve">Fuente: </w:t>
      </w:r>
      <w:r w:rsidRPr="00431183">
        <w:rPr>
          <w:rFonts w:ascii="Cambria" w:eastAsiaTheme="minorEastAsia" w:hAnsi="Cambria" w:cs="Arial"/>
          <w:sz w:val="18"/>
          <w:szCs w:val="18"/>
        </w:rPr>
        <w:t>Elaboración propia con base a la información suministrada por los productores de café de la región de los Santos</w:t>
      </w:r>
      <w:r w:rsidR="00B771EE">
        <w:rPr>
          <w:rFonts w:ascii="Cambria" w:eastAsiaTheme="minorEastAsia" w:hAnsi="Cambria" w:cs="Arial"/>
          <w:sz w:val="18"/>
          <w:szCs w:val="18"/>
        </w:rPr>
        <w:t>, 2018.</w:t>
      </w:r>
    </w:p>
    <w:p w14:paraId="78660038" w14:textId="77777777" w:rsidR="00A27B39" w:rsidRDefault="001529EE" w:rsidP="00D60A62">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El</w:t>
      </w:r>
      <w:r w:rsidR="005F60A7" w:rsidRPr="00431183">
        <w:rPr>
          <w:rFonts w:ascii="Cambria" w:eastAsiaTheme="minorEastAsia" w:hAnsi="Cambria" w:cs="Arial"/>
          <w:sz w:val="24"/>
          <w:szCs w:val="24"/>
        </w:rPr>
        <w:t xml:space="preserve"> 30% de los productores de la muestra analizada utilizaría los recursos para </w:t>
      </w:r>
      <w:r w:rsidR="00C31B38" w:rsidRPr="00431183">
        <w:rPr>
          <w:rFonts w:ascii="Cambria" w:eastAsiaTheme="minorEastAsia" w:hAnsi="Cambria" w:cs="Arial"/>
          <w:sz w:val="24"/>
          <w:szCs w:val="24"/>
        </w:rPr>
        <w:t>mantenimiento</w:t>
      </w:r>
      <w:r w:rsidR="005F60A7" w:rsidRPr="00431183">
        <w:rPr>
          <w:rFonts w:ascii="Cambria" w:eastAsiaTheme="minorEastAsia" w:hAnsi="Cambria" w:cs="Arial"/>
          <w:sz w:val="24"/>
          <w:szCs w:val="24"/>
        </w:rPr>
        <w:t xml:space="preserve"> de la finca debido a que argumentan que existe un tema de importancia re</w:t>
      </w:r>
      <w:r w:rsidR="00C31B38" w:rsidRPr="00431183">
        <w:rPr>
          <w:rFonts w:ascii="Cambria" w:eastAsiaTheme="minorEastAsia" w:hAnsi="Cambria" w:cs="Arial"/>
          <w:sz w:val="24"/>
          <w:szCs w:val="24"/>
        </w:rPr>
        <w:t>ferente a la calidad</w:t>
      </w:r>
      <w:r w:rsidR="00A27B39" w:rsidRPr="00431183">
        <w:rPr>
          <w:rFonts w:ascii="Cambria" w:eastAsiaTheme="minorEastAsia" w:hAnsi="Cambria" w:cs="Arial"/>
          <w:sz w:val="24"/>
          <w:szCs w:val="24"/>
        </w:rPr>
        <w:t xml:space="preserve"> de la producción</w:t>
      </w:r>
      <w:r w:rsidR="00ED4DFA">
        <w:rPr>
          <w:rFonts w:ascii="Cambria" w:eastAsiaTheme="minorEastAsia" w:hAnsi="Cambria" w:cs="Arial"/>
          <w:sz w:val="24"/>
          <w:szCs w:val="24"/>
        </w:rPr>
        <w:t xml:space="preserve">, y que antes de realizar otras actividades es necesario mantener a nivel de finca las condiciones idóneas. </w:t>
      </w:r>
    </w:p>
    <w:p w14:paraId="7C23522F" w14:textId="77777777" w:rsidR="00D60A62" w:rsidRPr="00431183" w:rsidRDefault="00D60A62" w:rsidP="00431183">
      <w:pPr>
        <w:spacing w:line="240" w:lineRule="auto"/>
        <w:jc w:val="both"/>
        <w:rPr>
          <w:rFonts w:ascii="Cambria" w:eastAsiaTheme="minorEastAsia" w:hAnsi="Cambria" w:cs="Arial"/>
          <w:sz w:val="24"/>
          <w:szCs w:val="24"/>
        </w:rPr>
      </w:pPr>
      <w:r>
        <w:rPr>
          <w:rFonts w:ascii="Cambria" w:eastAsiaTheme="minorEastAsia" w:hAnsi="Cambria" w:cs="Arial"/>
          <w:sz w:val="24"/>
          <w:szCs w:val="24"/>
        </w:rPr>
        <w:tab/>
        <w:t>Son este grupo de productores además los que forman parte de cooperativas y no tienen experiencia en comercializar su producción como si lo hacen los productores dueños de Microbeneficios, por consiguiente, observan al programa de Banca de Desarrollo como un instrumento semejante al de banca de segundo piso que utiliza otras organizaciones como Coopetarraz</w:t>
      </w:r>
      <w:r w:rsidR="006A61D2">
        <w:rPr>
          <w:rFonts w:ascii="Cambria" w:eastAsiaTheme="minorEastAsia" w:hAnsi="Cambria" w:cs="Arial"/>
          <w:sz w:val="24"/>
          <w:szCs w:val="24"/>
        </w:rPr>
        <w:t>ú</w:t>
      </w:r>
      <w:r>
        <w:rPr>
          <w:rFonts w:ascii="Cambria" w:eastAsiaTheme="minorEastAsia" w:hAnsi="Cambria" w:cs="Arial"/>
          <w:sz w:val="24"/>
          <w:szCs w:val="24"/>
        </w:rPr>
        <w:t xml:space="preserve"> R.L.</w:t>
      </w:r>
    </w:p>
    <w:p w14:paraId="7214E05D" w14:textId="77777777" w:rsidR="00A27B39" w:rsidRDefault="00A27B39" w:rsidP="00D60A62">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Analizando propiamente los alcances de la denominación </w:t>
      </w:r>
      <w:r w:rsidR="00D60A62">
        <w:rPr>
          <w:rFonts w:ascii="Cambria" w:eastAsiaTheme="minorEastAsia" w:hAnsi="Cambria" w:cs="Arial"/>
          <w:sz w:val="24"/>
          <w:szCs w:val="24"/>
        </w:rPr>
        <w:t xml:space="preserve">de Origen </w:t>
      </w:r>
      <w:r w:rsidRPr="00431183">
        <w:rPr>
          <w:rFonts w:ascii="Cambria" w:eastAsiaTheme="minorEastAsia" w:hAnsi="Cambria" w:cs="Arial"/>
          <w:sz w:val="24"/>
          <w:szCs w:val="24"/>
        </w:rPr>
        <w:t>en específico en las indicaciones de la producción, un factor de importancia que cada productor tiene que fortalecer y conservar es la calidad sumado a un equilibrio nutricional de las plantaciones, por consiguiente, un flujo importante de recursos iría para tales fines.</w:t>
      </w:r>
    </w:p>
    <w:p w14:paraId="25F04367" w14:textId="77777777" w:rsidR="00D60A62" w:rsidRPr="00431183" w:rsidRDefault="00D60A62" w:rsidP="00D60A62">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La característica anterior es compartida tanto para los productores que forman partes de cooperativas como los que no forman parte y </w:t>
      </w:r>
      <w:r w:rsidR="00133703">
        <w:rPr>
          <w:rFonts w:ascii="Cambria" w:eastAsiaTheme="minorEastAsia" w:hAnsi="Cambria" w:cs="Arial"/>
          <w:sz w:val="24"/>
          <w:szCs w:val="24"/>
        </w:rPr>
        <w:t>comercializan</w:t>
      </w:r>
      <w:r>
        <w:rPr>
          <w:rFonts w:ascii="Cambria" w:eastAsiaTheme="minorEastAsia" w:hAnsi="Cambria" w:cs="Arial"/>
          <w:sz w:val="24"/>
          <w:szCs w:val="24"/>
        </w:rPr>
        <w:t xml:space="preserve"> su propia </w:t>
      </w:r>
      <w:r w:rsidR="00133703">
        <w:rPr>
          <w:rFonts w:ascii="Cambria" w:eastAsiaTheme="minorEastAsia" w:hAnsi="Cambria" w:cs="Arial"/>
          <w:sz w:val="24"/>
          <w:szCs w:val="24"/>
        </w:rPr>
        <w:t xml:space="preserve">producción, lo que el programa se ofrece como una figura atractiva para los productores debido a que estos están conscientes de los beneficios percibidos al sostener la calidad de la producción. </w:t>
      </w:r>
    </w:p>
    <w:p w14:paraId="0D568463" w14:textId="77777777" w:rsidR="00C31B38" w:rsidRDefault="00C31B38"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Un 19% utilizaría recursos de Banca para el Desarrollo para una recolección adecuada del grano</w:t>
      </w:r>
      <w:r w:rsidR="001529EE" w:rsidRPr="00431183">
        <w:rPr>
          <w:rFonts w:ascii="Cambria" w:eastAsiaTheme="minorEastAsia" w:hAnsi="Cambria" w:cs="Arial"/>
          <w:sz w:val="24"/>
          <w:szCs w:val="24"/>
        </w:rPr>
        <w:t>,</w:t>
      </w:r>
      <w:r w:rsidRPr="00431183">
        <w:rPr>
          <w:rFonts w:ascii="Cambria" w:eastAsiaTheme="minorEastAsia" w:hAnsi="Cambria" w:cs="Arial"/>
          <w:sz w:val="24"/>
          <w:szCs w:val="24"/>
        </w:rPr>
        <w:t xml:space="preserve"> debido a que esta cambiaria con la denominació</w:t>
      </w:r>
      <w:r w:rsidR="00A27B39" w:rsidRPr="00431183">
        <w:rPr>
          <w:rFonts w:ascii="Cambria" w:eastAsiaTheme="minorEastAsia" w:hAnsi="Cambria" w:cs="Arial"/>
          <w:sz w:val="24"/>
          <w:szCs w:val="24"/>
        </w:rPr>
        <w:t xml:space="preserve">n lo que implica mayores costos de cosecha debido a las especificaciones técnicas que tienen que cumplir en el </w:t>
      </w:r>
      <w:r w:rsidR="00A27B39" w:rsidRPr="00431183">
        <w:rPr>
          <w:rFonts w:ascii="Cambria" w:eastAsiaTheme="minorEastAsia" w:hAnsi="Cambria" w:cs="Arial"/>
          <w:sz w:val="24"/>
          <w:szCs w:val="24"/>
        </w:rPr>
        <w:lastRenderedPageBreak/>
        <w:t>proceso de maduración de la cosecha</w:t>
      </w:r>
      <w:r w:rsidR="00ED4DFA">
        <w:rPr>
          <w:rFonts w:ascii="Cambria" w:eastAsiaTheme="minorEastAsia" w:hAnsi="Cambria" w:cs="Arial"/>
          <w:sz w:val="24"/>
          <w:szCs w:val="24"/>
        </w:rPr>
        <w:t xml:space="preserve">, debido a que esta se aleja de la forma tradicional de recolección, a una forma más intensiva en mano de </w:t>
      </w:r>
      <w:r w:rsidR="000B46DE">
        <w:rPr>
          <w:rFonts w:ascii="Cambria" w:eastAsiaTheme="minorEastAsia" w:hAnsi="Cambria" w:cs="Arial"/>
          <w:sz w:val="24"/>
          <w:szCs w:val="24"/>
        </w:rPr>
        <w:t>obra,</w:t>
      </w:r>
      <w:r w:rsidR="00ED4DFA">
        <w:rPr>
          <w:rFonts w:ascii="Cambria" w:eastAsiaTheme="minorEastAsia" w:hAnsi="Cambria" w:cs="Arial"/>
          <w:sz w:val="24"/>
          <w:szCs w:val="24"/>
        </w:rPr>
        <w:t xml:space="preserve"> pero de menor cantidad recolectada. </w:t>
      </w:r>
      <w:r w:rsidR="00133703">
        <w:rPr>
          <w:rFonts w:ascii="Cambria" w:eastAsiaTheme="minorEastAsia" w:hAnsi="Cambria" w:cs="Arial"/>
          <w:sz w:val="24"/>
          <w:szCs w:val="24"/>
        </w:rPr>
        <w:t xml:space="preserve">  </w:t>
      </w:r>
      <w:r w:rsidRPr="00431183">
        <w:rPr>
          <w:rFonts w:ascii="Cambria" w:eastAsiaTheme="minorEastAsia" w:hAnsi="Cambria" w:cs="Arial"/>
          <w:sz w:val="24"/>
          <w:szCs w:val="24"/>
        </w:rPr>
        <w:t xml:space="preserve">Entre otras de las labores que utilizarían los productores la denominación </w:t>
      </w:r>
      <w:r w:rsidR="001529EE" w:rsidRPr="00431183">
        <w:rPr>
          <w:rFonts w:ascii="Cambria" w:eastAsiaTheme="minorEastAsia" w:hAnsi="Cambria" w:cs="Arial"/>
          <w:sz w:val="24"/>
          <w:szCs w:val="24"/>
        </w:rPr>
        <w:t>está</w:t>
      </w:r>
      <w:r w:rsidRPr="00431183">
        <w:rPr>
          <w:rFonts w:ascii="Cambria" w:eastAsiaTheme="minorEastAsia" w:hAnsi="Cambria" w:cs="Arial"/>
          <w:sz w:val="24"/>
          <w:szCs w:val="24"/>
        </w:rPr>
        <w:t xml:space="preserve"> el beneficiado 10%, Torrefacción 11% y otras actividades. </w:t>
      </w:r>
    </w:p>
    <w:p w14:paraId="4B2185C2" w14:textId="77777777" w:rsidR="00133703" w:rsidRPr="00431183" w:rsidRDefault="00133703" w:rsidP="00431183">
      <w:pPr>
        <w:spacing w:line="240" w:lineRule="auto"/>
        <w:jc w:val="both"/>
        <w:rPr>
          <w:rFonts w:ascii="Cambria" w:eastAsiaTheme="minorEastAsia" w:hAnsi="Cambria" w:cs="Arial"/>
          <w:sz w:val="24"/>
          <w:szCs w:val="24"/>
        </w:rPr>
      </w:pPr>
      <w:r>
        <w:rPr>
          <w:rFonts w:ascii="Cambria" w:eastAsiaTheme="minorEastAsia" w:hAnsi="Cambria" w:cs="Arial"/>
          <w:sz w:val="24"/>
          <w:szCs w:val="24"/>
        </w:rPr>
        <w:t xml:space="preserve">De las actividades anteriores se distingue que estas actividades son propias para los productores que poseen la figura de Microbeneficio, debido a que para los productores que siguen su producción y se limitan a entregar su producción a alguna cooperativa, no observan que tengan que realizar dichas actividades. </w:t>
      </w:r>
    </w:p>
    <w:p w14:paraId="4E8190E9" w14:textId="08C4854A" w:rsidR="00133703" w:rsidRPr="00431183" w:rsidRDefault="00C31B38"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Según el comité de </w:t>
      </w:r>
      <w:r w:rsidR="001529EE" w:rsidRPr="00431183">
        <w:rPr>
          <w:rFonts w:ascii="Cambria" w:eastAsiaTheme="minorEastAsia" w:hAnsi="Cambria" w:cs="Arial"/>
          <w:sz w:val="24"/>
          <w:szCs w:val="24"/>
        </w:rPr>
        <w:t>DO</w:t>
      </w:r>
      <w:r w:rsidRPr="00431183">
        <w:rPr>
          <w:rFonts w:ascii="Cambria" w:eastAsiaTheme="minorEastAsia" w:hAnsi="Cambria" w:cs="Arial"/>
          <w:sz w:val="24"/>
          <w:szCs w:val="24"/>
        </w:rPr>
        <w:t xml:space="preserve">, </w:t>
      </w:r>
      <w:r w:rsidR="00CC6720" w:rsidRPr="00431183">
        <w:rPr>
          <w:rFonts w:ascii="Cambria" w:eastAsiaTheme="minorEastAsia" w:hAnsi="Cambria" w:cs="Arial"/>
          <w:sz w:val="24"/>
          <w:szCs w:val="24"/>
        </w:rPr>
        <w:t xml:space="preserve">además de las actividades rutinarias y </w:t>
      </w:r>
      <w:r w:rsidR="00E45B7A" w:rsidRPr="00431183">
        <w:rPr>
          <w:rFonts w:ascii="Cambria" w:eastAsiaTheme="minorEastAsia" w:hAnsi="Cambria" w:cs="Arial"/>
          <w:sz w:val="24"/>
          <w:szCs w:val="24"/>
        </w:rPr>
        <w:t>de</w:t>
      </w:r>
      <w:r w:rsidR="00CC6720" w:rsidRPr="00431183">
        <w:rPr>
          <w:rFonts w:ascii="Cambria" w:eastAsiaTheme="minorEastAsia" w:hAnsi="Cambria" w:cs="Arial"/>
          <w:sz w:val="24"/>
          <w:szCs w:val="24"/>
        </w:rPr>
        <w:t xml:space="preserve"> mejora</w:t>
      </w:r>
      <w:r w:rsidR="00E45B7A" w:rsidRPr="00431183">
        <w:rPr>
          <w:rFonts w:ascii="Cambria" w:eastAsiaTheme="minorEastAsia" w:hAnsi="Cambria" w:cs="Arial"/>
          <w:sz w:val="24"/>
          <w:szCs w:val="24"/>
        </w:rPr>
        <w:t>;</w:t>
      </w:r>
      <w:r w:rsidR="00CC6720" w:rsidRPr="00431183">
        <w:rPr>
          <w:rFonts w:ascii="Cambria" w:eastAsiaTheme="minorEastAsia" w:hAnsi="Cambria" w:cs="Arial"/>
          <w:sz w:val="24"/>
          <w:szCs w:val="24"/>
        </w:rPr>
        <w:t xml:space="preserve"> </w:t>
      </w:r>
      <w:r w:rsidRPr="00431183">
        <w:rPr>
          <w:rFonts w:ascii="Cambria" w:eastAsiaTheme="minorEastAsia" w:hAnsi="Cambria" w:cs="Arial"/>
          <w:sz w:val="24"/>
          <w:szCs w:val="24"/>
        </w:rPr>
        <w:t xml:space="preserve">un productor que logre el distintivo tendrá que realizar la siguiente inversión para cada 2 hectáreas </w:t>
      </w:r>
      <w:r w:rsidR="00CC6720" w:rsidRPr="00431183">
        <w:rPr>
          <w:rFonts w:ascii="Cambria" w:eastAsiaTheme="minorEastAsia" w:hAnsi="Cambria" w:cs="Arial"/>
          <w:sz w:val="24"/>
          <w:szCs w:val="24"/>
        </w:rPr>
        <w:t xml:space="preserve">o para una producción de 200 quintales o fanegas </w:t>
      </w:r>
      <w:r w:rsidRPr="00431183">
        <w:rPr>
          <w:rFonts w:ascii="Cambria" w:eastAsiaTheme="minorEastAsia" w:hAnsi="Cambria" w:cs="Arial"/>
          <w:sz w:val="24"/>
          <w:szCs w:val="24"/>
        </w:rPr>
        <w:t xml:space="preserve">como se presenta en la siguiente tabla: </w:t>
      </w:r>
    </w:p>
    <w:p w14:paraId="4FF8AD3C" w14:textId="30605144" w:rsidR="00B771EE" w:rsidRPr="00AF1E1D" w:rsidRDefault="00102BE2" w:rsidP="00AF1E1D">
      <w:pPr>
        <w:pStyle w:val="Descripcin"/>
        <w:rPr>
          <w:rFonts w:ascii="Cambria" w:hAnsi="Cambria" w:cs="Arial"/>
          <w:b/>
          <w:i w:val="0"/>
          <w:color w:val="auto"/>
          <w:sz w:val="22"/>
          <w:szCs w:val="22"/>
        </w:rPr>
      </w:pPr>
      <w:bookmarkStart w:id="99" w:name="_Toc527576360"/>
      <w:r w:rsidRPr="00AF1E1D">
        <w:rPr>
          <w:rFonts w:ascii="Cambria" w:hAnsi="Cambria"/>
          <w:b/>
          <w:i w:val="0"/>
          <w:color w:val="auto"/>
          <w:sz w:val="22"/>
          <w:szCs w:val="22"/>
        </w:rPr>
        <w:t xml:space="preserve">Tabla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00CE6395">
        <w:rPr>
          <w:rFonts w:ascii="Cambria" w:hAnsi="Cambria"/>
          <w:b/>
          <w:i w:val="0"/>
          <w:noProof/>
          <w:color w:val="auto"/>
          <w:sz w:val="22"/>
          <w:szCs w:val="22"/>
        </w:rPr>
        <w:t>2</w:t>
      </w:r>
      <w:bookmarkEnd w:id="99"/>
      <w:r w:rsidRPr="00AF1E1D">
        <w:rPr>
          <w:rFonts w:ascii="Cambria" w:hAnsi="Cambria"/>
          <w:b/>
          <w:i w:val="0"/>
          <w:color w:val="auto"/>
          <w:sz w:val="22"/>
          <w:szCs w:val="22"/>
        </w:rPr>
        <w:fldChar w:fldCharType="end"/>
      </w:r>
    </w:p>
    <w:p w14:paraId="5BA1153B" w14:textId="1E44C9A6" w:rsidR="001E0BC0" w:rsidRPr="00AF1E1D" w:rsidRDefault="00ED4DFA" w:rsidP="00AF1E1D">
      <w:pPr>
        <w:pStyle w:val="Descripcin"/>
        <w:rPr>
          <w:rFonts w:ascii="Cambria" w:eastAsiaTheme="minorEastAsia" w:hAnsi="Cambria" w:cs="Arial"/>
          <w:b/>
          <w:i w:val="0"/>
          <w:color w:val="auto"/>
          <w:sz w:val="22"/>
          <w:szCs w:val="22"/>
        </w:rPr>
      </w:pPr>
      <w:r w:rsidRPr="00AF1E1D">
        <w:rPr>
          <w:rFonts w:ascii="Cambria" w:hAnsi="Cambria" w:cs="Arial"/>
          <w:b/>
          <w:i w:val="0"/>
          <w:color w:val="auto"/>
          <w:sz w:val="22"/>
          <w:szCs w:val="22"/>
        </w:rPr>
        <w:t xml:space="preserve"> </w:t>
      </w:r>
      <w:r w:rsidR="001E0BC0" w:rsidRPr="00AF1E1D">
        <w:rPr>
          <w:rFonts w:ascii="Cambria" w:hAnsi="Cambria" w:cs="Arial"/>
          <w:b/>
          <w:i w:val="0"/>
          <w:color w:val="auto"/>
          <w:sz w:val="22"/>
          <w:szCs w:val="22"/>
        </w:rPr>
        <w:t>Inversión Inicial por productor que opte por l</w:t>
      </w:r>
      <w:r w:rsidR="00426764" w:rsidRPr="00AF1E1D">
        <w:rPr>
          <w:rFonts w:ascii="Cambria" w:hAnsi="Cambria" w:cs="Arial"/>
          <w:b/>
          <w:i w:val="0"/>
          <w:color w:val="auto"/>
          <w:sz w:val="22"/>
          <w:szCs w:val="22"/>
        </w:rPr>
        <w:t>a Denominación de Origen Tarrazú</w:t>
      </w:r>
    </w:p>
    <w:tbl>
      <w:tblPr>
        <w:tblStyle w:val="Tablanormal31"/>
        <w:tblW w:w="8931" w:type="dxa"/>
        <w:tblLook w:val="04A0" w:firstRow="1" w:lastRow="0" w:firstColumn="1" w:lastColumn="0" w:noHBand="0" w:noVBand="1"/>
      </w:tblPr>
      <w:tblGrid>
        <w:gridCol w:w="5103"/>
        <w:gridCol w:w="3828"/>
      </w:tblGrid>
      <w:tr w:rsidR="00C31B38" w:rsidRPr="00431183" w14:paraId="38CD98DE" w14:textId="77777777" w:rsidTr="00AF1E1D">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5103" w:type="dxa"/>
            <w:tcBorders>
              <w:bottom w:val="single" w:sz="4" w:space="0" w:color="auto"/>
            </w:tcBorders>
            <w:noWrap/>
            <w:hideMark/>
          </w:tcPr>
          <w:p w14:paraId="4B82A40D" w14:textId="481CBAD7" w:rsidR="00C31B38" w:rsidRPr="00AF1E1D" w:rsidRDefault="00B771EE" w:rsidP="00AF1E1D">
            <w:pPr>
              <w:jc w:val="center"/>
              <w:rPr>
                <w:rFonts w:ascii="Cambria" w:eastAsia="Times New Roman" w:hAnsi="Cambria" w:cs="Times New Roman"/>
                <w:color w:val="000000"/>
                <w:sz w:val="24"/>
                <w:szCs w:val="24"/>
                <w:lang w:eastAsia="es-CR"/>
              </w:rPr>
            </w:pPr>
            <w:r w:rsidRPr="00AF1E1D">
              <w:rPr>
                <w:rFonts w:ascii="Cambria" w:eastAsia="Times New Roman" w:hAnsi="Cambria" w:cs="Times New Roman"/>
                <w:color w:val="000000"/>
                <w:sz w:val="24"/>
                <w:szCs w:val="24"/>
                <w:lang w:eastAsia="es-CR"/>
              </w:rPr>
              <w:t>Descripción</w:t>
            </w:r>
          </w:p>
        </w:tc>
        <w:tc>
          <w:tcPr>
            <w:tcW w:w="3828" w:type="dxa"/>
            <w:tcBorders>
              <w:bottom w:val="single" w:sz="4" w:space="0" w:color="auto"/>
            </w:tcBorders>
            <w:noWrap/>
            <w:hideMark/>
          </w:tcPr>
          <w:p w14:paraId="6DDC559F" w14:textId="0D4868A4" w:rsidR="00C31B38" w:rsidRPr="00AF1E1D" w:rsidRDefault="00B771EE" w:rsidP="00AF1E1D">
            <w:pPr>
              <w:jc w:val="center"/>
              <w:cnfStyle w:val="100000000000" w:firstRow="1" w:lastRow="0" w:firstColumn="0" w:lastColumn="0" w:oddVBand="0" w:evenVBand="0" w:oddHBand="0" w:evenHBand="0" w:firstRowFirstColumn="0" w:firstRowLastColumn="0" w:lastRowFirstColumn="0" w:lastRowLastColumn="0"/>
              <w:rPr>
                <w:rFonts w:ascii="Cambria" w:eastAsia="Times New Roman" w:hAnsi="Cambria" w:cs="Times New Roman"/>
                <w:sz w:val="24"/>
                <w:szCs w:val="24"/>
                <w:lang w:eastAsia="es-CR"/>
              </w:rPr>
            </w:pPr>
            <w:r w:rsidRPr="00AF1E1D">
              <w:rPr>
                <w:rFonts w:ascii="Cambria" w:eastAsia="Times New Roman" w:hAnsi="Cambria" w:cs="Times New Roman"/>
                <w:sz w:val="24"/>
                <w:szCs w:val="24"/>
                <w:lang w:eastAsia="es-CR"/>
              </w:rPr>
              <w:t>Total</w:t>
            </w:r>
          </w:p>
        </w:tc>
      </w:tr>
      <w:tr w:rsidR="00C31B38" w:rsidRPr="00431183" w14:paraId="0E5E4064" w14:textId="77777777" w:rsidTr="00AF1E1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103" w:type="dxa"/>
            <w:tcBorders>
              <w:top w:val="single" w:sz="4" w:space="0" w:color="auto"/>
            </w:tcBorders>
            <w:noWrap/>
            <w:hideMark/>
          </w:tcPr>
          <w:p w14:paraId="426E49E6" w14:textId="7A1A5F43" w:rsidR="00C31B38" w:rsidRPr="00AF1E1D" w:rsidRDefault="009C07E3" w:rsidP="006A61D2">
            <w:pPr>
              <w:rPr>
                <w:rFonts w:ascii="Cambria" w:hAnsi="Cambria"/>
                <w:b w:val="0"/>
                <w:lang w:eastAsia="es-CR"/>
              </w:rPr>
            </w:pPr>
            <w:r w:rsidRPr="00AF1E1D">
              <w:rPr>
                <w:rFonts w:ascii="Cambria" w:hAnsi="Cambria"/>
                <w:b w:val="0"/>
                <w:caps w:val="0"/>
                <w:lang w:eastAsia="es-CR"/>
              </w:rPr>
              <w:t xml:space="preserve">Tamaño de la propiedad: 2 hectáreas </w:t>
            </w:r>
          </w:p>
        </w:tc>
        <w:tc>
          <w:tcPr>
            <w:tcW w:w="3828" w:type="dxa"/>
            <w:tcBorders>
              <w:top w:val="single" w:sz="4" w:space="0" w:color="auto"/>
            </w:tcBorders>
            <w:noWrap/>
            <w:hideMark/>
          </w:tcPr>
          <w:p w14:paraId="1C15E0D0" w14:textId="77777777" w:rsidR="00C31B38" w:rsidRPr="006A61D2" w:rsidRDefault="00C31B38" w:rsidP="00431183">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es-CR"/>
              </w:rPr>
            </w:pPr>
          </w:p>
        </w:tc>
      </w:tr>
      <w:tr w:rsidR="00C31B38" w:rsidRPr="00431183" w14:paraId="67DFEA71" w14:textId="77777777" w:rsidTr="00AF1E1D">
        <w:trPr>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50D8F1FA" w14:textId="60C58B11" w:rsidR="00C31B38" w:rsidRPr="00AF1E1D" w:rsidRDefault="009C07E3" w:rsidP="006A61D2">
            <w:pPr>
              <w:rPr>
                <w:rFonts w:ascii="Cambria" w:hAnsi="Cambria"/>
                <w:b w:val="0"/>
                <w:lang w:eastAsia="es-CR"/>
              </w:rPr>
            </w:pPr>
            <w:r w:rsidRPr="00AF1E1D">
              <w:rPr>
                <w:rFonts w:ascii="Cambria" w:hAnsi="Cambria"/>
                <w:b w:val="0"/>
                <w:caps w:val="0"/>
                <w:lang w:eastAsia="es-CR"/>
              </w:rPr>
              <w:t xml:space="preserve">Producción por hectáreas </w:t>
            </w:r>
          </w:p>
        </w:tc>
        <w:tc>
          <w:tcPr>
            <w:tcW w:w="3828" w:type="dxa"/>
            <w:noWrap/>
            <w:hideMark/>
          </w:tcPr>
          <w:p w14:paraId="2DC7DFC2" w14:textId="77777777" w:rsidR="00C31B38" w:rsidRPr="006A61D2" w:rsidRDefault="00C31B38" w:rsidP="00431183">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b/>
                <w:color w:val="000000"/>
                <w:sz w:val="24"/>
                <w:szCs w:val="24"/>
                <w:lang w:eastAsia="es-CR"/>
              </w:rPr>
            </w:pPr>
            <w:r w:rsidRPr="006A61D2">
              <w:rPr>
                <w:rFonts w:ascii="Cambria" w:eastAsia="Times New Roman" w:hAnsi="Cambria" w:cs="Times New Roman"/>
                <w:b/>
                <w:color w:val="000000"/>
                <w:sz w:val="24"/>
                <w:szCs w:val="24"/>
                <w:lang w:eastAsia="es-CR"/>
              </w:rPr>
              <w:t>80 quintales</w:t>
            </w:r>
          </w:p>
        </w:tc>
      </w:tr>
      <w:tr w:rsidR="00C31B38" w:rsidRPr="00431183" w14:paraId="05E6D302" w14:textId="77777777" w:rsidTr="00AF1E1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1431F082" w14:textId="15750397" w:rsidR="00C31B38" w:rsidRPr="00AF1E1D" w:rsidRDefault="009C07E3" w:rsidP="006A61D2">
            <w:pPr>
              <w:rPr>
                <w:rFonts w:ascii="Cambria" w:hAnsi="Cambria"/>
                <w:b w:val="0"/>
                <w:lang w:eastAsia="es-CR"/>
              </w:rPr>
            </w:pPr>
            <w:r w:rsidRPr="00AF1E1D">
              <w:rPr>
                <w:rFonts w:ascii="Cambria" w:hAnsi="Cambria"/>
                <w:b w:val="0"/>
                <w:caps w:val="0"/>
                <w:lang w:eastAsia="es-CR"/>
              </w:rPr>
              <w:t xml:space="preserve">Manteamiento </w:t>
            </w:r>
          </w:p>
        </w:tc>
        <w:tc>
          <w:tcPr>
            <w:tcW w:w="3828" w:type="dxa"/>
            <w:noWrap/>
            <w:hideMark/>
          </w:tcPr>
          <w:p w14:paraId="5AE45D94" w14:textId="77777777" w:rsidR="00C31B38" w:rsidRPr="006A61D2" w:rsidRDefault="00C31B38" w:rsidP="00431183">
            <w:pPr>
              <w:jc w:val="right"/>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es-CR"/>
              </w:rPr>
            </w:pPr>
            <w:r w:rsidRPr="006A61D2">
              <w:rPr>
                <w:rFonts w:ascii="Cambria" w:eastAsia="Times New Roman" w:hAnsi="Cambria" w:cs="Times New Roman"/>
                <w:color w:val="000000"/>
                <w:sz w:val="24"/>
                <w:szCs w:val="24"/>
                <w:lang w:eastAsia="es-CR"/>
              </w:rPr>
              <w:t>₡2.500.000,00</w:t>
            </w:r>
          </w:p>
        </w:tc>
      </w:tr>
      <w:tr w:rsidR="00C31B38" w:rsidRPr="00431183" w14:paraId="63F36D1E" w14:textId="77777777" w:rsidTr="00AF1E1D">
        <w:trPr>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033997D9" w14:textId="58D6809C" w:rsidR="00C31B38" w:rsidRPr="00AF1E1D" w:rsidRDefault="009C07E3" w:rsidP="006A61D2">
            <w:pPr>
              <w:rPr>
                <w:rFonts w:ascii="Cambria" w:hAnsi="Cambria"/>
                <w:b w:val="0"/>
                <w:lang w:eastAsia="es-CR"/>
              </w:rPr>
            </w:pPr>
            <w:r w:rsidRPr="00AF1E1D">
              <w:rPr>
                <w:rFonts w:ascii="Cambria" w:hAnsi="Cambria"/>
                <w:b w:val="0"/>
                <w:caps w:val="0"/>
                <w:lang w:eastAsia="es-CR"/>
              </w:rPr>
              <w:t>Fertilizantes no nitrogenados</w:t>
            </w:r>
          </w:p>
        </w:tc>
        <w:tc>
          <w:tcPr>
            <w:tcW w:w="3828" w:type="dxa"/>
            <w:noWrap/>
            <w:hideMark/>
          </w:tcPr>
          <w:p w14:paraId="53830213" w14:textId="77777777" w:rsidR="00C31B38" w:rsidRPr="006A61D2" w:rsidRDefault="00C31B38" w:rsidP="00431183">
            <w:pPr>
              <w:jc w:val="right"/>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es-CR"/>
              </w:rPr>
            </w:pPr>
            <w:r w:rsidRPr="006A61D2">
              <w:rPr>
                <w:rFonts w:ascii="Cambria" w:eastAsia="Times New Roman" w:hAnsi="Cambria" w:cs="Times New Roman"/>
                <w:color w:val="000000"/>
                <w:sz w:val="24"/>
                <w:szCs w:val="24"/>
                <w:lang w:eastAsia="es-CR"/>
              </w:rPr>
              <w:t>₡1.000.000,00</w:t>
            </w:r>
          </w:p>
        </w:tc>
      </w:tr>
      <w:tr w:rsidR="00C31B38" w:rsidRPr="00431183" w14:paraId="4E6B58C2" w14:textId="77777777" w:rsidTr="00AF1E1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0CADFD0E" w14:textId="767C51FD" w:rsidR="00C31B38" w:rsidRPr="00AF1E1D" w:rsidRDefault="009C07E3" w:rsidP="006A61D2">
            <w:pPr>
              <w:rPr>
                <w:rFonts w:ascii="Cambria" w:hAnsi="Cambria"/>
                <w:b w:val="0"/>
                <w:lang w:eastAsia="es-CR"/>
              </w:rPr>
            </w:pPr>
            <w:r w:rsidRPr="00AF1E1D">
              <w:rPr>
                <w:rFonts w:ascii="Cambria" w:hAnsi="Cambria"/>
                <w:b w:val="0"/>
                <w:caps w:val="0"/>
                <w:lang w:eastAsia="es-CR"/>
              </w:rPr>
              <w:t xml:space="preserve">Recolección </w:t>
            </w:r>
          </w:p>
        </w:tc>
        <w:tc>
          <w:tcPr>
            <w:tcW w:w="3828" w:type="dxa"/>
            <w:noWrap/>
            <w:hideMark/>
          </w:tcPr>
          <w:p w14:paraId="09D1BDCF" w14:textId="77777777" w:rsidR="00C31B38" w:rsidRPr="006A61D2" w:rsidRDefault="00C31B38" w:rsidP="00431183">
            <w:pPr>
              <w:jc w:val="right"/>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es-CR"/>
              </w:rPr>
            </w:pPr>
            <w:r w:rsidRPr="006A61D2">
              <w:rPr>
                <w:rFonts w:ascii="Cambria" w:eastAsia="Times New Roman" w:hAnsi="Cambria" w:cs="Times New Roman"/>
                <w:color w:val="000000"/>
                <w:sz w:val="24"/>
                <w:szCs w:val="24"/>
                <w:lang w:eastAsia="es-CR"/>
              </w:rPr>
              <w:t>₡800.000,00</w:t>
            </w:r>
          </w:p>
        </w:tc>
      </w:tr>
      <w:tr w:rsidR="00C31B38" w:rsidRPr="00431183" w14:paraId="57B303D9" w14:textId="77777777" w:rsidTr="00AF1E1D">
        <w:trPr>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0738EAEA" w14:textId="499AE685" w:rsidR="00C31B38" w:rsidRPr="00AF1E1D" w:rsidRDefault="009C07E3" w:rsidP="006A61D2">
            <w:pPr>
              <w:rPr>
                <w:rFonts w:ascii="Cambria" w:hAnsi="Cambria"/>
                <w:b w:val="0"/>
                <w:lang w:eastAsia="es-CR"/>
              </w:rPr>
            </w:pPr>
            <w:r w:rsidRPr="00AF1E1D">
              <w:rPr>
                <w:rFonts w:ascii="Cambria" w:hAnsi="Cambria"/>
                <w:b w:val="0"/>
                <w:caps w:val="0"/>
                <w:lang w:eastAsia="es-CR"/>
              </w:rPr>
              <w:t>Renovación</w:t>
            </w:r>
          </w:p>
        </w:tc>
        <w:tc>
          <w:tcPr>
            <w:tcW w:w="3828" w:type="dxa"/>
            <w:noWrap/>
            <w:hideMark/>
          </w:tcPr>
          <w:p w14:paraId="2D98BDB8" w14:textId="77777777" w:rsidR="00C31B38" w:rsidRPr="006A61D2" w:rsidRDefault="00C31B38" w:rsidP="00431183">
            <w:pPr>
              <w:jc w:val="right"/>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es-CR"/>
              </w:rPr>
            </w:pPr>
            <w:r w:rsidRPr="006A61D2">
              <w:rPr>
                <w:rFonts w:ascii="Cambria" w:eastAsia="Times New Roman" w:hAnsi="Cambria" w:cs="Times New Roman"/>
                <w:color w:val="000000"/>
                <w:sz w:val="24"/>
                <w:szCs w:val="24"/>
                <w:lang w:eastAsia="es-CR"/>
              </w:rPr>
              <w:t>₡500.000,00</w:t>
            </w:r>
          </w:p>
        </w:tc>
      </w:tr>
      <w:tr w:rsidR="00C31B38" w:rsidRPr="00431183" w14:paraId="77E7CFC2" w14:textId="77777777" w:rsidTr="00AF1E1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09A78B07" w14:textId="15EC9920" w:rsidR="00C31B38" w:rsidRPr="00AF1E1D" w:rsidRDefault="009C07E3" w:rsidP="006A61D2">
            <w:pPr>
              <w:rPr>
                <w:rFonts w:ascii="Cambria" w:hAnsi="Cambria"/>
                <w:b w:val="0"/>
                <w:lang w:eastAsia="es-CR"/>
              </w:rPr>
            </w:pPr>
            <w:r w:rsidRPr="00AF1E1D">
              <w:rPr>
                <w:rFonts w:ascii="Cambria" w:hAnsi="Cambria"/>
                <w:b w:val="0"/>
                <w:caps w:val="0"/>
                <w:lang w:eastAsia="es-CR"/>
              </w:rPr>
              <w:t>Total</w:t>
            </w:r>
          </w:p>
        </w:tc>
        <w:tc>
          <w:tcPr>
            <w:tcW w:w="3828" w:type="dxa"/>
            <w:noWrap/>
            <w:hideMark/>
          </w:tcPr>
          <w:p w14:paraId="7B8D544C" w14:textId="77777777" w:rsidR="00C31B38" w:rsidRPr="006A61D2" w:rsidRDefault="00C31B38" w:rsidP="00431183">
            <w:pPr>
              <w:jc w:val="right"/>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es-CR"/>
              </w:rPr>
            </w:pPr>
            <w:r w:rsidRPr="006A61D2">
              <w:rPr>
                <w:rFonts w:ascii="Cambria" w:eastAsia="Times New Roman" w:hAnsi="Cambria" w:cs="Times New Roman"/>
                <w:color w:val="000000"/>
                <w:sz w:val="24"/>
                <w:szCs w:val="24"/>
                <w:lang w:eastAsia="es-CR"/>
              </w:rPr>
              <w:t>₡4.800.000,00</w:t>
            </w:r>
          </w:p>
        </w:tc>
      </w:tr>
      <w:tr w:rsidR="00C31B38" w:rsidRPr="00431183" w14:paraId="1BD6EAF1" w14:textId="77777777" w:rsidTr="00AF1E1D">
        <w:trPr>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5A1E3C82" w14:textId="4517675C" w:rsidR="00C31B38" w:rsidRPr="00AF1E1D" w:rsidRDefault="009C07E3" w:rsidP="006A61D2">
            <w:pPr>
              <w:rPr>
                <w:rFonts w:ascii="Cambria" w:hAnsi="Cambria"/>
                <w:b w:val="0"/>
                <w:lang w:eastAsia="es-CR"/>
              </w:rPr>
            </w:pPr>
            <w:r w:rsidRPr="00AF1E1D">
              <w:rPr>
                <w:rFonts w:ascii="Cambria" w:hAnsi="Cambria"/>
                <w:b w:val="0"/>
                <w:caps w:val="0"/>
                <w:lang w:eastAsia="es-CR"/>
              </w:rPr>
              <w:t>Inversión micro beneficio</w:t>
            </w:r>
          </w:p>
        </w:tc>
        <w:tc>
          <w:tcPr>
            <w:tcW w:w="3828" w:type="dxa"/>
            <w:noWrap/>
            <w:hideMark/>
          </w:tcPr>
          <w:p w14:paraId="55042A48" w14:textId="77777777" w:rsidR="00C31B38" w:rsidRPr="006A61D2" w:rsidRDefault="00C31B38" w:rsidP="00431183">
            <w:pPr>
              <w:jc w:val="right"/>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es-CR"/>
              </w:rPr>
            </w:pPr>
            <w:r w:rsidRPr="006A61D2">
              <w:rPr>
                <w:rFonts w:ascii="Cambria" w:eastAsia="Times New Roman" w:hAnsi="Cambria" w:cs="Times New Roman"/>
                <w:color w:val="000000"/>
                <w:sz w:val="24"/>
                <w:szCs w:val="24"/>
                <w:lang w:eastAsia="es-CR"/>
              </w:rPr>
              <w:t>₡15.000.000,00</w:t>
            </w:r>
          </w:p>
        </w:tc>
      </w:tr>
      <w:tr w:rsidR="00C31B38" w:rsidRPr="00431183" w14:paraId="23E89EF7" w14:textId="77777777" w:rsidTr="00AF1E1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1EFFF0C7" w14:textId="217D57DA" w:rsidR="00C31B38" w:rsidRPr="00AF1E1D" w:rsidRDefault="009C07E3" w:rsidP="006A61D2">
            <w:pPr>
              <w:rPr>
                <w:rFonts w:ascii="Cambria" w:hAnsi="Cambria"/>
                <w:b w:val="0"/>
                <w:lang w:eastAsia="es-CR"/>
              </w:rPr>
            </w:pPr>
            <w:r w:rsidRPr="00AF1E1D">
              <w:rPr>
                <w:rFonts w:ascii="Cambria" w:hAnsi="Cambria"/>
                <w:b w:val="0"/>
                <w:caps w:val="0"/>
                <w:lang w:eastAsia="es-CR"/>
              </w:rPr>
              <w:t>Inversión torrefacción</w:t>
            </w:r>
          </w:p>
        </w:tc>
        <w:tc>
          <w:tcPr>
            <w:tcW w:w="3828" w:type="dxa"/>
            <w:noWrap/>
            <w:hideMark/>
          </w:tcPr>
          <w:p w14:paraId="5BC4B1DF" w14:textId="77777777" w:rsidR="00C31B38" w:rsidRPr="006A61D2" w:rsidRDefault="00C31B38" w:rsidP="00431183">
            <w:pPr>
              <w:jc w:val="right"/>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es-CR"/>
              </w:rPr>
            </w:pPr>
            <w:r w:rsidRPr="006A61D2">
              <w:rPr>
                <w:rFonts w:ascii="Cambria" w:eastAsia="Times New Roman" w:hAnsi="Cambria" w:cs="Times New Roman"/>
                <w:color w:val="000000"/>
                <w:sz w:val="24"/>
                <w:szCs w:val="24"/>
                <w:lang w:eastAsia="es-CR"/>
              </w:rPr>
              <w:t>₡7.500.000,00</w:t>
            </w:r>
          </w:p>
        </w:tc>
      </w:tr>
      <w:tr w:rsidR="00C31B38" w:rsidRPr="00431183" w14:paraId="6B833857" w14:textId="77777777" w:rsidTr="00AF1E1D">
        <w:trPr>
          <w:trHeight w:val="315"/>
        </w:trPr>
        <w:tc>
          <w:tcPr>
            <w:cnfStyle w:val="001000000000" w:firstRow="0" w:lastRow="0" w:firstColumn="1" w:lastColumn="0" w:oddVBand="0" w:evenVBand="0" w:oddHBand="0" w:evenHBand="0" w:firstRowFirstColumn="0" w:firstRowLastColumn="0" w:lastRowFirstColumn="0" w:lastRowLastColumn="0"/>
            <w:tcW w:w="5103" w:type="dxa"/>
            <w:tcBorders>
              <w:bottom w:val="single" w:sz="4" w:space="0" w:color="auto"/>
            </w:tcBorders>
            <w:noWrap/>
            <w:hideMark/>
          </w:tcPr>
          <w:p w14:paraId="2E27333D" w14:textId="7F22CA93" w:rsidR="00C31B38" w:rsidRPr="00AF1E1D" w:rsidRDefault="009C07E3" w:rsidP="006A61D2">
            <w:pPr>
              <w:rPr>
                <w:rFonts w:ascii="Cambria" w:hAnsi="Cambria"/>
                <w:b w:val="0"/>
                <w:lang w:eastAsia="es-CR"/>
              </w:rPr>
            </w:pPr>
            <w:r w:rsidRPr="00AF1E1D">
              <w:rPr>
                <w:rFonts w:ascii="Cambria" w:hAnsi="Cambria"/>
                <w:b w:val="0"/>
                <w:caps w:val="0"/>
                <w:lang w:eastAsia="es-CR"/>
              </w:rPr>
              <w:t>Inversión inicial tueste</w:t>
            </w:r>
          </w:p>
        </w:tc>
        <w:tc>
          <w:tcPr>
            <w:tcW w:w="3828" w:type="dxa"/>
            <w:tcBorders>
              <w:bottom w:val="single" w:sz="4" w:space="0" w:color="auto"/>
            </w:tcBorders>
            <w:noWrap/>
            <w:hideMark/>
          </w:tcPr>
          <w:p w14:paraId="30E565E8" w14:textId="77777777" w:rsidR="00C31B38" w:rsidRPr="006A61D2" w:rsidRDefault="00C31B38" w:rsidP="00431183">
            <w:pPr>
              <w:jc w:val="right"/>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es-CR"/>
              </w:rPr>
            </w:pPr>
            <w:r w:rsidRPr="006A61D2">
              <w:rPr>
                <w:rFonts w:ascii="Cambria" w:eastAsia="Times New Roman" w:hAnsi="Cambria" w:cs="Times New Roman"/>
                <w:color w:val="000000"/>
                <w:sz w:val="24"/>
                <w:szCs w:val="24"/>
                <w:lang w:eastAsia="es-CR"/>
              </w:rPr>
              <w:t>₡3.400.000,00</w:t>
            </w:r>
          </w:p>
        </w:tc>
      </w:tr>
    </w:tbl>
    <w:p w14:paraId="24155140" w14:textId="2DE51468" w:rsidR="00C31B38" w:rsidRPr="00431183" w:rsidRDefault="001E0BC0"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datos del Comité de Denominación de Origen Tarrazú y datos suministrados por los productores</w:t>
      </w:r>
      <w:r w:rsidR="004A3F4D">
        <w:rPr>
          <w:rFonts w:ascii="Cambria" w:eastAsiaTheme="minorEastAsia" w:hAnsi="Cambria" w:cs="Arial"/>
          <w:sz w:val="18"/>
          <w:szCs w:val="18"/>
        </w:rPr>
        <w:t>, 2018</w:t>
      </w:r>
    </w:p>
    <w:p w14:paraId="60DAD09A" w14:textId="77777777" w:rsidR="001E0BC0" w:rsidRPr="00431183" w:rsidRDefault="001E0BC0"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De la tabla </w:t>
      </w:r>
      <w:r w:rsidR="00F47E47">
        <w:rPr>
          <w:rFonts w:ascii="Cambria" w:eastAsiaTheme="minorEastAsia" w:hAnsi="Cambria" w:cs="Arial"/>
          <w:sz w:val="24"/>
          <w:szCs w:val="24"/>
        </w:rPr>
        <w:t>2</w:t>
      </w:r>
      <w:r w:rsidRPr="00431183">
        <w:rPr>
          <w:rFonts w:ascii="Cambria" w:eastAsiaTheme="minorEastAsia" w:hAnsi="Cambria" w:cs="Arial"/>
          <w:sz w:val="24"/>
          <w:szCs w:val="24"/>
        </w:rPr>
        <w:t xml:space="preserve"> se derivan las principales inversiones para</w:t>
      </w:r>
      <w:r w:rsidR="00CC6720" w:rsidRPr="00431183">
        <w:rPr>
          <w:rFonts w:ascii="Cambria" w:eastAsiaTheme="minorEastAsia" w:hAnsi="Cambria" w:cs="Arial"/>
          <w:sz w:val="24"/>
          <w:szCs w:val="24"/>
        </w:rPr>
        <w:t xml:space="preserve"> la</w:t>
      </w:r>
      <w:r w:rsidRPr="00431183">
        <w:rPr>
          <w:rFonts w:ascii="Cambria" w:eastAsiaTheme="minorEastAsia" w:hAnsi="Cambria" w:cs="Arial"/>
          <w:sz w:val="24"/>
          <w:szCs w:val="24"/>
        </w:rPr>
        <w:t xml:space="preserve"> denominación a nivel individual, partiendo de la proyección por parte del Comité de Origen Tarrazú, que en los primeros 4 años se espera que entre 100 a 150 productores opten por el distintivo, donde se lleve a cabo todo el proceso de transformación del café, desde la recolección, beneficiado, tueste y comercialización. </w:t>
      </w:r>
    </w:p>
    <w:p w14:paraId="4581814E" w14:textId="77777777" w:rsidR="00CC6720" w:rsidRPr="00431183" w:rsidRDefault="001E0BC0"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Lo anterior implica una inversión aproximada por productor de</w:t>
      </w:r>
      <w:r w:rsidRPr="00431183">
        <w:rPr>
          <w:rFonts w:ascii="Cambria" w:eastAsiaTheme="minorEastAsia" w:hAnsi="Cambria" w:cs="Arial"/>
          <w:b/>
          <w:sz w:val="24"/>
          <w:szCs w:val="24"/>
        </w:rPr>
        <w:t xml:space="preserve"> ₡30.700.000,00</w:t>
      </w:r>
      <w:r w:rsidRPr="00431183">
        <w:rPr>
          <w:rFonts w:ascii="Cambria" w:eastAsiaTheme="minorEastAsia" w:hAnsi="Cambria" w:cs="Arial"/>
          <w:sz w:val="24"/>
          <w:szCs w:val="24"/>
        </w:rPr>
        <w:t xml:space="preserve"> para un monto total a financiar de </w:t>
      </w:r>
      <w:r w:rsidRPr="00431183">
        <w:rPr>
          <w:rFonts w:ascii="Cambria" w:eastAsiaTheme="minorEastAsia" w:hAnsi="Cambria" w:cs="Arial"/>
          <w:b/>
          <w:sz w:val="24"/>
          <w:szCs w:val="24"/>
        </w:rPr>
        <w:t>₡3.070.000.000</w:t>
      </w:r>
      <w:r w:rsidRPr="00431183">
        <w:rPr>
          <w:rFonts w:ascii="Cambria" w:eastAsiaTheme="minorEastAsia" w:hAnsi="Cambria" w:cs="Arial"/>
          <w:sz w:val="24"/>
          <w:szCs w:val="24"/>
        </w:rPr>
        <w:t xml:space="preserve"> millones de colones respectivamente, únicamente para el caso en que se apodere de toda la cadena de </w:t>
      </w:r>
      <w:r w:rsidR="00CC6720" w:rsidRPr="00431183">
        <w:rPr>
          <w:rFonts w:ascii="Cambria" w:eastAsiaTheme="minorEastAsia" w:hAnsi="Cambria" w:cs="Arial"/>
          <w:sz w:val="24"/>
          <w:szCs w:val="24"/>
        </w:rPr>
        <w:t>transformación</w:t>
      </w:r>
      <w:r w:rsidRPr="00431183">
        <w:rPr>
          <w:rFonts w:ascii="Cambria" w:eastAsiaTheme="minorEastAsia" w:hAnsi="Cambria" w:cs="Arial"/>
          <w:sz w:val="24"/>
          <w:szCs w:val="24"/>
        </w:rPr>
        <w:t>, y su rentabilidad está sujeta a la calidad observada en la finca y a la negociación obtenida de su producción</w:t>
      </w:r>
      <w:r w:rsidR="00CC6720" w:rsidRPr="00431183">
        <w:rPr>
          <w:rFonts w:ascii="Cambria" w:eastAsiaTheme="minorEastAsia" w:hAnsi="Cambria" w:cs="Arial"/>
          <w:sz w:val="24"/>
          <w:szCs w:val="24"/>
        </w:rPr>
        <w:t>.</w:t>
      </w:r>
    </w:p>
    <w:p w14:paraId="144A739E" w14:textId="77777777" w:rsidR="00251BA7" w:rsidRPr="00431183" w:rsidRDefault="001E0BC0" w:rsidP="00431183">
      <w:pPr>
        <w:spacing w:line="240" w:lineRule="auto"/>
        <w:ind w:firstLine="708"/>
        <w:jc w:val="both"/>
        <w:rPr>
          <w:rFonts w:ascii="Cambria" w:eastAsia="Times New Roman" w:hAnsi="Cambria" w:cs="Times New Roman"/>
          <w:color w:val="000000"/>
          <w:sz w:val="24"/>
          <w:szCs w:val="24"/>
          <w:lang w:eastAsia="es-CR"/>
        </w:rPr>
      </w:pPr>
      <w:r w:rsidRPr="00431183">
        <w:rPr>
          <w:rFonts w:ascii="Cambria" w:eastAsiaTheme="minorEastAsia" w:hAnsi="Cambria" w:cs="Arial"/>
          <w:sz w:val="24"/>
          <w:szCs w:val="24"/>
        </w:rPr>
        <w:t xml:space="preserve">Si se toma el comportamiento observado en la muestra seleccionada para el presente estudio, </w:t>
      </w:r>
      <w:r w:rsidR="00805C03" w:rsidRPr="00431183">
        <w:rPr>
          <w:rFonts w:ascii="Cambria" w:eastAsiaTheme="minorEastAsia" w:hAnsi="Cambria" w:cs="Arial"/>
          <w:sz w:val="24"/>
          <w:szCs w:val="24"/>
        </w:rPr>
        <w:t xml:space="preserve">se esperaría que las inversiones a nivel individual ronden entre los </w:t>
      </w:r>
      <w:r w:rsidR="00805C03" w:rsidRPr="00431183">
        <w:rPr>
          <w:rFonts w:ascii="Cambria" w:eastAsiaTheme="minorEastAsia" w:hAnsi="Cambria" w:cs="Arial"/>
          <w:b/>
          <w:sz w:val="24"/>
          <w:szCs w:val="24"/>
        </w:rPr>
        <w:t>₡14.000.000</w:t>
      </w:r>
      <w:r w:rsidR="00805C03" w:rsidRPr="00431183">
        <w:rPr>
          <w:rFonts w:ascii="Cambria" w:eastAsiaTheme="minorEastAsia" w:hAnsi="Cambria" w:cs="Arial"/>
          <w:sz w:val="24"/>
          <w:szCs w:val="24"/>
        </w:rPr>
        <w:t xml:space="preserve"> a </w:t>
      </w:r>
      <w:r w:rsidR="00805C03" w:rsidRPr="00431183">
        <w:rPr>
          <w:rFonts w:ascii="Cambria" w:eastAsiaTheme="minorEastAsia" w:hAnsi="Cambria" w:cs="Arial"/>
          <w:b/>
          <w:sz w:val="24"/>
          <w:szCs w:val="24"/>
        </w:rPr>
        <w:t>₡15.000.000</w:t>
      </w:r>
      <w:r w:rsidR="00805C03" w:rsidRPr="00431183">
        <w:rPr>
          <w:rFonts w:ascii="Cambria" w:eastAsiaTheme="minorEastAsia" w:hAnsi="Cambria" w:cs="Arial"/>
          <w:sz w:val="24"/>
          <w:szCs w:val="24"/>
        </w:rPr>
        <w:t xml:space="preserve"> millones de colones, lo que implicaría una necesidad de recursos de </w:t>
      </w:r>
      <w:r w:rsidR="00805C03" w:rsidRPr="00431183">
        <w:rPr>
          <w:rFonts w:ascii="Cambria" w:eastAsiaTheme="minorEastAsia" w:hAnsi="Cambria" w:cs="Arial"/>
          <w:b/>
          <w:sz w:val="24"/>
          <w:szCs w:val="24"/>
        </w:rPr>
        <w:t>₡</w:t>
      </w:r>
      <w:r w:rsidR="00805C03" w:rsidRPr="00431183">
        <w:rPr>
          <w:rFonts w:ascii="Cambria" w:eastAsia="Times New Roman" w:hAnsi="Cambria" w:cs="Arial"/>
          <w:b/>
          <w:color w:val="000000"/>
          <w:sz w:val="24"/>
          <w:szCs w:val="24"/>
          <w:lang w:eastAsia="es-CR"/>
        </w:rPr>
        <w:t xml:space="preserve">5700.000.000 de </w:t>
      </w:r>
      <w:r w:rsidR="00805C03" w:rsidRPr="00431183">
        <w:rPr>
          <w:rFonts w:ascii="Cambria" w:eastAsia="Times New Roman" w:hAnsi="Cambria" w:cs="Arial"/>
          <w:color w:val="000000"/>
          <w:sz w:val="24"/>
          <w:szCs w:val="24"/>
          <w:lang w:eastAsia="es-CR"/>
        </w:rPr>
        <w:t>millones de colones en 4 años respectivamente.</w:t>
      </w:r>
      <w:r w:rsidR="00805C03" w:rsidRPr="00431183">
        <w:rPr>
          <w:rFonts w:ascii="Cambria" w:eastAsia="Times New Roman" w:hAnsi="Cambria" w:cs="Arial"/>
          <w:b/>
          <w:color w:val="000000"/>
          <w:sz w:val="24"/>
          <w:szCs w:val="24"/>
          <w:lang w:eastAsia="es-CR"/>
        </w:rPr>
        <w:t xml:space="preserve"> </w:t>
      </w:r>
    </w:p>
    <w:p w14:paraId="0742258E" w14:textId="77777777" w:rsidR="00A204EB" w:rsidRPr="00431183" w:rsidRDefault="00F47E47" w:rsidP="00431183">
      <w:pPr>
        <w:spacing w:line="240" w:lineRule="auto"/>
        <w:jc w:val="both"/>
        <w:rPr>
          <w:rFonts w:ascii="Cambria" w:eastAsiaTheme="minorEastAsia" w:hAnsi="Cambria" w:cs="Arial"/>
          <w:b/>
          <w:sz w:val="24"/>
          <w:szCs w:val="24"/>
        </w:rPr>
      </w:pPr>
      <w:r>
        <w:rPr>
          <w:rFonts w:ascii="Cambria" w:eastAsiaTheme="minorEastAsia" w:hAnsi="Cambria" w:cs="Arial"/>
          <w:b/>
          <w:sz w:val="24"/>
          <w:szCs w:val="24"/>
        </w:rPr>
        <w:lastRenderedPageBreak/>
        <w:t xml:space="preserve">4.2.3 </w:t>
      </w:r>
      <w:r w:rsidR="00A204EB" w:rsidRPr="00431183">
        <w:rPr>
          <w:rFonts w:ascii="Cambria" w:eastAsiaTheme="minorEastAsia" w:hAnsi="Cambria" w:cs="Arial"/>
          <w:b/>
          <w:sz w:val="24"/>
          <w:szCs w:val="24"/>
        </w:rPr>
        <w:t>Aspectos indispensables para Denominación de Origen</w:t>
      </w:r>
      <w:r w:rsidR="00133703">
        <w:rPr>
          <w:rFonts w:ascii="Cambria" w:eastAsiaTheme="minorEastAsia" w:hAnsi="Cambria" w:cs="Arial"/>
          <w:b/>
          <w:sz w:val="24"/>
          <w:szCs w:val="24"/>
        </w:rPr>
        <w:t xml:space="preserve">: Como garantizar los recursos de Banca para Desarrollo </w:t>
      </w:r>
    </w:p>
    <w:p w14:paraId="0FA7720F" w14:textId="77777777" w:rsidR="00A204EB" w:rsidRPr="00431183" w:rsidRDefault="00A204EB"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Tal como se plantea la denominación de Origen para la Zona de los Santos, esta tiene que cumplir con una serie de especificaciones en especial en el tema de calidad,</w:t>
      </w:r>
      <w:r w:rsidR="00500E0E" w:rsidRPr="00431183">
        <w:rPr>
          <w:rFonts w:ascii="Cambria" w:eastAsiaTheme="minorEastAsia" w:hAnsi="Cambria" w:cs="Arial"/>
          <w:sz w:val="24"/>
          <w:szCs w:val="24"/>
        </w:rPr>
        <w:t xml:space="preserve"> </w:t>
      </w:r>
      <w:r w:rsidR="00B10EC9" w:rsidRPr="00431183">
        <w:rPr>
          <w:rFonts w:ascii="Cambria" w:eastAsiaTheme="minorEastAsia" w:hAnsi="Cambria" w:cs="Arial"/>
          <w:sz w:val="24"/>
          <w:szCs w:val="24"/>
        </w:rPr>
        <w:t>condiciones ideales a nivel de</w:t>
      </w:r>
      <w:r w:rsidR="00500E0E" w:rsidRPr="00431183">
        <w:rPr>
          <w:rFonts w:ascii="Cambria" w:eastAsiaTheme="minorEastAsia" w:hAnsi="Cambria" w:cs="Arial"/>
          <w:sz w:val="24"/>
          <w:szCs w:val="24"/>
        </w:rPr>
        <w:t xml:space="preserve"> </w:t>
      </w:r>
      <w:r w:rsidR="00F308AE" w:rsidRPr="00431183">
        <w:rPr>
          <w:rFonts w:ascii="Cambria" w:eastAsiaTheme="minorEastAsia" w:hAnsi="Cambria" w:cs="Arial"/>
          <w:sz w:val="24"/>
          <w:szCs w:val="24"/>
        </w:rPr>
        <w:t>finca,</w:t>
      </w:r>
      <w:r w:rsidRPr="00431183">
        <w:rPr>
          <w:rFonts w:ascii="Cambria" w:eastAsiaTheme="minorEastAsia" w:hAnsi="Cambria" w:cs="Arial"/>
          <w:sz w:val="24"/>
          <w:szCs w:val="24"/>
        </w:rPr>
        <w:t xml:space="preserve"> por consiguiente, un aspecto importante es que cad</w:t>
      </w:r>
      <w:r w:rsidR="00F308AE" w:rsidRPr="00431183">
        <w:rPr>
          <w:rFonts w:ascii="Cambria" w:eastAsiaTheme="minorEastAsia" w:hAnsi="Cambria" w:cs="Arial"/>
          <w:sz w:val="24"/>
          <w:szCs w:val="24"/>
        </w:rPr>
        <w:t xml:space="preserve">a productor conozca la calidad, en especial para identificar el potencial de venta de su producción en mercados específicos de café de alta calidad. </w:t>
      </w:r>
    </w:p>
    <w:p w14:paraId="25CF6924" w14:textId="77777777" w:rsidR="00F308AE" w:rsidRPr="00431183" w:rsidRDefault="00F308AE"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Propiamente al analizar a nivel individual sobre la calidad de café medido por finca, el siguiente</w:t>
      </w:r>
      <w:r w:rsidR="00922A87" w:rsidRPr="00431183">
        <w:rPr>
          <w:rFonts w:ascii="Cambria" w:eastAsiaTheme="minorEastAsia" w:hAnsi="Cambria" w:cs="Arial"/>
          <w:sz w:val="24"/>
          <w:szCs w:val="24"/>
        </w:rPr>
        <w:t xml:space="preserve"> gráfico muestra los resultados</w:t>
      </w:r>
    </w:p>
    <w:p w14:paraId="1052EDB7" w14:textId="484CA768" w:rsidR="00B771EE" w:rsidRPr="00AF1E1D" w:rsidRDefault="00F308AE" w:rsidP="00431183">
      <w:pPr>
        <w:pStyle w:val="Descripcin"/>
        <w:keepNext/>
        <w:jc w:val="both"/>
        <w:rPr>
          <w:rFonts w:ascii="Cambria" w:hAnsi="Cambria" w:cs="Arial"/>
          <w:b/>
          <w:i w:val="0"/>
          <w:color w:val="auto"/>
          <w:sz w:val="22"/>
          <w:szCs w:val="22"/>
        </w:rPr>
      </w:pPr>
      <w:bookmarkStart w:id="100" w:name="_Toc527574659"/>
      <w:r w:rsidRPr="00AF1E1D">
        <w:rPr>
          <w:rFonts w:ascii="Cambria" w:hAnsi="Cambria" w:cs="Arial"/>
          <w:b/>
          <w:i w:val="0"/>
          <w:color w:val="auto"/>
          <w:sz w:val="22"/>
          <w:szCs w:val="22"/>
        </w:rPr>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sidRPr="00AF1E1D">
        <w:rPr>
          <w:rFonts w:ascii="Cambria" w:hAnsi="Cambria" w:cs="Arial"/>
          <w:b/>
          <w:i w:val="0"/>
          <w:noProof/>
          <w:color w:val="auto"/>
          <w:sz w:val="22"/>
          <w:szCs w:val="22"/>
        </w:rPr>
        <w:t>13</w:t>
      </w:r>
      <w:bookmarkEnd w:id="100"/>
      <w:r w:rsidR="005C7CB3" w:rsidRPr="00AF1E1D">
        <w:rPr>
          <w:rFonts w:ascii="Cambria" w:hAnsi="Cambria" w:cs="Arial"/>
          <w:b/>
          <w:i w:val="0"/>
          <w:color w:val="auto"/>
          <w:sz w:val="22"/>
          <w:szCs w:val="22"/>
        </w:rPr>
        <w:fldChar w:fldCharType="end"/>
      </w:r>
      <w:r w:rsidRPr="00AF1E1D">
        <w:rPr>
          <w:rFonts w:ascii="Cambria" w:hAnsi="Cambria" w:cs="Arial"/>
          <w:b/>
          <w:i w:val="0"/>
          <w:color w:val="auto"/>
          <w:sz w:val="22"/>
          <w:szCs w:val="22"/>
        </w:rPr>
        <w:t xml:space="preserve"> </w:t>
      </w:r>
    </w:p>
    <w:p w14:paraId="21014CB1" w14:textId="72610D94" w:rsidR="00F308AE" w:rsidRPr="00AF1E1D" w:rsidRDefault="00F308AE" w:rsidP="00431183">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Conocimiento de la calidad del café según productor.</w:t>
      </w:r>
      <w:r w:rsidR="00B771EE" w:rsidRPr="00AF1E1D">
        <w:rPr>
          <w:rFonts w:ascii="Cambria" w:hAnsi="Cambria" w:cs="Arial"/>
          <w:b/>
          <w:i w:val="0"/>
          <w:color w:val="auto"/>
          <w:sz w:val="22"/>
          <w:szCs w:val="22"/>
        </w:rPr>
        <w:t xml:space="preserve">  Muestra: 380 productores</w:t>
      </w:r>
    </w:p>
    <w:p w14:paraId="49E7E822" w14:textId="77777777" w:rsidR="00F308AE" w:rsidRPr="00431183" w:rsidRDefault="00F308AE" w:rsidP="00AF1E1D">
      <w:pPr>
        <w:spacing w:line="240" w:lineRule="auto"/>
        <w:rPr>
          <w:rFonts w:ascii="Cambria" w:eastAsiaTheme="minorEastAsia" w:hAnsi="Cambria" w:cs="Arial"/>
          <w:sz w:val="24"/>
          <w:szCs w:val="24"/>
        </w:rPr>
      </w:pPr>
      <w:r w:rsidRPr="00431183">
        <w:rPr>
          <w:rFonts w:ascii="Cambria" w:hAnsi="Cambria"/>
          <w:noProof/>
          <w:sz w:val="24"/>
          <w:szCs w:val="24"/>
          <w:lang w:eastAsia="es-CR"/>
        </w:rPr>
        <w:drawing>
          <wp:inline distT="0" distB="0" distL="0" distR="0" wp14:anchorId="7D6D0B6B" wp14:editId="638534B6">
            <wp:extent cx="5655310" cy="2294467"/>
            <wp:effectExtent l="0" t="0" r="2540" b="0"/>
            <wp:docPr id="22" name="Gráfico 22">
              <a:extLst xmlns:a="http://schemas.openxmlformats.org/drawingml/2006/main">
                <a:ext uri="{FF2B5EF4-FFF2-40B4-BE49-F238E27FC236}">
                  <a16:creationId xmlns:a16="http://schemas.microsoft.com/office/drawing/2014/main" id="{333CCC9A-5C15-4168-AA23-78BD05CC9B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0C14547" w14:textId="668B529A" w:rsidR="00F308AE" w:rsidRPr="00431183" w:rsidRDefault="00F308AE" w:rsidP="00431183">
      <w:pPr>
        <w:spacing w:line="240" w:lineRule="auto"/>
        <w:jc w:val="both"/>
        <w:rPr>
          <w:rFonts w:ascii="Cambria" w:eastAsiaTheme="minorEastAsia" w:hAnsi="Cambria" w:cs="Arial"/>
          <w:sz w:val="18"/>
          <w:szCs w:val="18"/>
        </w:rPr>
      </w:pPr>
      <w:r w:rsidRPr="00431183">
        <w:rPr>
          <w:rFonts w:ascii="Cambria" w:eastAsiaTheme="minorEastAsia" w:hAnsi="Cambria" w:cs="Arial"/>
          <w:sz w:val="18"/>
          <w:szCs w:val="18"/>
        </w:rPr>
        <w:t>Fuente: Elaboración propia con base a la información suministrada por los productores de café de la región de los Santos</w:t>
      </w:r>
      <w:r w:rsidR="00B771EE">
        <w:rPr>
          <w:rFonts w:ascii="Cambria" w:eastAsiaTheme="minorEastAsia" w:hAnsi="Cambria" w:cs="Arial"/>
          <w:sz w:val="18"/>
          <w:szCs w:val="18"/>
        </w:rPr>
        <w:t>, 2018.</w:t>
      </w:r>
    </w:p>
    <w:p w14:paraId="718BA854" w14:textId="77777777" w:rsidR="005F3612" w:rsidRDefault="00F308AE"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Se obtiene que un 71% de los productores no conocen la calidad de su propia finca, frente a un 29% que si la conocen y saben qué tipo de café es el que se produce, lo anterior se explica en especial por una necesidad por parte de los productores en catar</w:t>
      </w:r>
      <w:r w:rsidRPr="00431183">
        <w:rPr>
          <w:rStyle w:val="Refdenotaalpie"/>
          <w:rFonts w:ascii="Cambria" w:eastAsiaTheme="minorEastAsia" w:hAnsi="Cambria" w:cs="Arial"/>
          <w:sz w:val="24"/>
          <w:szCs w:val="24"/>
        </w:rPr>
        <w:footnoteReference w:id="10"/>
      </w:r>
      <w:r w:rsidRPr="00431183">
        <w:rPr>
          <w:rFonts w:ascii="Cambria" w:eastAsiaTheme="minorEastAsia" w:hAnsi="Cambria" w:cs="Arial"/>
          <w:sz w:val="24"/>
          <w:szCs w:val="24"/>
        </w:rPr>
        <w:t xml:space="preserve">, debido en especial que solo un 26% de los productores si han realizado el procedimiento. </w:t>
      </w:r>
    </w:p>
    <w:p w14:paraId="15C5A22B" w14:textId="77777777" w:rsidR="00133703" w:rsidRPr="00431183" w:rsidRDefault="00133703"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Es decir, reconocen que Banca para el Desarrollo es un programa que les podría brindar recursos financieros</w:t>
      </w:r>
      <w:r w:rsidR="00CE5D78">
        <w:rPr>
          <w:rFonts w:ascii="Cambria" w:eastAsiaTheme="minorEastAsia" w:hAnsi="Cambria" w:cs="Arial"/>
          <w:sz w:val="24"/>
          <w:szCs w:val="24"/>
        </w:rPr>
        <w:t xml:space="preserve"> para mantener el tema de calidad como se analizo en secciones anteriores, pero existe la limitante de que esta calidad no es medida por los productores, lo que puede limitar el correcto funcionamiento del programa- </w:t>
      </w:r>
    </w:p>
    <w:p w14:paraId="59EB04A4" w14:textId="77777777" w:rsidR="00CC6720" w:rsidRDefault="00CC6720"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Por ende, este aspecto hace que las previsiones de productores que adquieren la denominación de Origen no sea la proyectada, por ende, aunque Sistema de Banca de </w:t>
      </w:r>
      <w:r w:rsidR="00E45B7A" w:rsidRPr="00431183">
        <w:rPr>
          <w:rFonts w:ascii="Cambria" w:eastAsiaTheme="minorEastAsia" w:hAnsi="Cambria" w:cs="Arial"/>
          <w:sz w:val="24"/>
          <w:szCs w:val="24"/>
        </w:rPr>
        <w:lastRenderedPageBreak/>
        <w:t>Desarrollo a</w:t>
      </w:r>
      <w:r w:rsidRPr="00431183">
        <w:rPr>
          <w:rFonts w:ascii="Cambria" w:eastAsiaTheme="minorEastAsia" w:hAnsi="Cambria" w:cs="Arial"/>
          <w:sz w:val="24"/>
          <w:szCs w:val="24"/>
        </w:rPr>
        <w:t xml:space="preserve"> pesar de poseer una estructura no tan flexible ofrezca recursos que no pueden ser aprovechados por los productores de café. </w:t>
      </w:r>
    </w:p>
    <w:p w14:paraId="281DEA2F" w14:textId="77777777" w:rsidR="00CE5D78" w:rsidRPr="00431183" w:rsidRDefault="00CE5D78"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Cuando se refiere a estructura no tan flexible del Sistema de Banca para el Desarrollo, es que este es sometido a las regulaciones financieras de la Superintendencia General de Entidades Financieras, por consiguiente, es necesario un cumplimiento relacionados a riesgos, lo que implica que operaciones económicas asociadas a la producción de café sean consideradas como riesgosas lo que limitaría esa fuente de recursos. </w:t>
      </w:r>
    </w:p>
    <w:p w14:paraId="1EADE86A" w14:textId="77777777" w:rsidR="00251BA7" w:rsidRPr="00431183" w:rsidRDefault="00F308AE"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Otro aspecto que se considera en el análisis es referente al conocimiento por parte de los productores referente a toda la estructura técnica, organizativa, jurídica que implica la denominación de origen</w:t>
      </w:r>
      <w:r w:rsidR="00681529" w:rsidRPr="00431183">
        <w:rPr>
          <w:rFonts w:ascii="Cambria" w:eastAsiaTheme="minorEastAsia" w:hAnsi="Cambria" w:cs="Arial"/>
          <w:sz w:val="24"/>
          <w:szCs w:val="24"/>
        </w:rPr>
        <w:t xml:space="preserve">, por consiguiente, un 84% de la muestra dice si conocer todas las implicaciones que conlleva la denominación de origen frente a un 16% que dicen no conocer las implicaciones jurídicas, económicas, organizativas, entre otras de la denominación de origen. </w:t>
      </w:r>
    </w:p>
    <w:p w14:paraId="10B9EE19" w14:textId="77777777" w:rsidR="00251BA7" w:rsidRDefault="00CC6720"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Es decir, si existe una disposición por parte de los productores en asumir otros roles diferentes a los que tradicionalmente han realizado y financiarlos con recursos provenientes de Banca para el Desarrollo. La gran disyuntiva, es que esto no es viable si los productores no conocen su calidad a nivel de finca debido a que no es común otras actividades como la cata de las fincas. </w:t>
      </w:r>
    </w:p>
    <w:p w14:paraId="58CDD239" w14:textId="3FBF2184" w:rsidR="00251BA7" w:rsidRPr="00431183" w:rsidRDefault="00F47E47" w:rsidP="00AF1E1D">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Cada productor que quiera adquirir el signo distintivo de la Denominación de Origen tiene que iniciar con una serie de procesos de aprendizaje referente a las nuevas técnicas en finca, lo que podría implicar que este tendría que asumir una serie de responsabilidades donde existen otros costos asociados que no son contemplados por parte de la organización o comité de la Denominación de Origen.</w:t>
      </w:r>
    </w:p>
    <w:p w14:paraId="6B06CD1D" w14:textId="1276E4A8" w:rsidR="00681529" w:rsidRPr="00AF1E1D" w:rsidRDefault="00CE5D78" w:rsidP="00AF1E1D">
      <w:pPr>
        <w:pStyle w:val="Prrafodelista"/>
        <w:numPr>
          <w:ilvl w:val="2"/>
          <w:numId w:val="1"/>
        </w:numPr>
        <w:spacing w:line="240" w:lineRule="auto"/>
        <w:jc w:val="both"/>
        <w:rPr>
          <w:rFonts w:ascii="Cambria" w:eastAsiaTheme="minorEastAsia" w:hAnsi="Cambria" w:cs="Arial"/>
          <w:b/>
          <w:sz w:val="24"/>
          <w:szCs w:val="24"/>
        </w:rPr>
      </w:pPr>
      <w:r w:rsidRPr="00AF1E1D">
        <w:rPr>
          <w:rFonts w:ascii="Cambria" w:eastAsiaTheme="minorEastAsia" w:hAnsi="Cambria" w:cs="Arial"/>
          <w:b/>
          <w:sz w:val="24"/>
          <w:szCs w:val="24"/>
        </w:rPr>
        <w:t xml:space="preserve">Banca para el Desarrollo y </w:t>
      </w:r>
      <w:r w:rsidR="00681529" w:rsidRPr="00AF1E1D">
        <w:rPr>
          <w:rFonts w:ascii="Cambria" w:eastAsiaTheme="minorEastAsia" w:hAnsi="Cambria" w:cs="Arial"/>
          <w:b/>
          <w:sz w:val="24"/>
          <w:szCs w:val="24"/>
        </w:rPr>
        <w:t xml:space="preserve">Denominación de </w:t>
      </w:r>
      <w:r w:rsidR="00922A87" w:rsidRPr="00AF1E1D">
        <w:rPr>
          <w:rFonts w:ascii="Cambria" w:eastAsiaTheme="minorEastAsia" w:hAnsi="Cambria" w:cs="Arial"/>
          <w:b/>
          <w:sz w:val="24"/>
          <w:szCs w:val="24"/>
        </w:rPr>
        <w:t>Origen Tarrazú</w:t>
      </w:r>
      <w:r w:rsidRPr="00AF1E1D">
        <w:rPr>
          <w:rFonts w:ascii="Cambria" w:eastAsiaTheme="minorEastAsia" w:hAnsi="Cambria" w:cs="Arial"/>
          <w:b/>
          <w:sz w:val="24"/>
          <w:szCs w:val="24"/>
        </w:rPr>
        <w:t xml:space="preserve">, otras contribuciones: Valoración cuantitativa de marca </w:t>
      </w:r>
    </w:p>
    <w:p w14:paraId="34146004" w14:textId="77777777" w:rsidR="007D04E3" w:rsidRPr="00AF1E1D" w:rsidRDefault="007D04E3" w:rsidP="00AF1E1D">
      <w:pPr>
        <w:spacing w:line="240" w:lineRule="auto"/>
        <w:ind w:firstLine="360"/>
        <w:jc w:val="both"/>
        <w:rPr>
          <w:rFonts w:ascii="Cambria" w:eastAsiaTheme="minorEastAsia" w:hAnsi="Cambria" w:cs="Arial"/>
          <w:sz w:val="24"/>
          <w:szCs w:val="24"/>
        </w:rPr>
      </w:pPr>
      <w:r w:rsidRPr="00AF1E1D">
        <w:rPr>
          <w:rFonts w:ascii="Cambria" w:eastAsiaTheme="minorEastAsia" w:hAnsi="Cambria" w:cs="Arial"/>
          <w:sz w:val="24"/>
          <w:szCs w:val="24"/>
        </w:rPr>
        <w:t>Para el caso de la denominación de origen y su impacto en la Zona de los Santos, se aplica una medición mediante metodologías, que cuantifican el valor de la marca en el tiempo.</w:t>
      </w:r>
    </w:p>
    <w:p w14:paraId="0CB452FF" w14:textId="77777777" w:rsidR="007D04E3" w:rsidRPr="00AF1E1D" w:rsidRDefault="007D04E3" w:rsidP="00AF1E1D">
      <w:pPr>
        <w:spacing w:line="240" w:lineRule="auto"/>
        <w:ind w:firstLine="708"/>
        <w:jc w:val="both"/>
        <w:rPr>
          <w:rFonts w:ascii="Cambria" w:eastAsiaTheme="minorEastAsia" w:hAnsi="Cambria" w:cs="Arial"/>
          <w:sz w:val="24"/>
          <w:szCs w:val="24"/>
        </w:rPr>
      </w:pPr>
      <w:r w:rsidRPr="00AF1E1D">
        <w:rPr>
          <w:rFonts w:ascii="Cambria" w:eastAsiaTheme="minorEastAsia" w:hAnsi="Cambria" w:cs="Arial"/>
          <w:sz w:val="24"/>
          <w:szCs w:val="24"/>
        </w:rPr>
        <w:t>A lo largo del tiempo han surgido muchas definiciones referentes al uso de un distintivo para diferenciar una producción, autores como Aaker (1991) define un distintivo como “un conjunto de activos y pasivos ligados a una marca, su nombre y su símbolo, que añaden o restan al valor aportado por un producto o servicio.</w:t>
      </w:r>
    </w:p>
    <w:p w14:paraId="7CE0B66F" w14:textId="77777777" w:rsidR="007D04E3" w:rsidRPr="00AF1E1D" w:rsidRDefault="007D04E3" w:rsidP="00AF1E1D">
      <w:pPr>
        <w:spacing w:line="240" w:lineRule="auto"/>
        <w:ind w:firstLine="708"/>
        <w:jc w:val="both"/>
        <w:rPr>
          <w:rFonts w:ascii="Cambria" w:eastAsiaTheme="minorEastAsia" w:hAnsi="Cambria" w:cs="Arial"/>
          <w:sz w:val="24"/>
          <w:szCs w:val="24"/>
        </w:rPr>
      </w:pPr>
      <w:r w:rsidRPr="00AF1E1D">
        <w:rPr>
          <w:rFonts w:ascii="Cambria" w:eastAsiaTheme="minorEastAsia" w:hAnsi="Cambria" w:cs="Arial"/>
          <w:sz w:val="24"/>
          <w:szCs w:val="24"/>
        </w:rPr>
        <w:t>Según Leuthesser (1995), la marca es “el valor adicional de un producto respecto del que tendría otro producto idéntico sin la marca”. Para el Marketing Science Institute (1998), la marca es “la ventaja competitiva fuerte, sostenible y diferenciada respecto a los competidores que se traduce en un mayor volumen o un mayor margen de la empresa respecto a la situación que tendría sin la marca; este volumen o margen diferencial se debe al comportamiento de los consumidores, del canal de distribución y de las propias empresas”.</w:t>
      </w:r>
    </w:p>
    <w:p w14:paraId="53C3AA32" w14:textId="77777777" w:rsidR="007D04E3" w:rsidRPr="00AF1E1D" w:rsidRDefault="007D04E3" w:rsidP="00AF1E1D">
      <w:pPr>
        <w:spacing w:line="240" w:lineRule="auto"/>
        <w:ind w:firstLine="708"/>
        <w:jc w:val="both"/>
        <w:rPr>
          <w:rFonts w:ascii="Cambria" w:eastAsiaTheme="minorEastAsia" w:hAnsi="Cambria" w:cs="Arial"/>
          <w:sz w:val="24"/>
          <w:szCs w:val="24"/>
        </w:rPr>
      </w:pPr>
      <w:r w:rsidRPr="00AF1E1D">
        <w:rPr>
          <w:rFonts w:ascii="Cambria" w:eastAsiaTheme="minorEastAsia" w:hAnsi="Cambria" w:cs="Arial"/>
          <w:sz w:val="24"/>
          <w:szCs w:val="24"/>
        </w:rPr>
        <w:lastRenderedPageBreak/>
        <w:t xml:space="preserve">Lo cierto del caso es que en el entorno competitivo actual la DO es considerada como el activo comercial e institucional más importante para diferenciarse en los mercados principalmente en los más especializados. En el mundo globalizado en el que vivimos actualmente es indispensable para los empresarios conocer cómo se logran marcas fuertes y estables en el tiempo, de ahí la importancia de esta investigación  como un aporte a la Denominación de Origen del café de Tarrazú. </w:t>
      </w:r>
    </w:p>
    <w:p w14:paraId="494C8566" w14:textId="0B3E5373" w:rsidR="007D04E3" w:rsidRPr="00AF1E1D" w:rsidRDefault="007D04E3" w:rsidP="00AF1E1D">
      <w:pPr>
        <w:spacing w:line="240" w:lineRule="auto"/>
        <w:ind w:firstLine="708"/>
        <w:jc w:val="both"/>
        <w:rPr>
          <w:rFonts w:ascii="Cambria" w:eastAsiaTheme="minorEastAsia" w:hAnsi="Cambria" w:cs="Arial"/>
          <w:sz w:val="24"/>
          <w:szCs w:val="24"/>
        </w:rPr>
      </w:pPr>
      <w:r w:rsidRPr="00AF1E1D">
        <w:rPr>
          <w:rFonts w:ascii="Cambria" w:eastAsiaTheme="minorEastAsia" w:hAnsi="Cambria" w:cs="Arial"/>
          <w:sz w:val="24"/>
          <w:szCs w:val="24"/>
        </w:rPr>
        <w:t xml:space="preserve">Para el caso de la denominación de origen Tarrazú se construye toda una valoración con el objeto de definir el aporte de instrumentos financieros como Banca para el Desarrollo al iniciativo de distinguir el café que es producido en la región de los Santos.  </w:t>
      </w:r>
    </w:p>
    <w:p w14:paraId="05A811E1" w14:textId="3CCE4492" w:rsidR="008A1192" w:rsidRPr="00AF1E1D" w:rsidRDefault="008A1192" w:rsidP="00AF1E1D">
      <w:pPr>
        <w:pStyle w:val="Prrafodelista"/>
        <w:numPr>
          <w:ilvl w:val="3"/>
          <w:numId w:val="1"/>
        </w:numPr>
        <w:spacing w:line="240" w:lineRule="auto"/>
        <w:ind w:left="284" w:hanging="284"/>
        <w:jc w:val="both"/>
        <w:rPr>
          <w:rFonts w:ascii="Cambria" w:hAnsi="Cambria" w:cs="Arial"/>
          <w:b/>
          <w:sz w:val="24"/>
          <w:szCs w:val="24"/>
        </w:rPr>
      </w:pPr>
      <w:r w:rsidRPr="00AF1E1D">
        <w:rPr>
          <w:rFonts w:ascii="Cambria" w:hAnsi="Cambria" w:cs="Arial"/>
          <w:b/>
          <w:sz w:val="24"/>
          <w:szCs w:val="24"/>
        </w:rPr>
        <w:t>Valoración de la marca</w:t>
      </w:r>
      <w:r w:rsidR="00922A87" w:rsidRPr="00AF1E1D">
        <w:rPr>
          <w:rFonts w:ascii="Cambria" w:hAnsi="Cambria" w:cs="Arial"/>
          <w:b/>
          <w:sz w:val="24"/>
          <w:szCs w:val="24"/>
        </w:rPr>
        <w:t xml:space="preserve"> denominación de origen Tarrazú:</w:t>
      </w:r>
      <w:r w:rsidRPr="00AF1E1D">
        <w:rPr>
          <w:rFonts w:ascii="Cambria" w:hAnsi="Cambria" w:cs="Arial"/>
          <w:b/>
          <w:sz w:val="24"/>
          <w:szCs w:val="24"/>
        </w:rPr>
        <w:t xml:space="preserve"> “para quién” y “para qué”</w:t>
      </w:r>
    </w:p>
    <w:p w14:paraId="36592B50" w14:textId="77777777" w:rsidR="002804D0" w:rsidRDefault="002804D0" w:rsidP="002804D0">
      <w:pPr>
        <w:spacing w:line="240" w:lineRule="auto"/>
        <w:ind w:firstLine="708"/>
        <w:jc w:val="both"/>
        <w:rPr>
          <w:rFonts w:ascii="Cambria" w:hAnsi="Cambria" w:cs="Arial"/>
          <w:sz w:val="24"/>
          <w:szCs w:val="24"/>
        </w:rPr>
      </w:pPr>
      <w:r w:rsidRPr="00AF1E1D">
        <w:rPr>
          <w:rFonts w:ascii="Cambria" w:hAnsi="Cambria" w:cs="Arial"/>
          <w:sz w:val="24"/>
          <w:szCs w:val="24"/>
        </w:rPr>
        <w:t xml:space="preserve">En el proceso de valoración de una marca, como un distintivo tiene una importante relevancia el realizar la pregunta “para quién” se determina ese valor, pues no es lo mismo el valor de la marca de un productor de una finca especifica con una marca competidora de café, o para otro productor del sector con marca no directamente competidora. </w:t>
      </w:r>
    </w:p>
    <w:p w14:paraId="31016C93" w14:textId="544A02C5" w:rsidR="002804D0" w:rsidRPr="00AF1E1D" w:rsidRDefault="002804D0" w:rsidP="00AF1E1D">
      <w:pPr>
        <w:spacing w:line="240" w:lineRule="auto"/>
        <w:ind w:firstLine="708"/>
        <w:jc w:val="both"/>
        <w:rPr>
          <w:rFonts w:ascii="Cambria" w:hAnsi="Cambria" w:cs="Arial"/>
          <w:sz w:val="24"/>
          <w:szCs w:val="24"/>
        </w:rPr>
      </w:pPr>
      <w:r w:rsidRPr="00AF1E1D">
        <w:rPr>
          <w:rFonts w:ascii="Cambria" w:hAnsi="Cambria" w:cs="Arial"/>
          <w:sz w:val="24"/>
          <w:szCs w:val="24"/>
        </w:rPr>
        <w:t>De igual forma, es de vital importancia concretar el “para qué”, se quiere determinar el valor de una Denominación de Origen, si es para su venta o bien para cobrar una serie de royalties, o como un elemento de ayuda en la gestión de la propia marca, o para activar su valor en el balance y poder amortizarlo después.</w:t>
      </w:r>
    </w:p>
    <w:p w14:paraId="1EAF13F4" w14:textId="77777777" w:rsidR="002804D0" w:rsidRPr="00AF1E1D" w:rsidRDefault="002804D0" w:rsidP="00AF1E1D">
      <w:pPr>
        <w:spacing w:line="240" w:lineRule="auto"/>
        <w:ind w:firstLine="708"/>
        <w:jc w:val="both"/>
        <w:rPr>
          <w:rFonts w:ascii="Cambria" w:hAnsi="Cambria" w:cs="Arial"/>
          <w:sz w:val="24"/>
          <w:szCs w:val="24"/>
        </w:rPr>
      </w:pPr>
      <w:r w:rsidRPr="00AF1E1D">
        <w:rPr>
          <w:rFonts w:ascii="Cambria" w:hAnsi="Cambria" w:cs="Arial"/>
          <w:sz w:val="24"/>
          <w:szCs w:val="24"/>
        </w:rPr>
        <w:t xml:space="preserve">El proceso de valoración de la marca como la Denominación de Origen del café de Tarrazú, contribuye a aumentar la información que sobre la propia marca tiene el productor y ha de estar desarrollado para servir como una herramienta gerencial para crear valor. </w:t>
      </w:r>
    </w:p>
    <w:p w14:paraId="3D9D40BC" w14:textId="77777777" w:rsidR="002804D0" w:rsidRPr="00AF1E1D" w:rsidRDefault="002804D0" w:rsidP="00AF1E1D">
      <w:pPr>
        <w:spacing w:line="240" w:lineRule="auto"/>
        <w:ind w:firstLine="708"/>
        <w:jc w:val="both"/>
        <w:rPr>
          <w:rFonts w:ascii="Cambria" w:hAnsi="Cambria" w:cs="Arial"/>
          <w:sz w:val="24"/>
          <w:szCs w:val="24"/>
        </w:rPr>
      </w:pPr>
      <w:r w:rsidRPr="00AF1E1D">
        <w:rPr>
          <w:rFonts w:ascii="Cambria" w:hAnsi="Cambria" w:cs="Arial"/>
          <w:sz w:val="24"/>
          <w:szCs w:val="24"/>
        </w:rPr>
        <w:t xml:space="preserve">Por consiguiente, un proceso de valoración de la marca es una herramienta que ayuda a mantener una estrategia coherente para el productor y que le contribuirá a generar impactos positivos con su producción al largo plazo, con la finalidad de asignar los recursos financieros de manera óptima. </w:t>
      </w:r>
    </w:p>
    <w:p w14:paraId="54C93A42" w14:textId="77777777" w:rsidR="002804D0" w:rsidRPr="00AF1E1D" w:rsidRDefault="002804D0" w:rsidP="00AF1E1D">
      <w:pPr>
        <w:spacing w:line="240" w:lineRule="auto"/>
        <w:ind w:firstLine="708"/>
        <w:jc w:val="both"/>
        <w:rPr>
          <w:rFonts w:ascii="Cambria" w:hAnsi="Cambria" w:cs="Arial"/>
          <w:sz w:val="24"/>
          <w:szCs w:val="24"/>
        </w:rPr>
      </w:pPr>
      <w:r w:rsidRPr="00AF1E1D">
        <w:rPr>
          <w:rFonts w:ascii="Cambria" w:hAnsi="Cambria" w:cs="Arial"/>
          <w:sz w:val="24"/>
          <w:szCs w:val="24"/>
        </w:rPr>
        <w:t>También se realiza la valoración de la denominación de origen Tarrazú, para justificar precios de transferencia y costos asociados de su uso, con el objetivo de determinar qué parte de lo que antiguamente se contabilizaba como fondo de comercio, corresponde a marca, patentes u otros activos intangibles, en este caso la información que contienen las cooperativas y el propio Comité de Denominación de Origen es fundamental.</w:t>
      </w:r>
    </w:p>
    <w:p w14:paraId="46CCE2EC" w14:textId="77777777" w:rsidR="002804D0" w:rsidRPr="00AF1E1D" w:rsidRDefault="002804D0" w:rsidP="00AF1E1D">
      <w:pPr>
        <w:spacing w:line="240" w:lineRule="auto"/>
        <w:ind w:firstLine="708"/>
        <w:jc w:val="both"/>
        <w:rPr>
          <w:rFonts w:ascii="Cambria" w:hAnsi="Cambria" w:cs="Arial"/>
          <w:sz w:val="24"/>
          <w:szCs w:val="24"/>
        </w:rPr>
      </w:pPr>
      <w:r w:rsidRPr="00AF1E1D">
        <w:rPr>
          <w:rFonts w:ascii="Cambria" w:hAnsi="Cambria" w:cs="Arial"/>
          <w:sz w:val="24"/>
          <w:szCs w:val="24"/>
        </w:rPr>
        <w:t xml:space="preserve">Una marca se puede considerar como un activo que proporciona en el momento actual unos márgenes por unidad superior a los del producto sin marca, tal como lo plantea la Denominación Tarrazú y un volumen diferencial, y que, además, proporciona al productor opciones reales de crecimiento futuro. Estas opciones reales pueden ser de crecimiento geográfico, de crecimiento por utilización de nuevos canales de distribución, de crecimiento por diferenciación adicional, de crecimiento por utilización </w:t>
      </w:r>
      <w:r w:rsidRPr="00AF1E1D">
        <w:rPr>
          <w:rFonts w:ascii="Cambria" w:hAnsi="Cambria" w:cs="Arial"/>
          <w:sz w:val="24"/>
          <w:szCs w:val="24"/>
        </w:rPr>
        <w:lastRenderedPageBreak/>
        <w:t>de nuevos formatos, de crecimiento por posibilidad de acceso a otros segmentos del mercado, de abandono facilitado por la utilización de franquicias.</w:t>
      </w:r>
    </w:p>
    <w:p w14:paraId="3D2A559F" w14:textId="77777777" w:rsidR="002804D0" w:rsidRPr="00AF1E1D" w:rsidRDefault="002804D0" w:rsidP="00AF1E1D">
      <w:pPr>
        <w:spacing w:line="240" w:lineRule="auto"/>
        <w:ind w:firstLine="708"/>
        <w:jc w:val="both"/>
        <w:rPr>
          <w:rFonts w:ascii="Cambria" w:hAnsi="Cambria" w:cs="Arial"/>
          <w:sz w:val="24"/>
          <w:szCs w:val="24"/>
        </w:rPr>
      </w:pPr>
      <w:r w:rsidRPr="00AF1E1D">
        <w:rPr>
          <w:rFonts w:ascii="Cambria" w:hAnsi="Cambria" w:cs="Arial"/>
          <w:sz w:val="24"/>
          <w:szCs w:val="24"/>
        </w:rPr>
        <w:t>Para una adecuada gestión de la marca con Denominación de Origen, es importante tener presentes las opciones reales que le proporciona para tomar decisiones que incrementen el valor de dichas opciones. Esto sólo puede hacerse con un correcto análisis del largo plazo, porque las decisiones que afectan al valor de las opciones reales han de tomarse antes (en ocasiones varios años antes) del ejercicio de las opciones.</w:t>
      </w:r>
    </w:p>
    <w:p w14:paraId="2AB4ECA4" w14:textId="77777777" w:rsidR="002804D0" w:rsidRPr="00AF1E1D" w:rsidRDefault="002804D0" w:rsidP="00AF1E1D">
      <w:pPr>
        <w:spacing w:line="240" w:lineRule="auto"/>
        <w:jc w:val="both"/>
        <w:rPr>
          <w:rFonts w:ascii="Cambria" w:hAnsi="Cambria" w:cs="Arial"/>
          <w:b/>
          <w:sz w:val="24"/>
          <w:szCs w:val="24"/>
        </w:rPr>
      </w:pPr>
    </w:p>
    <w:p w14:paraId="19D83E01" w14:textId="77777777" w:rsidR="008A1192" w:rsidRPr="00431183" w:rsidRDefault="00C64C70" w:rsidP="00431183">
      <w:pPr>
        <w:spacing w:line="240" w:lineRule="auto"/>
        <w:jc w:val="both"/>
        <w:rPr>
          <w:rFonts w:ascii="Cambria" w:hAnsi="Cambria" w:cs="Arial"/>
          <w:b/>
          <w:sz w:val="24"/>
          <w:szCs w:val="24"/>
        </w:rPr>
      </w:pPr>
      <w:r>
        <w:rPr>
          <w:rFonts w:ascii="Cambria" w:hAnsi="Cambria" w:cs="Arial"/>
          <w:b/>
          <w:sz w:val="24"/>
          <w:szCs w:val="24"/>
        </w:rPr>
        <w:t xml:space="preserve">4.2.4.2 </w:t>
      </w:r>
      <w:r w:rsidR="008A1192" w:rsidRPr="00431183">
        <w:rPr>
          <w:rFonts w:ascii="Cambria" w:hAnsi="Cambria" w:cs="Arial"/>
          <w:b/>
          <w:sz w:val="24"/>
          <w:szCs w:val="24"/>
        </w:rPr>
        <w:t>Valoración de Activos Intangibles Identificados (Denominación de Origen del Café Tarrazú)</w:t>
      </w:r>
    </w:p>
    <w:p w14:paraId="17CF628A" w14:textId="60A950EC" w:rsidR="008A1192" w:rsidRDefault="008A1192" w:rsidP="00431183">
      <w:pPr>
        <w:spacing w:line="240" w:lineRule="auto"/>
        <w:jc w:val="both"/>
        <w:rPr>
          <w:rFonts w:ascii="Cambria" w:hAnsi="Cambria" w:cs="Arial"/>
          <w:b/>
          <w:sz w:val="24"/>
          <w:szCs w:val="24"/>
        </w:rPr>
      </w:pPr>
      <w:r w:rsidRPr="00431183">
        <w:rPr>
          <w:rFonts w:ascii="Cambria" w:hAnsi="Cambria" w:cs="Arial"/>
          <w:b/>
          <w:sz w:val="24"/>
          <w:szCs w:val="24"/>
        </w:rPr>
        <w:t>Definición de Marca en la Investigación de la Denominación de Origen del café de Tarrazú</w:t>
      </w:r>
    </w:p>
    <w:p w14:paraId="3DB8CB8F" w14:textId="77777777" w:rsidR="002804D0" w:rsidRPr="00431183" w:rsidRDefault="002804D0" w:rsidP="002804D0">
      <w:pPr>
        <w:spacing w:line="240" w:lineRule="auto"/>
        <w:ind w:firstLine="708"/>
        <w:jc w:val="both"/>
        <w:rPr>
          <w:rFonts w:ascii="Cambria" w:hAnsi="Cambria" w:cs="Arial"/>
          <w:sz w:val="24"/>
          <w:szCs w:val="24"/>
        </w:rPr>
      </w:pPr>
      <w:r w:rsidRPr="00431183">
        <w:rPr>
          <w:rFonts w:ascii="Cambria" w:hAnsi="Cambria" w:cs="Arial"/>
          <w:sz w:val="24"/>
          <w:szCs w:val="24"/>
        </w:rPr>
        <w:t xml:space="preserve">Para está investigación se define una </w:t>
      </w:r>
      <w:r>
        <w:rPr>
          <w:rFonts w:ascii="Cambria" w:hAnsi="Cambria" w:cs="Arial"/>
          <w:sz w:val="24"/>
          <w:szCs w:val="24"/>
        </w:rPr>
        <w:t>m</w:t>
      </w:r>
      <w:r w:rsidRPr="00431183">
        <w:rPr>
          <w:rFonts w:ascii="Cambria" w:hAnsi="Cambria" w:cs="Arial"/>
          <w:sz w:val="24"/>
          <w:szCs w:val="24"/>
        </w:rPr>
        <w:t>arca como cualquier palabra, nombre, símbolo, o combinación de estos, adoptado y utilizado por una compañía para identificar y dirigir el negocio, los bienes</w:t>
      </w:r>
      <w:r>
        <w:rPr>
          <w:rFonts w:ascii="Cambria" w:hAnsi="Cambria" w:cs="Arial"/>
          <w:sz w:val="24"/>
          <w:szCs w:val="24"/>
        </w:rPr>
        <w:t xml:space="preserve"> </w:t>
      </w:r>
      <w:r w:rsidRPr="00431183">
        <w:rPr>
          <w:rFonts w:ascii="Cambria" w:hAnsi="Cambria" w:cs="Arial"/>
          <w:sz w:val="24"/>
          <w:szCs w:val="24"/>
        </w:rPr>
        <w:t xml:space="preserve">o servicios ofrecidos y </w:t>
      </w:r>
      <w:r>
        <w:rPr>
          <w:rFonts w:ascii="Cambria" w:hAnsi="Cambria" w:cs="Arial"/>
          <w:sz w:val="24"/>
          <w:szCs w:val="24"/>
        </w:rPr>
        <w:t xml:space="preserve">que son utilizados </w:t>
      </w:r>
      <w:r w:rsidRPr="00431183">
        <w:rPr>
          <w:rFonts w:ascii="Cambria" w:hAnsi="Cambria" w:cs="Arial"/>
          <w:sz w:val="24"/>
          <w:szCs w:val="24"/>
        </w:rPr>
        <w:t>para distinguirse de los competidores. El dueño de una marca tiene un derecho legal</w:t>
      </w:r>
      <w:r>
        <w:rPr>
          <w:rFonts w:ascii="Cambria" w:hAnsi="Cambria" w:cs="Arial"/>
          <w:sz w:val="24"/>
          <w:szCs w:val="24"/>
        </w:rPr>
        <w:t xml:space="preserve"> sobre esta, </w:t>
      </w:r>
      <w:r w:rsidRPr="00431183">
        <w:rPr>
          <w:rFonts w:ascii="Cambria" w:hAnsi="Cambria" w:cs="Arial"/>
          <w:sz w:val="24"/>
          <w:szCs w:val="24"/>
        </w:rPr>
        <w:t xml:space="preserve"> para prevenir </w:t>
      </w:r>
      <w:r>
        <w:rPr>
          <w:rFonts w:ascii="Cambria" w:hAnsi="Cambria" w:cs="Arial"/>
          <w:sz w:val="24"/>
          <w:szCs w:val="24"/>
        </w:rPr>
        <w:t>que los</w:t>
      </w:r>
      <w:r w:rsidRPr="00431183">
        <w:rPr>
          <w:rFonts w:ascii="Cambria" w:hAnsi="Cambria" w:cs="Arial"/>
          <w:sz w:val="24"/>
          <w:szCs w:val="24"/>
        </w:rPr>
        <w:t xml:space="preserve"> competidores </w:t>
      </w:r>
      <w:r>
        <w:rPr>
          <w:rFonts w:ascii="Cambria" w:hAnsi="Cambria" w:cs="Arial"/>
          <w:sz w:val="24"/>
          <w:szCs w:val="24"/>
        </w:rPr>
        <w:t>utilicen</w:t>
      </w:r>
      <w:r w:rsidRPr="00431183">
        <w:rPr>
          <w:rFonts w:ascii="Cambria" w:hAnsi="Cambria" w:cs="Arial"/>
          <w:sz w:val="24"/>
          <w:szCs w:val="24"/>
        </w:rPr>
        <w:t xml:space="preserve"> el nombre o una marca similar de manera que sea posible causar confusión en la mente del consumidor, evitando así una competencia desleal. </w:t>
      </w:r>
    </w:p>
    <w:p w14:paraId="75660882" w14:textId="77777777" w:rsidR="002804D0" w:rsidRPr="00431183" w:rsidRDefault="002804D0" w:rsidP="002804D0">
      <w:pPr>
        <w:spacing w:line="240" w:lineRule="auto"/>
        <w:ind w:firstLine="708"/>
        <w:jc w:val="both"/>
        <w:rPr>
          <w:rFonts w:ascii="Cambria" w:hAnsi="Cambria" w:cs="Arial"/>
          <w:sz w:val="24"/>
          <w:szCs w:val="24"/>
        </w:rPr>
      </w:pPr>
      <w:r w:rsidRPr="00431183">
        <w:rPr>
          <w:rFonts w:ascii="Cambria" w:hAnsi="Cambria" w:cs="Arial"/>
          <w:sz w:val="24"/>
          <w:szCs w:val="24"/>
        </w:rPr>
        <w:t xml:space="preserve">Según el párrafo 37 de la NIC 38 “La entidad adquiriente podrá reconocer un grupo de activos intangibles complementarios como un solo activo, siempre que los activos individuales tengan vidas útiles similares”. </w:t>
      </w:r>
    </w:p>
    <w:p w14:paraId="76C030E1" w14:textId="77777777" w:rsidR="002804D0" w:rsidRDefault="002804D0" w:rsidP="002804D0">
      <w:pPr>
        <w:spacing w:line="240" w:lineRule="auto"/>
        <w:jc w:val="both"/>
        <w:rPr>
          <w:rFonts w:ascii="Cambria" w:hAnsi="Cambria" w:cs="Arial"/>
          <w:sz w:val="24"/>
          <w:szCs w:val="24"/>
        </w:rPr>
      </w:pPr>
      <w:r w:rsidRPr="00431183">
        <w:rPr>
          <w:rFonts w:ascii="Cambria" w:hAnsi="Cambria" w:cs="Arial"/>
          <w:sz w:val="24"/>
          <w:szCs w:val="24"/>
        </w:rPr>
        <w:t>La Compañía reconoce la marca “Denominación de Origen del Café Tarrazú”, por los siguientes criterios</w:t>
      </w:r>
      <w:r>
        <w:rPr>
          <w:rFonts w:ascii="Cambria" w:hAnsi="Cambria" w:cs="Arial"/>
          <w:sz w:val="24"/>
          <w:szCs w:val="24"/>
        </w:rPr>
        <w:t>; primero, l</w:t>
      </w:r>
      <w:r w:rsidRPr="00431183">
        <w:rPr>
          <w:rFonts w:ascii="Cambria" w:hAnsi="Cambria" w:cs="Arial"/>
          <w:sz w:val="24"/>
          <w:szCs w:val="24"/>
        </w:rPr>
        <w:t>a Compañía puede obtener beneficios futuros por el uso de la marca</w:t>
      </w:r>
      <w:r>
        <w:rPr>
          <w:rFonts w:ascii="Cambria" w:hAnsi="Cambria" w:cs="Arial"/>
          <w:sz w:val="24"/>
          <w:szCs w:val="24"/>
        </w:rPr>
        <w:t>. Segundo, p</w:t>
      </w:r>
      <w:r w:rsidRPr="00431183">
        <w:rPr>
          <w:rFonts w:ascii="Cambria" w:hAnsi="Cambria" w:cs="Arial"/>
          <w:sz w:val="24"/>
          <w:szCs w:val="24"/>
        </w:rPr>
        <w:t>or medio del reconocimiento y posicionamiento en el mercado permite asegurar, junto con la estrategia de la administración, que se seguirán percibiendo beneficios a largo plazo</w:t>
      </w:r>
      <w:r>
        <w:rPr>
          <w:rFonts w:ascii="Cambria" w:hAnsi="Cambria" w:cs="Arial"/>
          <w:sz w:val="24"/>
          <w:szCs w:val="24"/>
        </w:rPr>
        <w:t>. Tercero, l</w:t>
      </w:r>
      <w:r w:rsidRPr="00431183">
        <w:rPr>
          <w:rFonts w:ascii="Cambria" w:hAnsi="Cambria" w:cs="Arial"/>
          <w:sz w:val="24"/>
          <w:szCs w:val="24"/>
        </w:rPr>
        <w:t>a marca se encuentra registrada en los entes gubernamentales correspondientes</w:t>
      </w:r>
    </w:p>
    <w:p w14:paraId="783DCB87" w14:textId="554D5C36" w:rsidR="002804D0" w:rsidRDefault="002804D0"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En la investigación, se identifica, que un nombre geográfico es empleado para designar un producto, su procedencia, cuando este alcanza con carácter permanente una amplia difusión y conocimiento en el mercado nacional, o bien tenga un notable prestigio regional, o haya desarrollado mercados en el exterior. Para </w:t>
      </w:r>
      <w:r>
        <w:rPr>
          <w:rFonts w:ascii="Cambria" w:hAnsi="Cambria" w:cs="Arial"/>
          <w:sz w:val="24"/>
          <w:szCs w:val="24"/>
        </w:rPr>
        <w:t>el</w:t>
      </w:r>
      <w:r w:rsidRPr="00431183">
        <w:rPr>
          <w:rFonts w:ascii="Cambria" w:hAnsi="Cambria" w:cs="Arial"/>
          <w:sz w:val="24"/>
          <w:szCs w:val="24"/>
        </w:rPr>
        <w:t xml:space="preserve"> caso </w:t>
      </w:r>
      <w:r>
        <w:rPr>
          <w:rFonts w:ascii="Cambria" w:hAnsi="Cambria" w:cs="Arial"/>
          <w:sz w:val="24"/>
          <w:szCs w:val="24"/>
        </w:rPr>
        <w:t xml:space="preserve">de estudio, </w:t>
      </w:r>
      <w:r w:rsidRPr="00431183">
        <w:rPr>
          <w:rFonts w:ascii="Cambria" w:hAnsi="Cambria" w:cs="Arial"/>
          <w:sz w:val="24"/>
          <w:szCs w:val="24"/>
        </w:rPr>
        <w:t>realizamos un Análisis de Fortaleza</w:t>
      </w:r>
      <w:r>
        <w:rPr>
          <w:rFonts w:ascii="Cambria" w:hAnsi="Cambria" w:cs="Arial"/>
          <w:sz w:val="24"/>
          <w:szCs w:val="24"/>
        </w:rPr>
        <w:t>,</w:t>
      </w:r>
      <w:r w:rsidRPr="00431183">
        <w:rPr>
          <w:rFonts w:ascii="Cambria" w:hAnsi="Cambria" w:cs="Arial"/>
          <w:sz w:val="24"/>
          <w:szCs w:val="24"/>
        </w:rPr>
        <w:t xml:space="preserve"> de la Denominación de Origen del café Tarrazú, basada en parámetros que muestran el posicionamiento de la marca, donde se identificaron grupos de interés, entre caficultores, cooperativas e importadores, con los cuales aplicamos una matriz, con siete conceptos claves para analizar una marca, los cuales describimos a continuación</w:t>
      </w:r>
      <w:r>
        <w:rPr>
          <w:rFonts w:ascii="Cambria" w:hAnsi="Cambria" w:cs="Arial"/>
          <w:sz w:val="24"/>
          <w:szCs w:val="24"/>
        </w:rPr>
        <w:t xml:space="preserve">: </w:t>
      </w:r>
    </w:p>
    <w:p w14:paraId="5ED5BC9F" w14:textId="48B2176C" w:rsidR="002804D0" w:rsidRDefault="002804D0" w:rsidP="002804D0">
      <w:pPr>
        <w:spacing w:line="240" w:lineRule="auto"/>
        <w:ind w:firstLine="708"/>
        <w:jc w:val="both"/>
        <w:rPr>
          <w:rFonts w:ascii="Cambria" w:hAnsi="Cambria" w:cs="Arial"/>
          <w:sz w:val="24"/>
          <w:szCs w:val="24"/>
        </w:rPr>
      </w:pPr>
    </w:p>
    <w:p w14:paraId="60338FE4" w14:textId="77777777" w:rsidR="007D04E3" w:rsidRDefault="007D04E3" w:rsidP="00431183">
      <w:pPr>
        <w:spacing w:line="240" w:lineRule="auto"/>
        <w:jc w:val="both"/>
        <w:rPr>
          <w:rFonts w:ascii="Cambria" w:hAnsi="Cambria" w:cs="Arial"/>
          <w:b/>
        </w:rPr>
      </w:pPr>
    </w:p>
    <w:p w14:paraId="1C3CFBAF" w14:textId="0720B56C" w:rsidR="00C64C70" w:rsidRPr="00AF1E1D" w:rsidRDefault="00102BE2" w:rsidP="00AF1E1D">
      <w:pPr>
        <w:pStyle w:val="Descripcin"/>
        <w:rPr>
          <w:rFonts w:ascii="Cambria" w:hAnsi="Cambria" w:cs="Arial"/>
          <w:b/>
          <w:i w:val="0"/>
          <w:color w:val="auto"/>
          <w:sz w:val="22"/>
          <w:szCs w:val="22"/>
        </w:rPr>
      </w:pPr>
      <w:bookmarkStart w:id="101" w:name="_Toc527576361"/>
      <w:r w:rsidRPr="00AF1E1D">
        <w:rPr>
          <w:rFonts w:ascii="Cambria" w:hAnsi="Cambria"/>
          <w:b/>
          <w:i w:val="0"/>
          <w:color w:val="auto"/>
          <w:sz w:val="22"/>
          <w:szCs w:val="22"/>
        </w:rPr>
        <w:lastRenderedPageBreak/>
        <w:t xml:space="preserve">Tabla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00CE6395">
        <w:rPr>
          <w:rFonts w:ascii="Cambria" w:hAnsi="Cambria"/>
          <w:b/>
          <w:i w:val="0"/>
          <w:noProof/>
          <w:color w:val="auto"/>
          <w:sz w:val="22"/>
          <w:szCs w:val="22"/>
        </w:rPr>
        <w:t>3</w:t>
      </w:r>
      <w:bookmarkEnd w:id="101"/>
      <w:r w:rsidRPr="00AF1E1D">
        <w:rPr>
          <w:rFonts w:ascii="Cambria" w:hAnsi="Cambria"/>
          <w:b/>
          <w:i w:val="0"/>
          <w:color w:val="auto"/>
          <w:sz w:val="22"/>
          <w:szCs w:val="22"/>
        </w:rPr>
        <w:fldChar w:fldCharType="end"/>
      </w:r>
    </w:p>
    <w:p w14:paraId="6A9019F3" w14:textId="4CFCF8E9" w:rsidR="00C64C70" w:rsidRPr="00AF1E1D" w:rsidRDefault="00C64C70" w:rsidP="00431183">
      <w:pPr>
        <w:spacing w:line="240" w:lineRule="auto"/>
        <w:jc w:val="both"/>
        <w:rPr>
          <w:rFonts w:ascii="Cambria" w:hAnsi="Cambria" w:cs="Arial"/>
          <w:b/>
        </w:rPr>
      </w:pPr>
      <w:r w:rsidRPr="00AF1E1D">
        <w:rPr>
          <w:rFonts w:ascii="Cambria" w:hAnsi="Cambria" w:cs="Arial"/>
          <w:b/>
        </w:rPr>
        <w:t>Criterios para la valoración como marca de la Denominación de Origen Tarrazú</w:t>
      </w:r>
      <w:r w:rsidR="004A3F4D" w:rsidRPr="00AF1E1D">
        <w:rPr>
          <w:rFonts w:ascii="Cambria" w:hAnsi="Cambria" w:cs="Arial"/>
          <w:b/>
        </w:rPr>
        <w:t xml:space="preserve">.  </w:t>
      </w:r>
    </w:p>
    <w:tbl>
      <w:tblPr>
        <w:tblStyle w:val="Tablaconcuadrcula"/>
        <w:tblW w:w="0" w:type="auto"/>
        <w:tblInd w:w="5" w:type="dxa"/>
        <w:tblLook w:val="04A0" w:firstRow="1" w:lastRow="0" w:firstColumn="1" w:lastColumn="0" w:noHBand="0" w:noVBand="1"/>
      </w:tblPr>
      <w:tblGrid>
        <w:gridCol w:w="8828"/>
      </w:tblGrid>
      <w:tr w:rsidR="008A1192" w:rsidRPr="00431183" w14:paraId="04AF9725" w14:textId="77777777" w:rsidTr="004A3F4D">
        <w:tc>
          <w:tcPr>
            <w:tcW w:w="8828" w:type="dxa"/>
            <w:tcBorders>
              <w:left w:val="nil"/>
              <w:right w:val="nil"/>
            </w:tcBorders>
          </w:tcPr>
          <w:p w14:paraId="35407404" w14:textId="77777777" w:rsidR="008A1192" w:rsidRPr="00431183" w:rsidRDefault="008A1192" w:rsidP="00431183">
            <w:pPr>
              <w:pStyle w:val="Prrafodelista"/>
              <w:numPr>
                <w:ilvl w:val="0"/>
                <w:numId w:val="13"/>
              </w:numPr>
              <w:jc w:val="both"/>
              <w:rPr>
                <w:rFonts w:ascii="Cambria" w:hAnsi="Cambria" w:cs="Arial"/>
                <w:sz w:val="24"/>
                <w:szCs w:val="24"/>
              </w:rPr>
            </w:pPr>
            <w:r w:rsidRPr="00431183">
              <w:rPr>
                <w:rFonts w:ascii="Cambria" w:hAnsi="Cambria" w:cs="Arial"/>
                <w:b/>
                <w:sz w:val="24"/>
                <w:szCs w:val="24"/>
              </w:rPr>
              <w:t>Mercado</w:t>
            </w:r>
            <w:r w:rsidRPr="00431183">
              <w:rPr>
                <w:rFonts w:ascii="Cambria" w:hAnsi="Cambria" w:cs="Arial"/>
                <w:sz w:val="24"/>
                <w:szCs w:val="24"/>
              </w:rPr>
              <w:t xml:space="preserve">: Una marca que opera en un mercado estable, pero que tiene una tendencia creciente y que además posee fuertes barreras de entrada obtendría una buena calificación en esta dimensión.   </w:t>
            </w:r>
          </w:p>
        </w:tc>
      </w:tr>
      <w:tr w:rsidR="008A1192" w:rsidRPr="00431183" w14:paraId="21CCE1FB" w14:textId="77777777" w:rsidTr="004A3F4D">
        <w:tc>
          <w:tcPr>
            <w:tcW w:w="8828" w:type="dxa"/>
            <w:tcBorders>
              <w:left w:val="nil"/>
              <w:right w:val="nil"/>
            </w:tcBorders>
          </w:tcPr>
          <w:p w14:paraId="5F462A2D" w14:textId="77777777" w:rsidR="008A1192" w:rsidRPr="00431183" w:rsidRDefault="008A1192" w:rsidP="00431183">
            <w:pPr>
              <w:pStyle w:val="Prrafodelista"/>
              <w:numPr>
                <w:ilvl w:val="0"/>
                <w:numId w:val="13"/>
              </w:numPr>
              <w:jc w:val="both"/>
              <w:rPr>
                <w:rFonts w:ascii="Cambria" w:hAnsi="Cambria" w:cs="Arial"/>
                <w:sz w:val="24"/>
                <w:szCs w:val="24"/>
              </w:rPr>
            </w:pPr>
            <w:r w:rsidRPr="00431183">
              <w:rPr>
                <w:rFonts w:ascii="Cambria" w:hAnsi="Cambria" w:cs="Arial"/>
                <w:b/>
                <w:sz w:val="24"/>
                <w:szCs w:val="24"/>
              </w:rPr>
              <w:t>Estabilidad</w:t>
            </w:r>
            <w:r w:rsidRPr="00431183">
              <w:rPr>
                <w:rFonts w:ascii="Cambria" w:hAnsi="Cambria" w:cs="Arial"/>
                <w:sz w:val="24"/>
                <w:szCs w:val="24"/>
              </w:rPr>
              <w:t xml:space="preserve">: Marcas establecidas por muchos años que están identificadas por el consumidor poseen un mayor valor que una marca que recién se lanza o que aquellas que han demostrado una imagen disímil o errática durante su vida.       </w:t>
            </w:r>
          </w:p>
        </w:tc>
      </w:tr>
      <w:tr w:rsidR="008A1192" w:rsidRPr="00431183" w14:paraId="232C5131" w14:textId="77777777" w:rsidTr="004A3F4D">
        <w:tc>
          <w:tcPr>
            <w:tcW w:w="8828" w:type="dxa"/>
            <w:tcBorders>
              <w:left w:val="nil"/>
              <w:right w:val="nil"/>
            </w:tcBorders>
          </w:tcPr>
          <w:p w14:paraId="4C0627A9" w14:textId="77777777" w:rsidR="008A1192" w:rsidRPr="00431183" w:rsidRDefault="008A1192" w:rsidP="00431183">
            <w:pPr>
              <w:pStyle w:val="Prrafodelista"/>
              <w:numPr>
                <w:ilvl w:val="0"/>
                <w:numId w:val="13"/>
              </w:numPr>
              <w:rPr>
                <w:rFonts w:ascii="Cambria" w:hAnsi="Cambria" w:cs="Arial"/>
                <w:sz w:val="24"/>
                <w:szCs w:val="24"/>
              </w:rPr>
            </w:pPr>
            <w:r w:rsidRPr="00431183">
              <w:rPr>
                <w:rFonts w:ascii="Cambria" w:hAnsi="Cambria" w:cs="Arial"/>
                <w:b/>
                <w:sz w:val="24"/>
                <w:szCs w:val="24"/>
              </w:rPr>
              <w:t>Liderazgo</w:t>
            </w:r>
            <w:r w:rsidRPr="00431183">
              <w:rPr>
                <w:rFonts w:ascii="Cambria" w:hAnsi="Cambria" w:cs="Arial"/>
                <w:sz w:val="24"/>
                <w:szCs w:val="24"/>
              </w:rPr>
              <w:t xml:space="preserve">: Una marca líder en su sector es generalmente más estable y tiene más valor que una marca con poco market share relativo (una marca líder es formadora de precios, fuerte ante el canal de distribución y ante la invasión de nuevas marcas).       </w:t>
            </w:r>
          </w:p>
        </w:tc>
      </w:tr>
      <w:tr w:rsidR="008A1192" w:rsidRPr="00431183" w14:paraId="33B33E43" w14:textId="77777777" w:rsidTr="004A3F4D">
        <w:tc>
          <w:tcPr>
            <w:tcW w:w="8828" w:type="dxa"/>
            <w:tcBorders>
              <w:left w:val="nil"/>
              <w:right w:val="nil"/>
            </w:tcBorders>
          </w:tcPr>
          <w:p w14:paraId="7633939F" w14:textId="77777777" w:rsidR="008A1192" w:rsidRPr="00431183" w:rsidRDefault="008A1192" w:rsidP="00431183">
            <w:pPr>
              <w:pStyle w:val="Prrafodelista"/>
              <w:numPr>
                <w:ilvl w:val="0"/>
                <w:numId w:val="13"/>
              </w:numPr>
              <w:rPr>
                <w:rFonts w:ascii="Cambria" w:hAnsi="Cambria" w:cs="Arial"/>
                <w:sz w:val="24"/>
                <w:szCs w:val="24"/>
              </w:rPr>
            </w:pPr>
            <w:r w:rsidRPr="00431183">
              <w:rPr>
                <w:rFonts w:ascii="Cambria" w:hAnsi="Cambria" w:cs="Arial"/>
                <w:b/>
                <w:sz w:val="24"/>
                <w:szCs w:val="24"/>
              </w:rPr>
              <w:t>Internacionalidad</w:t>
            </w:r>
            <w:r w:rsidRPr="00431183">
              <w:rPr>
                <w:rFonts w:ascii="Cambria" w:hAnsi="Cambria" w:cs="Arial"/>
                <w:sz w:val="24"/>
                <w:szCs w:val="24"/>
              </w:rPr>
              <w:t xml:space="preserve">: Una marca internacional está más diversificada que una marca que opera en un único mercado, por lo </w:t>
            </w:r>
            <w:r w:rsidR="000B46DE" w:rsidRPr="00431183">
              <w:rPr>
                <w:rFonts w:ascii="Cambria" w:hAnsi="Cambria" w:cs="Arial"/>
                <w:sz w:val="24"/>
                <w:szCs w:val="24"/>
              </w:rPr>
              <w:t>tanto,</w:t>
            </w:r>
            <w:r w:rsidRPr="00431183">
              <w:rPr>
                <w:rFonts w:ascii="Cambria" w:hAnsi="Cambria" w:cs="Arial"/>
                <w:sz w:val="24"/>
                <w:szCs w:val="24"/>
              </w:rPr>
              <w:t xml:space="preserve"> una marca internacional no está sujeta a las vicisitudes de un mercado en particular.</w:t>
            </w:r>
          </w:p>
        </w:tc>
      </w:tr>
      <w:tr w:rsidR="008A1192" w:rsidRPr="00431183" w14:paraId="057C46DF" w14:textId="77777777" w:rsidTr="004A3F4D">
        <w:tc>
          <w:tcPr>
            <w:tcW w:w="8828" w:type="dxa"/>
            <w:tcBorders>
              <w:left w:val="nil"/>
              <w:right w:val="nil"/>
            </w:tcBorders>
          </w:tcPr>
          <w:p w14:paraId="7E6861C9" w14:textId="77777777" w:rsidR="008A1192" w:rsidRPr="00431183" w:rsidRDefault="008A1192" w:rsidP="00431183">
            <w:pPr>
              <w:pStyle w:val="Prrafodelista"/>
              <w:numPr>
                <w:ilvl w:val="0"/>
                <w:numId w:val="13"/>
              </w:numPr>
              <w:jc w:val="both"/>
              <w:rPr>
                <w:rFonts w:ascii="Cambria" w:hAnsi="Cambria" w:cs="Arial"/>
                <w:sz w:val="24"/>
                <w:szCs w:val="24"/>
              </w:rPr>
            </w:pPr>
            <w:r w:rsidRPr="00431183">
              <w:rPr>
                <w:rFonts w:ascii="Cambria" w:hAnsi="Cambria" w:cs="Arial"/>
                <w:b/>
                <w:sz w:val="24"/>
                <w:szCs w:val="24"/>
              </w:rPr>
              <w:t>Tendencia</w:t>
            </w:r>
            <w:r w:rsidRPr="00431183">
              <w:rPr>
                <w:rFonts w:ascii="Cambria" w:hAnsi="Cambria" w:cs="Arial"/>
                <w:sz w:val="24"/>
                <w:szCs w:val="24"/>
              </w:rPr>
              <w:t xml:space="preserve">: Marcas que han demostrado un fuerte crecimiento y tienen la habilidad de ganar nuevos mercados de sus competidores, tendrán más valor y por lo tanto menor riesgo que una marca que no posee está tendencia de crecimiento.  </w:t>
            </w:r>
          </w:p>
        </w:tc>
      </w:tr>
      <w:tr w:rsidR="008A1192" w:rsidRPr="00431183" w14:paraId="1BB7E788" w14:textId="77777777" w:rsidTr="004A3F4D">
        <w:tc>
          <w:tcPr>
            <w:tcW w:w="8828" w:type="dxa"/>
            <w:tcBorders>
              <w:left w:val="nil"/>
              <w:right w:val="nil"/>
            </w:tcBorders>
          </w:tcPr>
          <w:p w14:paraId="0BB78D64" w14:textId="77777777" w:rsidR="008A1192" w:rsidRPr="00431183" w:rsidRDefault="008A1192" w:rsidP="00431183">
            <w:pPr>
              <w:pStyle w:val="Prrafodelista"/>
              <w:numPr>
                <w:ilvl w:val="0"/>
                <w:numId w:val="13"/>
              </w:numPr>
              <w:rPr>
                <w:rFonts w:ascii="Cambria" w:hAnsi="Cambria" w:cs="Arial"/>
                <w:sz w:val="24"/>
                <w:szCs w:val="24"/>
              </w:rPr>
            </w:pPr>
            <w:r w:rsidRPr="00431183">
              <w:rPr>
                <w:rFonts w:ascii="Cambria" w:hAnsi="Cambria" w:cs="Arial"/>
                <w:b/>
                <w:sz w:val="24"/>
                <w:szCs w:val="24"/>
              </w:rPr>
              <w:t>Soporte</w:t>
            </w:r>
            <w:r w:rsidRPr="00431183">
              <w:rPr>
                <w:rFonts w:ascii="Cambria" w:hAnsi="Cambria" w:cs="Arial"/>
                <w:sz w:val="24"/>
                <w:szCs w:val="24"/>
              </w:rPr>
              <w:t xml:space="preserve">: Aquellas marcas que han recibido continuas inversiones, soportes que mejoren la calidad y la consistencia de la marca poseen menos riesgos que aquellas marcas que no poseen tales características.    </w:t>
            </w:r>
          </w:p>
        </w:tc>
      </w:tr>
      <w:tr w:rsidR="008A1192" w:rsidRPr="00431183" w14:paraId="451F647A" w14:textId="77777777" w:rsidTr="004A3F4D">
        <w:tc>
          <w:tcPr>
            <w:tcW w:w="8828" w:type="dxa"/>
            <w:tcBorders>
              <w:left w:val="nil"/>
              <w:right w:val="nil"/>
            </w:tcBorders>
          </w:tcPr>
          <w:p w14:paraId="793A1AB4" w14:textId="77777777" w:rsidR="008A1192" w:rsidRPr="00431183" w:rsidRDefault="008A1192" w:rsidP="00431183">
            <w:pPr>
              <w:pStyle w:val="Prrafodelista"/>
              <w:numPr>
                <w:ilvl w:val="0"/>
                <w:numId w:val="13"/>
              </w:numPr>
              <w:rPr>
                <w:rFonts w:ascii="Cambria" w:hAnsi="Cambria" w:cs="Arial"/>
                <w:sz w:val="24"/>
                <w:szCs w:val="24"/>
              </w:rPr>
            </w:pPr>
            <w:r w:rsidRPr="00431183">
              <w:rPr>
                <w:rFonts w:ascii="Cambria" w:hAnsi="Cambria" w:cs="Arial"/>
                <w:b/>
                <w:sz w:val="24"/>
                <w:szCs w:val="24"/>
              </w:rPr>
              <w:t>Protección</w:t>
            </w:r>
            <w:r w:rsidRPr="00431183">
              <w:rPr>
                <w:rFonts w:ascii="Cambria" w:hAnsi="Cambria" w:cs="Arial"/>
                <w:sz w:val="24"/>
                <w:szCs w:val="24"/>
              </w:rPr>
              <w:t>: Una marca registrada tiene mucho menos riesgo que una marca que no está protegida legalmente.</w:t>
            </w:r>
          </w:p>
        </w:tc>
      </w:tr>
    </w:tbl>
    <w:p w14:paraId="605E642D" w14:textId="0CDC9C72" w:rsidR="008A1192" w:rsidRPr="00431183" w:rsidRDefault="00C64C70" w:rsidP="00431183">
      <w:pPr>
        <w:spacing w:line="240" w:lineRule="auto"/>
        <w:jc w:val="both"/>
        <w:rPr>
          <w:rFonts w:ascii="Cambria" w:hAnsi="Cambria" w:cs="Arial"/>
          <w:sz w:val="18"/>
          <w:szCs w:val="18"/>
        </w:rPr>
      </w:pPr>
      <w:r w:rsidRPr="00431183">
        <w:rPr>
          <w:rFonts w:ascii="Cambria" w:hAnsi="Cambria" w:cs="Arial"/>
          <w:sz w:val="18"/>
          <w:szCs w:val="18"/>
        </w:rPr>
        <w:t>Fuente: Elaboración propia</w:t>
      </w:r>
      <w:r w:rsidR="000B46DE">
        <w:rPr>
          <w:rFonts w:ascii="Cambria" w:hAnsi="Cambria" w:cs="Arial"/>
          <w:sz w:val="18"/>
          <w:szCs w:val="18"/>
        </w:rPr>
        <w:t xml:space="preserve">, </w:t>
      </w:r>
      <w:r w:rsidR="000B46DE" w:rsidRPr="000B46DE">
        <w:rPr>
          <w:rFonts w:ascii="Cambria" w:hAnsi="Cambria" w:cs="Arial"/>
          <w:sz w:val="18"/>
          <w:szCs w:val="18"/>
        </w:rPr>
        <w:t>con base en la matriz de posicionamiento de marca de Interbrand</w:t>
      </w:r>
      <w:r w:rsidR="004A3F4D">
        <w:rPr>
          <w:rFonts w:ascii="Cambria" w:hAnsi="Cambria" w:cs="Arial"/>
          <w:sz w:val="18"/>
          <w:szCs w:val="18"/>
        </w:rPr>
        <w:t>, 2018</w:t>
      </w:r>
    </w:p>
    <w:p w14:paraId="45FC216A" w14:textId="2D7A3A7D" w:rsidR="009C07E3" w:rsidRDefault="008A1192" w:rsidP="00C64C70">
      <w:pPr>
        <w:spacing w:line="240" w:lineRule="auto"/>
        <w:jc w:val="both"/>
        <w:rPr>
          <w:rFonts w:ascii="Cambria" w:hAnsi="Cambria" w:cs="Arial"/>
          <w:b/>
        </w:rPr>
      </w:pPr>
      <w:r w:rsidRPr="00431183">
        <w:rPr>
          <w:rFonts w:ascii="Cambria" w:hAnsi="Cambria" w:cs="Arial"/>
          <w:sz w:val="24"/>
          <w:szCs w:val="24"/>
        </w:rPr>
        <w:t>La escala de puntaje utilizada para calificar las respuestas de la percepción de los grupos de interés, sobre la marca, Denominación de Origen de</w:t>
      </w:r>
      <w:r w:rsidR="0039681A" w:rsidRPr="00431183">
        <w:rPr>
          <w:rFonts w:ascii="Cambria" w:hAnsi="Cambria" w:cs="Arial"/>
          <w:sz w:val="24"/>
          <w:szCs w:val="24"/>
        </w:rPr>
        <w:t>l café Tarrazú, es la siguiente:</w:t>
      </w:r>
    </w:p>
    <w:p w14:paraId="49D35C9C" w14:textId="5ACDD292" w:rsidR="00C64C70" w:rsidRPr="00AF1E1D" w:rsidRDefault="00102BE2" w:rsidP="00AF1E1D">
      <w:pPr>
        <w:pStyle w:val="Descripcin"/>
        <w:rPr>
          <w:rFonts w:ascii="Cambria" w:hAnsi="Cambria" w:cstheme="minorHAnsi"/>
          <w:b/>
          <w:i w:val="0"/>
          <w:color w:val="auto"/>
          <w:sz w:val="22"/>
          <w:szCs w:val="22"/>
        </w:rPr>
      </w:pPr>
      <w:bookmarkStart w:id="102" w:name="_Toc527576362"/>
      <w:r w:rsidRPr="00AF1E1D">
        <w:rPr>
          <w:rFonts w:ascii="Cambria" w:hAnsi="Cambria" w:cstheme="minorHAnsi"/>
          <w:b/>
          <w:i w:val="0"/>
          <w:color w:val="auto"/>
          <w:sz w:val="22"/>
          <w:szCs w:val="22"/>
        </w:rPr>
        <w:t xml:space="preserve">Tabla </w:t>
      </w:r>
      <w:r w:rsidRPr="00AF1E1D">
        <w:rPr>
          <w:rFonts w:ascii="Cambria" w:hAnsi="Cambria" w:cstheme="minorHAnsi"/>
          <w:b/>
          <w:i w:val="0"/>
          <w:color w:val="auto"/>
          <w:sz w:val="22"/>
          <w:szCs w:val="22"/>
        </w:rPr>
        <w:fldChar w:fldCharType="begin"/>
      </w:r>
      <w:r w:rsidRPr="00AF1E1D">
        <w:rPr>
          <w:rFonts w:ascii="Cambria" w:hAnsi="Cambria" w:cstheme="minorHAnsi"/>
          <w:b/>
          <w:i w:val="0"/>
          <w:color w:val="auto"/>
          <w:sz w:val="22"/>
          <w:szCs w:val="22"/>
        </w:rPr>
        <w:instrText xml:space="preserve"> SEQ Tabla \* ARABIC </w:instrText>
      </w:r>
      <w:r w:rsidRPr="00AF1E1D">
        <w:rPr>
          <w:rFonts w:ascii="Cambria" w:hAnsi="Cambria" w:cstheme="minorHAnsi"/>
          <w:b/>
          <w:i w:val="0"/>
          <w:color w:val="auto"/>
          <w:sz w:val="22"/>
          <w:szCs w:val="22"/>
        </w:rPr>
        <w:fldChar w:fldCharType="separate"/>
      </w:r>
      <w:r w:rsidR="00CE6395">
        <w:rPr>
          <w:rFonts w:ascii="Cambria" w:hAnsi="Cambria" w:cstheme="minorHAnsi"/>
          <w:b/>
          <w:i w:val="0"/>
          <w:noProof/>
          <w:color w:val="auto"/>
          <w:sz w:val="22"/>
          <w:szCs w:val="22"/>
        </w:rPr>
        <w:t>4</w:t>
      </w:r>
      <w:bookmarkEnd w:id="102"/>
      <w:r w:rsidRPr="00AF1E1D">
        <w:rPr>
          <w:rFonts w:ascii="Cambria" w:hAnsi="Cambria" w:cstheme="minorHAnsi"/>
          <w:b/>
          <w:i w:val="0"/>
          <w:color w:val="auto"/>
          <w:sz w:val="22"/>
          <w:szCs w:val="22"/>
        </w:rPr>
        <w:fldChar w:fldCharType="end"/>
      </w:r>
    </w:p>
    <w:p w14:paraId="4C94BB6A" w14:textId="77777777" w:rsidR="0066464A" w:rsidRPr="00AF1E1D" w:rsidRDefault="0066464A" w:rsidP="00431183">
      <w:pPr>
        <w:spacing w:line="240" w:lineRule="auto"/>
        <w:jc w:val="both"/>
        <w:rPr>
          <w:rFonts w:ascii="Cambria" w:hAnsi="Cambria" w:cs="Arial"/>
          <w:b/>
        </w:rPr>
      </w:pPr>
      <w:r w:rsidRPr="00AF1E1D">
        <w:rPr>
          <w:rFonts w:ascii="Cambria" w:hAnsi="Cambria" w:cs="Arial"/>
          <w:b/>
        </w:rPr>
        <w:t xml:space="preserve"> Escala de Calificación a la Marca, según su fortaleza.</w:t>
      </w:r>
    </w:p>
    <w:tbl>
      <w:tblPr>
        <w:tblW w:w="8931" w:type="dxa"/>
        <w:tblCellMar>
          <w:left w:w="0" w:type="dxa"/>
          <w:right w:w="0" w:type="dxa"/>
        </w:tblCellMar>
        <w:tblLook w:val="04A0" w:firstRow="1" w:lastRow="0" w:firstColumn="1" w:lastColumn="0" w:noHBand="0" w:noVBand="1"/>
      </w:tblPr>
      <w:tblGrid>
        <w:gridCol w:w="3143"/>
        <w:gridCol w:w="5804"/>
      </w:tblGrid>
      <w:tr w:rsidR="004A3F4D" w14:paraId="7EA0E5D3" w14:textId="77777777" w:rsidTr="00AF1E1D">
        <w:trPr>
          <w:trHeight w:val="288"/>
        </w:trPr>
        <w:tc>
          <w:tcPr>
            <w:tcW w:w="3135" w:type="dxa"/>
            <w:tcBorders>
              <w:top w:val="nil"/>
              <w:left w:val="nil"/>
              <w:bottom w:val="single" w:sz="4" w:space="0" w:color="auto"/>
              <w:right w:val="single" w:sz="4" w:space="0" w:color="auto"/>
            </w:tcBorders>
            <w:shd w:val="clear" w:color="000000" w:fill="FFFFFF"/>
            <w:noWrap/>
            <w:vAlign w:val="bottom"/>
            <w:hideMark/>
          </w:tcPr>
          <w:p w14:paraId="2E18104F" w14:textId="77777777" w:rsidR="004A3F4D" w:rsidRDefault="004A3F4D" w:rsidP="00AF1E1D">
            <w:pPr>
              <w:spacing w:line="240" w:lineRule="auto"/>
              <w:jc w:val="center"/>
              <w:rPr>
                <w:rFonts w:ascii="Calibri" w:hAnsi="Calibri" w:cs="Calibri"/>
                <w:b/>
                <w:bCs/>
                <w:color w:val="000000"/>
              </w:rPr>
            </w:pPr>
            <w:r>
              <w:rPr>
                <w:rFonts w:ascii="Calibri" w:hAnsi="Calibri" w:cs="Calibri"/>
                <w:b/>
                <w:bCs/>
                <w:color w:val="000000"/>
              </w:rPr>
              <w:t>Calificación</w:t>
            </w:r>
          </w:p>
        </w:tc>
        <w:tc>
          <w:tcPr>
            <w:tcW w:w="5796" w:type="dxa"/>
            <w:tcBorders>
              <w:top w:val="nil"/>
              <w:left w:val="nil"/>
              <w:bottom w:val="single" w:sz="4" w:space="0" w:color="auto"/>
              <w:right w:val="nil"/>
            </w:tcBorders>
            <w:shd w:val="clear" w:color="000000" w:fill="FFFFFF"/>
            <w:noWrap/>
            <w:vAlign w:val="bottom"/>
            <w:hideMark/>
          </w:tcPr>
          <w:p w14:paraId="6C366A82" w14:textId="77777777" w:rsidR="004A3F4D" w:rsidRDefault="004A3F4D" w:rsidP="00AF1E1D">
            <w:pPr>
              <w:spacing w:line="240" w:lineRule="auto"/>
              <w:jc w:val="center"/>
              <w:rPr>
                <w:rFonts w:ascii="Calibri" w:hAnsi="Calibri" w:cs="Calibri"/>
                <w:b/>
                <w:bCs/>
                <w:color w:val="000000"/>
              </w:rPr>
            </w:pPr>
            <w:r>
              <w:rPr>
                <w:rFonts w:ascii="Calibri" w:hAnsi="Calibri" w:cs="Calibri"/>
                <w:b/>
                <w:bCs/>
                <w:color w:val="000000"/>
              </w:rPr>
              <w:t xml:space="preserve">Criterio </w:t>
            </w:r>
          </w:p>
        </w:tc>
      </w:tr>
      <w:tr w:rsidR="004A3F4D" w14:paraId="10164ED3" w14:textId="77777777" w:rsidTr="00AF1E1D">
        <w:trPr>
          <w:trHeight w:val="288"/>
        </w:trPr>
        <w:tc>
          <w:tcPr>
            <w:tcW w:w="3135" w:type="dxa"/>
            <w:tcBorders>
              <w:top w:val="nil"/>
              <w:left w:val="nil"/>
              <w:bottom w:val="nil"/>
              <w:right w:val="single" w:sz="4" w:space="0" w:color="auto"/>
            </w:tcBorders>
            <w:shd w:val="clear" w:color="000000" w:fill="FFFFFF"/>
            <w:noWrap/>
            <w:vAlign w:val="bottom"/>
            <w:hideMark/>
          </w:tcPr>
          <w:p w14:paraId="7D9DBF5E" w14:textId="77777777" w:rsidR="004A3F4D" w:rsidRDefault="004A3F4D" w:rsidP="00AF1E1D">
            <w:pPr>
              <w:spacing w:line="240" w:lineRule="auto"/>
              <w:jc w:val="center"/>
              <w:rPr>
                <w:rFonts w:ascii="Calibri" w:hAnsi="Calibri" w:cs="Calibri"/>
                <w:color w:val="000000"/>
              </w:rPr>
            </w:pPr>
            <w:r>
              <w:rPr>
                <w:rFonts w:ascii="Calibri" w:hAnsi="Calibri" w:cs="Calibri"/>
                <w:color w:val="000000"/>
              </w:rPr>
              <w:t>&gt;70</w:t>
            </w:r>
          </w:p>
        </w:tc>
        <w:tc>
          <w:tcPr>
            <w:tcW w:w="5796" w:type="dxa"/>
            <w:tcBorders>
              <w:top w:val="nil"/>
              <w:left w:val="nil"/>
              <w:bottom w:val="nil"/>
              <w:right w:val="nil"/>
            </w:tcBorders>
            <w:shd w:val="clear" w:color="000000" w:fill="FFFFFF"/>
            <w:noWrap/>
            <w:vAlign w:val="bottom"/>
            <w:hideMark/>
          </w:tcPr>
          <w:p w14:paraId="27C372C2" w14:textId="453F229D" w:rsidR="004A3F4D" w:rsidRDefault="004A3F4D" w:rsidP="00AF1E1D">
            <w:pPr>
              <w:spacing w:line="240" w:lineRule="auto"/>
              <w:jc w:val="center"/>
              <w:rPr>
                <w:rFonts w:ascii="Calibri" w:hAnsi="Calibri" w:cs="Calibri"/>
                <w:color w:val="000000"/>
              </w:rPr>
            </w:pPr>
            <w:r>
              <w:rPr>
                <w:rFonts w:ascii="Calibri" w:hAnsi="Calibri" w:cs="Calibri"/>
                <w:color w:val="000000"/>
              </w:rPr>
              <w:t>Marca Líder Internacional</w:t>
            </w:r>
          </w:p>
        </w:tc>
      </w:tr>
      <w:tr w:rsidR="004A3F4D" w14:paraId="40FFDEE8" w14:textId="77777777" w:rsidTr="00AF1E1D">
        <w:trPr>
          <w:trHeight w:val="288"/>
        </w:trPr>
        <w:tc>
          <w:tcPr>
            <w:tcW w:w="3135" w:type="dxa"/>
            <w:tcBorders>
              <w:top w:val="nil"/>
              <w:left w:val="nil"/>
              <w:bottom w:val="nil"/>
              <w:right w:val="single" w:sz="4" w:space="0" w:color="auto"/>
            </w:tcBorders>
            <w:shd w:val="clear" w:color="000000" w:fill="FFFFFF"/>
            <w:noWrap/>
            <w:vAlign w:val="bottom"/>
            <w:hideMark/>
          </w:tcPr>
          <w:p w14:paraId="42DAC008" w14:textId="77777777" w:rsidR="004A3F4D" w:rsidRDefault="004A3F4D" w:rsidP="00AF1E1D">
            <w:pPr>
              <w:spacing w:line="240" w:lineRule="auto"/>
              <w:jc w:val="center"/>
              <w:rPr>
                <w:rFonts w:ascii="Calibri" w:hAnsi="Calibri" w:cs="Calibri"/>
                <w:color w:val="000000"/>
              </w:rPr>
            </w:pPr>
            <w:r>
              <w:rPr>
                <w:rFonts w:ascii="Calibri" w:hAnsi="Calibri" w:cs="Calibri"/>
                <w:color w:val="000000"/>
              </w:rPr>
              <w:t>65 - 70</w:t>
            </w:r>
          </w:p>
        </w:tc>
        <w:tc>
          <w:tcPr>
            <w:tcW w:w="5796" w:type="dxa"/>
            <w:tcBorders>
              <w:top w:val="nil"/>
              <w:left w:val="nil"/>
              <w:bottom w:val="nil"/>
              <w:right w:val="nil"/>
            </w:tcBorders>
            <w:shd w:val="clear" w:color="000000" w:fill="FFFFFF"/>
            <w:noWrap/>
            <w:vAlign w:val="bottom"/>
            <w:hideMark/>
          </w:tcPr>
          <w:p w14:paraId="5D05C267" w14:textId="77777777" w:rsidR="004A3F4D" w:rsidRDefault="004A3F4D" w:rsidP="00AF1E1D">
            <w:pPr>
              <w:spacing w:line="240" w:lineRule="auto"/>
              <w:jc w:val="center"/>
              <w:rPr>
                <w:rFonts w:ascii="Calibri" w:hAnsi="Calibri" w:cs="Calibri"/>
                <w:color w:val="000000"/>
              </w:rPr>
            </w:pPr>
            <w:r>
              <w:rPr>
                <w:rFonts w:ascii="Calibri" w:hAnsi="Calibri" w:cs="Calibri"/>
                <w:color w:val="000000"/>
              </w:rPr>
              <w:t>Marca Fuerte Internacional</w:t>
            </w:r>
          </w:p>
        </w:tc>
      </w:tr>
      <w:tr w:rsidR="004A3F4D" w14:paraId="341D36B6" w14:textId="77777777" w:rsidTr="00AF1E1D">
        <w:trPr>
          <w:trHeight w:val="288"/>
        </w:trPr>
        <w:tc>
          <w:tcPr>
            <w:tcW w:w="3135" w:type="dxa"/>
            <w:tcBorders>
              <w:top w:val="nil"/>
              <w:left w:val="nil"/>
              <w:bottom w:val="nil"/>
              <w:right w:val="single" w:sz="4" w:space="0" w:color="auto"/>
            </w:tcBorders>
            <w:shd w:val="clear" w:color="000000" w:fill="FFFFFF"/>
            <w:noWrap/>
            <w:vAlign w:val="bottom"/>
            <w:hideMark/>
          </w:tcPr>
          <w:p w14:paraId="33173CEE" w14:textId="2ECEBF87" w:rsidR="004A3F4D" w:rsidRDefault="004A3F4D" w:rsidP="00AF1E1D">
            <w:pPr>
              <w:spacing w:line="240" w:lineRule="auto"/>
              <w:jc w:val="center"/>
              <w:rPr>
                <w:rFonts w:ascii="Calibri" w:hAnsi="Calibri" w:cs="Calibri"/>
                <w:color w:val="000000"/>
              </w:rPr>
            </w:pPr>
            <w:r>
              <w:rPr>
                <w:rFonts w:ascii="Calibri" w:hAnsi="Calibri" w:cs="Calibri"/>
                <w:color w:val="000000"/>
              </w:rPr>
              <w:t xml:space="preserve">50 </w:t>
            </w:r>
            <w:r w:rsidR="00102BE2">
              <w:rPr>
                <w:rFonts w:ascii="Calibri" w:hAnsi="Calibri" w:cs="Calibri"/>
                <w:color w:val="000000"/>
              </w:rPr>
              <w:t>–</w:t>
            </w:r>
            <w:r>
              <w:rPr>
                <w:rFonts w:ascii="Calibri" w:hAnsi="Calibri" w:cs="Calibri"/>
                <w:color w:val="000000"/>
              </w:rPr>
              <w:t xml:space="preserve"> 65</w:t>
            </w:r>
          </w:p>
        </w:tc>
        <w:tc>
          <w:tcPr>
            <w:tcW w:w="5796" w:type="dxa"/>
            <w:tcBorders>
              <w:top w:val="nil"/>
              <w:left w:val="nil"/>
              <w:bottom w:val="nil"/>
              <w:right w:val="nil"/>
            </w:tcBorders>
            <w:shd w:val="clear" w:color="000000" w:fill="FFFFFF"/>
            <w:noWrap/>
            <w:vAlign w:val="bottom"/>
            <w:hideMark/>
          </w:tcPr>
          <w:p w14:paraId="1D89375A" w14:textId="77777777" w:rsidR="004A3F4D" w:rsidRDefault="004A3F4D" w:rsidP="00AF1E1D">
            <w:pPr>
              <w:spacing w:line="240" w:lineRule="auto"/>
              <w:jc w:val="center"/>
              <w:rPr>
                <w:rFonts w:ascii="Calibri" w:hAnsi="Calibri" w:cs="Calibri"/>
                <w:color w:val="000000"/>
              </w:rPr>
            </w:pPr>
            <w:r>
              <w:rPr>
                <w:rFonts w:ascii="Calibri" w:hAnsi="Calibri" w:cs="Calibri"/>
                <w:color w:val="000000"/>
              </w:rPr>
              <w:t>Marca Líder Nacional</w:t>
            </w:r>
          </w:p>
        </w:tc>
      </w:tr>
      <w:tr w:rsidR="004A3F4D" w14:paraId="45A5B2AF" w14:textId="77777777" w:rsidTr="00AF1E1D">
        <w:trPr>
          <w:trHeight w:val="288"/>
        </w:trPr>
        <w:tc>
          <w:tcPr>
            <w:tcW w:w="3135" w:type="dxa"/>
            <w:tcBorders>
              <w:top w:val="nil"/>
              <w:left w:val="nil"/>
              <w:bottom w:val="nil"/>
              <w:right w:val="single" w:sz="4" w:space="0" w:color="auto"/>
            </w:tcBorders>
            <w:shd w:val="clear" w:color="000000" w:fill="FFFFFF"/>
            <w:noWrap/>
            <w:vAlign w:val="bottom"/>
            <w:hideMark/>
          </w:tcPr>
          <w:p w14:paraId="5FC8B4BD" w14:textId="77777777" w:rsidR="004A3F4D" w:rsidRDefault="004A3F4D" w:rsidP="00AF1E1D">
            <w:pPr>
              <w:spacing w:line="240" w:lineRule="auto"/>
              <w:jc w:val="center"/>
              <w:rPr>
                <w:rFonts w:ascii="Calibri" w:hAnsi="Calibri" w:cs="Calibri"/>
                <w:color w:val="000000"/>
              </w:rPr>
            </w:pPr>
            <w:r>
              <w:rPr>
                <w:rFonts w:ascii="Calibri" w:hAnsi="Calibri" w:cs="Calibri"/>
                <w:color w:val="000000"/>
              </w:rPr>
              <w:t xml:space="preserve">40 - 50 </w:t>
            </w:r>
          </w:p>
        </w:tc>
        <w:tc>
          <w:tcPr>
            <w:tcW w:w="5796" w:type="dxa"/>
            <w:tcBorders>
              <w:top w:val="nil"/>
              <w:left w:val="nil"/>
              <w:bottom w:val="nil"/>
              <w:right w:val="nil"/>
            </w:tcBorders>
            <w:shd w:val="clear" w:color="000000" w:fill="FFFFFF"/>
            <w:noWrap/>
            <w:vAlign w:val="bottom"/>
            <w:hideMark/>
          </w:tcPr>
          <w:p w14:paraId="31CAA196" w14:textId="77777777" w:rsidR="004A3F4D" w:rsidRDefault="004A3F4D" w:rsidP="00AF1E1D">
            <w:pPr>
              <w:spacing w:line="240" w:lineRule="auto"/>
              <w:jc w:val="center"/>
              <w:rPr>
                <w:rFonts w:ascii="Calibri" w:hAnsi="Calibri" w:cs="Calibri"/>
                <w:color w:val="000000"/>
              </w:rPr>
            </w:pPr>
            <w:r>
              <w:rPr>
                <w:rFonts w:ascii="Calibri" w:hAnsi="Calibri" w:cs="Calibri"/>
                <w:color w:val="000000"/>
              </w:rPr>
              <w:t>Marca Fuerte Nacional</w:t>
            </w:r>
          </w:p>
        </w:tc>
      </w:tr>
      <w:tr w:rsidR="004A3F4D" w14:paraId="7E179754" w14:textId="77777777" w:rsidTr="00AF1E1D">
        <w:trPr>
          <w:trHeight w:val="288"/>
        </w:trPr>
        <w:tc>
          <w:tcPr>
            <w:tcW w:w="3135" w:type="dxa"/>
            <w:tcBorders>
              <w:top w:val="nil"/>
              <w:left w:val="nil"/>
              <w:bottom w:val="nil"/>
              <w:right w:val="single" w:sz="4" w:space="0" w:color="auto"/>
            </w:tcBorders>
            <w:shd w:val="clear" w:color="000000" w:fill="FFFFFF"/>
            <w:noWrap/>
            <w:vAlign w:val="bottom"/>
            <w:hideMark/>
          </w:tcPr>
          <w:p w14:paraId="00C4D073" w14:textId="3FB3769D" w:rsidR="004A3F4D" w:rsidRDefault="004A3F4D" w:rsidP="00AF1E1D">
            <w:pPr>
              <w:spacing w:line="240" w:lineRule="auto"/>
              <w:jc w:val="center"/>
              <w:rPr>
                <w:rFonts w:ascii="Calibri" w:hAnsi="Calibri" w:cs="Calibri"/>
                <w:color w:val="000000"/>
              </w:rPr>
            </w:pPr>
            <w:r>
              <w:rPr>
                <w:rFonts w:ascii="Calibri" w:hAnsi="Calibri" w:cs="Calibri"/>
                <w:color w:val="000000"/>
              </w:rPr>
              <w:t xml:space="preserve">30 </w:t>
            </w:r>
            <w:r w:rsidR="00102BE2">
              <w:rPr>
                <w:rFonts w:ascii="Calibri" w:hAnsi="Calibri" w:cs="Calibri"/>
                <w:color w:val="000000"/>
              </w:rPr>
              <w:t>–</w:t>
            </w:r>
            <w:r>
              <w:rPr>
                <w:rFonts w:ascii="Calibri" w:hAnsi="Calibri" w:cs="Calibri"/>
                <w:color w:val="000000"/>
              </w:rPr>
              <w:t xml:space="preserve"> 40</w:t>
            </w:r>
          </w:p>
        </w:tc>
        <w:tc>
          <w:tcPr>
            <w:tcW w:w="5796" w:type="dxa"/>
            <w:tcBorders>
              <w:top w:val="nil"/>
              <w:left w:val="nil"/>
              <w:bottom w:val="nil"/>
              <w:right w:val="nil"/>
            </w:tcBorders>
            <w:shd w:val="clear" w:color="000000" w:fill="FFFFFF"/>
            <w:noWrap/>
            <w:vAlign w:val="bottom"/>
            <w:hideMark/>
          </w:tcPr>
          <w:p w14:paraId="197D7C55" w14:textId="77777777" w:rsidR="004A3F4D" w:rsidRDefault="004A3F4D" w:rsidP="00AF1E1D">
            <w:pPr>
              <w:spacing w:line="240" w:lineRule="auto"/>
              <w:jc w:val="center"/>
              <w:rPr>
                <w:rFonts w:ascii="Calibri" w:hAnsi="Calibri" w:cs="Calibri"/>
                <w:color w:val="000000"/>
              </w:rPr>
            </w:pPr>
            <w:r>
              <w:rPr>
                <w:rFonts w:ascii="Calibri" w:hAnsi="Calibri" w:cs="Calibri"/>
                <w:color w:val="000000"/>
              </w:rPr>
              <w:t>Marca Promedio</w:t>
            </w:r>
          </w:p>
        </w:tc>
      </w:tr>
      <w:tr w:rsidR="004A3F4D" w14:paraId="2B557887" w14:textId="77777777" w:rsidTr="00AF1E1D">
        <w:trPr>
          <w:trHeight w:val="288"/>
        </w:trPr>
        <w:tc>
          <w:tcPr>
            <w:tcW w:w="3135" w:type="dxa"/>
            <w:tcBorders>
              <w:top w:val="nil"/>
              <w:left w:val="nil"/>
              <w:bottom w:val="single" w:sz="4" w:space="0" w:color="auto"/>
              <w:right w:val="single" w:sz="4" w:space="0" w:color="auto"/>
            </w:tcBorders>
            <w:shd w:val="clear" w:color="000000" w:fill="FFFFFF"/>
            <w:noWrap/>
            <w:vAlign w:val="bottom"/>
            <w:hideMark/>
          </w:tcPr>
          <w:p w14:paraId="6A155DAC" w14:textId="77777777" w:rsidR="004A3F4D" w:rsidRDefault="004A3F4D" w:rsidP="00AF1E1D">
            <w:pPr>
              <w:spacing w:line="240" w:lineRule="auto"/>
              <w:jc w:val="center"/>
              <w:rPr>
                <w:rFonts w:ascii="Calibri" w:hAnsi="Calibri" w:cs="Calibri"/>
                <w:color w:val="000000"/>
              </w:rPr>
            </w:pPr>
            <w:r>
              <w:rPr>
                <w:rFonts w:ascii="Calibri" w:hAnsi="Calibri" w:cs="Calibri"/>
                <w:color w:val="000000"/>
              </w:rPr>
              <w:t>&lt;30</w:t>
            </w:r>
          </w:p>
        </w:tc>
        <w:tc>
          <w:tcPr>
            <w:tcW w:w="5796" w:type="dxa"/>
            <w:tcBorders>
              <w:top w:val="nil"/>
              <w:left w:val="nil"/>
              <w:bottom w:val="single" w:sz="4" w:space="0" w:color="auto"/>
              <w:right w:val="nil"/>
            </w:tcBorders>
            <w:shd w:val="clear" w:color="000000" w:fill="FFFFFF"/>
            <w:noWrap/>
            <w:vAlign w:val="bottom"/>
            <w:hideMark/>
          </w:tcPr>
          <w:p w14:paraId="50B78426" w14:textId="77777777" w:rsidR="004A3F4D" w:rsidRDefault="004A3F4D" w:rsidP="00AF1E1D">
            <w:pPr>
              <w:spacing w:line="240" w:lineRule="auto"/>
              <w:jc w:val="center"/>
              <w:rPr>
                <w:rFonts w:ascii="Calibri" w:hAnsi="Calibri" w:cs="Calibri"/>
                <w:color w:val="000000"/>
              </w:rPr>
            </w:pPr>
            <w:r>
              <w:rPr>
                <w:rFonts w:ascii="Calibri" w:hAnsi="Calibri" w:cs="Calibri"/>
                <w:color w:val="000000"/>
              </w:rPr>
              <w:t>Marca Bajo el Promedio</w:t>
            </w:r>
          </w:p>
        </w:tc>
      </w:tr>
    </w:tbl>
    <w:p w14:paraId="2EF4683A" w14:textId="0E9E3FCC" w:rsidR="008A1192" w:rsidRPr="00431183" w:rsidRDefault="0039681A" w:rsidP="00AF1E1D">
      <w:pPr>
        <w:spacing w:line="240" w:lineRule="auto"/>
        <w:rPr>
          <w:rFonts w:ascii="Cambria" w:hAnsi="Cambria" w:cs="Arial"/>
          <w:sz w:val="18"/>
          <w:szCs w:val="18"/>
        </w:rPr>
      </w:pPr>
      <w:r w:rsidRPr="00431183">
        <w:rPr>
          <w:rFonts w:ascii="Cambria" w:hAnsi="Cambria" w:cs="Arial"/>
          <w:sz w:val="18"/>
          <w:szCs w:val="18"/>
        </w:rPr>
        <w:t xml:space="preserve">Fuente: </w:t>
      </w:r>
      <w:r w:rsidR="0066464A" w:rsidRPr="00431183">
        <w:rPr>
          <w:rFonts w:ascii="Cambria" w:hAnsi="Cambria" w:cs="Arial"/>
          <w:sz w:val="18"/>
          <w:szCs w:val="18"/>
        </w:rPr>
        <w:t>Elaboración propia, con base en la matriz de posicionamiento de marca de Interbrand</w:t>
      </w:r>
      <w:r w:rsidR="004A3F4D">
        <w:rPr>
          <w:rFonts w:ascii="Cambria" w:hAnsi="Cambria" w:cs="Arial"/>
          <w:sz w:val="18"/>
          <w:szCs w:val="18"/>
        </w:rPr>
        <w:t>, 2018</w:t>
      </w:r>
    </w:p>
    <w:p w14:paraId="714F3CBB"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lastRenderedPageBreak/>
        <w:t xml:space="preserve">Para puntuar cada factor de fortaleza se requiere </w:t>
      </w:r>
      <w:r w:rsidR="0039681A" w:rsidRPr="00431183">
        <w:rPr>
          <w:rFonts w:ascii="Cambria" w:hAnsi="Cambria" w:cs="Arial"/>
          <w:sz w:val="24"/>
          <w:szCs w:val="24"/>
        </w:rPr>
        <w:t>analizar el distintivo</w:t>
      </w:r>
      <w:r w:rsidRPr="00431183">
        <w:rPr>
          <w:rFonts w:ascii="Cambria" w:hAnsi="Cambria" w:cs="Arial"/>
          <w:sz w:val="24"/>
          <w:szCs w:val="24"/>
        </w:rPr>
        <w:t>, de su posicionamiento en los mercados en los que opera</w:t>
      </w:r>
      <w:r w:rsidR="0039681A" w:rsidRPr="00431183">
        <w:rPr>
          <w:rFonts w:ascii="Cambria" w:hAnsi="Cambria" w:cs="Arial"/>
          <w:sz w:val="24"/>
          <w:szCs w:val="24"/>
        </w:rPr>
        <w:t>ria</w:t>
      </w:r>
      <w:r w:rsidRPr="00431183">
        <w:rPr>
          <w:rFonts w:ascii="Cambria" w:hAnsi="Cambria" w:cs="Arial"/>
          <w:sz w:val="24"/>
          <w:szCs w:val="24"/>
        </w:rPr>
        <w:t>, de las actividades realizadas en el pasado, de los plane</w:t>
      </w:r>
      <w:r w:rsidR="0039681A" w:rsidRPr="00431183">
        <w:rPr>
          <w:rFonts w:ascii="Cambria" w:hAnsi="Cambria" w:cs="Arial"/>
          <w:sz w:val="24"/>
          <w:szCs w:val="24"/>
        </w:rPr>
        <w:t>s futuros, de los riesgos</w:t>
      </w:r>
      <w:r w:rsidRPr="00431183">
        <w:rPr>
          <w:rFonts w:ascii="Cambria" w:hAnsi="Cambria" w:cs="Arial"/>
          <w:sz w:val="24"/>
          <w:szCs w:val="24"/>
        </w:rPr>
        <w:t xml:space="preserve">, entre otras. Se examinan el empaquetado y los anuncios de televisión y prensa. El instrumento utilizado muestra </w:t>
      </w:r>
      <w:r w:rsidR="002B7BA8" w:rsidRPr="00431183">
        <w:rPr>
          <w:rFonts w:ascii="Cambria" w:hAnsi="Cambria" w:cs="Arial"/>
          <w:sz w:val="24"/>
          <w:szCs w:val="24"/>
        </w:rPr>
        <w:t>que,</w:t>
      </w:r>
      <w:r w:rsidRPr="00431183">
        <w:rPr>
          <w:rFonts w:ascii="Cambria" w:hAnsi="Cambria" w:cs="Arial"/>
          <w:sz w:val="24"/>
          <w:szCs w:val="24"/>
        </w:rPr>
        <w:t xml:space="preserve"> bajo la percepción de los caficultores, cooperativas e importadores la marca obtiene un puntaje máximo de 6</w:t>
      </w:r>
      <w:r w:rsidR="00F86233">
        <w:rPr>
          <w:rFonts w:ascii="Cambria" w:hAnsi="Cambria" w:cs="Arial"/>
          <w:sz w:val="24"/>
          <w:szCs w:val="24"/>
        </w:rPr>
        <w:t>7</w:t>
      </w:r>
      <w:r w:rsidRPr="00431183">
        <w:rPr>
          <w:rFonts w:ascii="Cambria" w:hAnsi="Cambria" w:cs="Arial"/>
          <w:sz w:val="24"/>
          <w:szCs w:val="24"/>
        </w:rPr>
        <w:t xml:space="preserve">, con lo cual, se considera como una marca fuerte internacional. A continuación, los resultados detallados del Análisis de Fortaleza de marca de la Denominación de Origen del café de Tarrazú, con cada una de las variables seleccionadas; </w:t>
      </w:r>
    </w:p>
    <w:p w14:paraId="07D9B81A"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Análisis de Fortaleza de marca (en términos porcentuales)</w:t>
      </w:r>
    </w:p>
    <w:p w14:paraId="4678775D" w14:textId="77777777" w:rsidR="002B7BA8" w:rsidRPr="00431183" w:rsidRDefault="002B7BA8" w:rsidP="00431183">
      <w:pPr>
        <w:spacing w:line="240" w:lineRule="auto"/>
        <w:ind w:firstLine="708"/>
        <w:jc w:val="both"/>
        <w:rPr>
          <w:rFonts w:ascii="Cambria" w:hAnsi="Cambria" w:cs="Arial"/>
          <w:sz w:val="24"/>
          <w:szCs w:val="24"/>
        </w:rPr>
      </w:pPr>
      <w:r w:rsidRPr="00431183">
        <w:rPr>
          <w:rFonts w:ascii="Cambria" w:hAnsi="Cambria" w:cs="Arial"/>
          <w:sz w:val="24"/>
          <w:szCs w:val="24"/>
        </w:rPr>
        <w:t>A continuación, se presenta</w:t>
      </w:r>
      <w:r w:rsidR="00DE2056" w:rsidRPr="00431183">
        <w:rPr>
          <w:rFonts w:ascii="Cambria" w:hAnsi="Cambria" w:cs="Arial"/>
          <w:sz w:val="24"/>
          <w:szCs w:val="24"/>
        </w:rPr>
        <w:t>n los resultados</w:t>
      </w:r>
      <w:r w:rsidRPr="00431183">
        <w:rPr>
          <w:rFonts w:ascii="Cambria" w:hAnsi="Cambria" w:cs="Arial"/>
          <w:sz w:val="24"/>
          <w:szCs w:val="24"/>
        </w:rPr>
        <w:t xml:space="preserve"> referente</w:t>
      </w:r>
      <w:r w:rsidR="00DE2056" w:rsidRPr="00431183">
        <w:rPr>
          <w:rFonts w:ascii="Cambria" w:hAnsi="Cambria" w:cs="Arial"/>
          <w:sz w:val="24"/>
          <w:szCs w:val="24"/>
        </w:rPr>
        <w:t>s</w:t>
      </w:r>
      <w:r w:rsidRPr="00431183">
        <w:rPr>
          <w:rFonts w:ascii="Cambria" w:hAnsi="Cambria" w:cs="Arial"/>
          <w:sz w:val="24"/>
          <w:szCs w:val="24"/>
        </w:rPr>
        <w:t xml:space="preserve"> a la posición que obt</w:t>
      </w:r>
      <w:r w:rsidR="00DE2056" w:rsidRPr="00431183">
        <w:rPr>
          <w:rFonts w:ascii="Cambria" w:hAnsi="Cambria" w:cs="Arial"/>
          <w:sz w:val="24"/>
          <w:szCs w:val="24"/>
        </w:rPr>
        <w:t xml:space="preserve">uvo </w:t>
      </w:r>
      <w:r w:rsidRPr="00431183">
        <w:rPr>
          <w:rFonts w:ascii="Cambria" w:hAnsi="Cambria" w:cs="Arial"/>
          <w:sz w:val="24"/>
          <w:szCs w:val="24"/>
        </w:rPr>
        <w:t>la denominación de Origen como distintivo para diferenciar su producción</w:t>
      </w:r>
      <w:r w:rsidR="00E81B91" w:rsidRPr="00431183">
        <w:rPr>
          <w:rFonts w:ascii="Cambria" w:hAnsi="Cambria" w:cs="Arial"/>
          <w:sz w:val="24"/>
          <w:szCs w:val="24"/>
        </w:rPr>
        <w:t>;</w:t>
      </w:r>
    </w:p>
    <w:p w14:paraId="16881449" w14:textId="3817DA6E" w:rsidR="00C64C70" w:rsidRPr="00AF1E1D" w:rsidRDefault="00102BE2" w:rsidP="00AF1E1D">
      <w:pPr>
        <w:pStyle w:val="Descripcin"/>
        <w:rPr>
          <w:rFonts w:ascii="Cambria" w:hAnsi="Cambria" w:cs="Arial"/>
          <w:b/>
          <w:i w:val="0"/>
          <w:color w:val="auto"/>
          <w:sz w:val="22"/>
          <w:szCs w:val="22"/>
        </w:rPr>
      </w:pPr>
      <w:bookmarkStart w:id="103" w:name="_Toc527576363"/>
      <w:r w:rsidRPr="00AF1E1D">
        <w:rPr>
          <w:rFonts w:ascii="Cambria" w:hAnsi="Cambria"/>
          <w:b/>
          <w:i w:val="0"/>
          <w:color w:val="auto"/>
          <w:sz w:val="22"/>
          <w:szCs w:val="22"/>
        </w:rPr>
        <w:t xml:space="preserve">Tabla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00CE6395">
        <w:rPr>
          <w:rFonts w:ascii="Cambria" w:hAnsi="Cambria"/>
          <w:b/>
          <w:i w:val="0"/>
          <w:noProof/>
          <w:color w:val="auto"/>
          <w:sz w:val="22"/>
          <w:szCs w:val="22"/>
        </w:rPr>
        <w:t>5</w:t>
      </w:r>
      <w:bookmarkEnd w:id="103"/>
      <w:r w:rsidRPr="00AF1E1D">
        <w:rPr>
          <w:rFonts w:ascii="Cambria" w:hAnsi="Cambria"/>
          <w:b/>
          <w:i w:val="0"/>
          <w:color w:val="auto"/>
          <w:sz w:val="22"/>
          <w:szCs w:val="22"/>
        </w:rPr>
        <w:fldChar w:fldCharType="end"/>
      </w:r>
    </w:p>
    <w:p w14:paraId="7D7F04C4" w14:textId="062378E5" w:rsidR="008A1192" w:rsidRDefault="00C64C70" w:rsidP="00431183">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 xml:space="preserve"> </w:t>
      </w:r>
      <w:r w:rsidR="008B1459" w:rsidRPr="00AF1E1D">
        <w:rPr>
          <w:rFonts w:ascii="Cambria" w:hAnsi="Cambria" w:cs="Arial"/>
          <w:b/>
          <w:i w:val="0"/>
          <w:color w:val="auto"/>
          <w:sz w:val="22"/>
          <w:szCs w:val="22"/>
        </w:rPr>
        <w:t xml:space="preserve">Resultados del </w:t>
      </w:r>
      <w:r w:rsidR="0066464A" w:rsidRPr="00AF1E1D">
        <w:rPr>
          <w:rFonts w:ascii="Cambria" w:hAnsi="Cambria" w:cs="Arial"/>
          <w:b/>
          <w:i w:val="0"/>
          <w:color w:val="auto"/>
          <w:sz w:val="22"/>
          <w:szCs w:val="22"/>
        </w:rPr>
        <w:t>Análisis</w:t>
      </w:r>
      <w:r w:rsidR="002B7BA8" w:rsidRPr="00AF1E1D">
        <w:rPr>
          <w:rFonts w:ascii="Cambria" w:hAnsi="Cambria" w:cs="Arial"/>
          <w:b/>
          <w:i w:val="0"/>
          <w:color w:val="auto"/>
          <w:sz w:val="22"/>
          <w:szCs w:val="22"/>
        </w:rPr>
        <w:t xml:space="preserve"> de fortaleza de Marca de la Denominación de Origen Tarrazú</w:t>
      </w:r>
    </w:p>
    <w:tbl>
      <w:tblPr>
        <w:tblW w:w="8931" w:type="dxa"/>
        <w:tblCellMar>
          <w:left w:w="70" w:type="dxa"/>
          <w:right w:w="70" w:type="dxa"/>
        </w:tblCellMar>
        <w:tblLook w:val="04A0" w:firstRow="1" w:lastRow="0" w:firstColumn="1" w:lastColumn="0" w:noHBand="0" w:noVBand="1"/>
      </w:tblPr>
      <w:tblGrid>
        <w:gridCol w:w="1815"/>
        <w:gridCol w:w="2863"/>
        <w:gridCol w:w="4253"/>
      </w:tblGrid>
      <w:tr w:rsidR="004A3F4D" w:rsidRPr="004A3F4D" w14:paraId="04BFCEA7" w14:textId="77777777" w:rsidTr="00AF1E1D">
        <w:trPr>
          <w:trHeight w:val="288"/>
        </w:trPr>
        <w:tc>
          <w:tcPr>
            <w:tcW w:w="1815" w:type="dxa"/>
            <w:tcBorders>
              <w:top w:val="nil"/>
              <w:left w:val="nil"/>
              <w:bottom w:val="single" w:sz="4" w:space="0" w:color="auto"/>
              <w:right w:val="nil"/>
            </w:tcBorders>
            <w:shd w:val="clear" w:color="000000" w:fill="FFFFFF"/>
            <w:noWrap/>
            <w:vAlign w:val="bottom"/>
            <w:hideMark/>
          </w:tcPr>
          <w:p w14:paraId="11442354" w14:textId="77777777" w:rsidR="004A3F4D" w:rsidRPr="00AF1E1D" w:rsidRDefault="004A3F4D" w:rsidP="004A3F4D">
            <w:pPr>
              <w:spacing w:after="0" w:line="240" w:lineRule="auto"/>
              <w:jc w:val="center"/>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Categoría</w:t>
            </w:r>
          </w:p>
        </w:tc>
        <w:tc>
          <w:tcPr>
            <w:tcW w:w="2863" w:type="dxa"/>
            <w:tcBorders>
              <w:top w:val="nil"/>
              <w:left w:val="nil"/>
              <w:bottom w:val="single" w:sz="4" w:space="0" w:color="auto"/>
              <w:right w:val="nil"/>
            </w:tcBorders>
            <w:shd w:val="clear" w:color="000000" w:fill="FFFFFF"/>
            <w:noWrap/>
            <w:vAlign w:val="bottom"/>
            <w:hideMark/>
          </w:tcPr>
          <w:p w14:paraId="7E0C063C" w14:textId="77777777" w:rsidR="004A3F4D" w:rsidRPr="00AF1E1D" w:rsidRDefault="004A3F4D" w:rsidP="004A3F4D">
            <w:pPr>
              <w:spacing w:after="0" w:line="240" w:lineRule="auto"/>
              <w:jc w:val="center"/>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Puntaje Máximo</w:t>
            </w:r>
          </w:p>
        </w:tc>
        <w:tc>
          <w:tcPr>
            <w:tcW w:w="4253" w:type="dxa"/>
            <w:tcBorders>
              <w:top w:val="nil"/>
              <w:left w:val="nil"/>
              <w:bottom w:val="single" w:sz="4" w:space="0" w:color="auto"/>
              <w:right w:val="nil"/>
            </w:tcBorders>
            <w:shd w:val="clear" w:color="000000" w:fill="FFFFFF"/>
            <w:noWrap/>
            <w:vAlign w:val="bottom"/>
            <w:hideMark/>
          </w:tcPr>
          <w:p w14:paraId="2E5818E5" w14:textId="77777777" w:rsidR="004A3F4D" w:rsidRPr="00AF1E1D" w:rsidRDefault="004A3F4D" w:rsidP="004A3F4D">
            <w:pPr>
              <w:spacing w:after="0" w:line="240" w:lineRule="auto"/>
              <w:jc w:val="center"/>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Denominación de Origen Tarrazú</w:t>
            </w:r>
          </w:p>
        </w:tc>
      </w:tr>
      <w:tr w:rsidR="004A3F4D" w:rsidRPr="004A3F4D" w14:paraId="4F700BDD" w14:textId="77777777" w:rsidTr="00AF1E1D">
        <w:trPr>
          <w:trHeight w:val="288"/>
        </w:trPr>
        <w:tc>
          <w:tcPr>
            <w:tcW w:w="1815" w:type="dxa"/>
            <w:tcBorders>
              <w:top w:val="nil"/>
              <w:left w:val="nil"/>
              <w:bottom w:val="nil"/>
              <w:right w:val="nil"/>
            </w:tcBorders>
            <w:shd w:val="clear" w:color="000000" w:fill="FFFFFF"/>
            <w:noWrap/>
            <w:vAlign w:val="bottom"/>
            <w:hideMark/>
          </w:tcPr>
          <w:p w14:paraId="4D679EC1" w14:textId="77777777" w:rsidR="004A3F4D" w:rsidRPr="00AF1E1D" w:rsidRDefault="004A3F4D" w:rsidP="004A3F4D">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Mercado</w:t>
            </w:r>
          </w:p>
        </w:tc>
        <w:tc>
          <w:tcPr>
            <w:tcW w:w="2863" w:type="dxa"/>
            <w:tcBorders>
              <w:top w:val="nil"/>
              <w:left w:val="nil"/>
              <w:bottom w:val="nil"/>
              <w:right w:val="nil"/>
            </w:tcBorders>
            <w:shd w:val="clear" w:color="000000" w:fill="FFFFFF"/>
            <w:noWrap/>
            <w:vAlign w:val="bottom"/>
            <w:hideMark/>
          </w:tcPr>
          <w:p w14:paraId="1B4233E6" w14:textId="77777777" w:rsidR="004A3F4D" w:rsidRPr="00AF1E1D" w:rsidRDefault="004A3F4D" w:rsidP="004A3F4D">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10</w:t>
            </w:r>
          </w:p>
        </w:tc>
        <w:tc>
          <w:tcPr>
            <w:tcW w:w="4253" w:type="dxa"/>
            <w:tcBorders>
              <w:top w:val="nil"/>
              <w:left w:val="nil"/>
              <w:bottom w:val="nil"/>
              <w:right w:val="nil"/>
            </w:tcBorders>
            <w:shd w:val="clear" w:color="000000" w:fill="FFFFFF"/>
            <w:noWrap/>
            <w:vAlign w:val="bottom"/>
            <w:hideMark/>
          </w:tcPr>
          <w:p w14:paraId="55CDB39A" w14:textId="77777777" w:rsidR="004A3F4D" w:rsidRPr="00AF1E1D" w:rsidRDefault="004A3F4D" w:rsidP="004A3F4D">
            <w:pPr>
              <w:spacing w:after="0" w:line="240" w:lineRule="auto"/>
              <w:jc w:val="center"/>
              <w:rPr>
                <w:rFonts w:ascii="Cambria" w:eastAsia="Times New Roman" w:hAnsi="Cambria" w:cs="Calibri"/>
                <w:b/>
                <w:bCs/>
                <w:lang w:eastAsia="es-CR"/>
              </w:rPr>
            </w:pPr>
            <w:r w:rsidRPr="00AF1E1D">
              <w:rPr>
                <w:rFonts w:ascii="Cambria" w:eastAsia="Times New Roman" w:hAnsi="Cambria" w:cs="Calibri"/>
                <w:b/>
                <w:bCs/>
                <w:lang w:eastAsia="es-CR"/>
              </w:rPr>
              <w:t>6</w:t>
            </w:r>
          </w:p>
        </w:tc>
      </w:tr>
      <w:tr w:rsidR="004A3F4D" w:rsidRPr="004A3F4D" w14:paraId="555B2372" w14:textId="77777777" w:rsidTr="00AF1E1D">
        <w:trPr>
          <w:trHeight w:val="288"/>
        </w:trPr>
        <w:tc>
          <w:tcPr>
            <w:tcW w:w="1815" w:type="dxa"/>
            <w:tcBorders>
              <w:top w:val="nil"/>
              <w:left w:val="nil"/>
              <w:bottom w:val="nil"/>
              <w:right w:val="nil"/>
            </w:tcBorders>
            <w:shd w:val="clear" w:color="000000" w:fill="FFFFFF"/>
            <w:noWrap/>
            <w:vAlign w:val="bottom"/>
            <w:hideMark/>
          </w:tcPr>
          <w:p w14:paraId="1883ECDD" w14:textId="77777777" w:rsidR="004A3F4D" w:rsidRPr="00AF1E1D" w:rsidRDefault="004A3F4D" w:rsidP="004A3F4D">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Estabilidad</w:t>
            </w:r>
          </w:p>
        </w:tc>
        <w:tc>
          <w:tcPr>
            <w:tcW w:w="2863" w:type="dxa"/>
            <w:tcBorders>
              <w:top w:val="nil"/>
              <w:left w:val="nil"/>
              <w:bottom w:val="nil"/>
              <w:right w:val="nil"/>
            </w:tcBorders>
            <w:shd w:val="clear" w:color="000000" w:fill="FFFFFF"/>
            <w:noWrap/>
            <w:vAlign w:val="bottom"/>
            <w:hideMark/>
          </w:tcPr>
          <w:p w14:paraId="18228A04" w14:textId="77777777" w:rsidR="004A3F4D" w:rsidRPr="00AF1E1D" w:rsidRDefault="004A3F4D" w:rsidP="004A3F4D">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15</w:t>
            </w:r>
          </w:p>
        </w:tc>
        <w:tc>
          <w:tcPr>
            <w:tcW w:w="4253" w:type="dxa"/>
            <w:tcBorders>
              <w:top w:val="nil"/>
              <w:left w:val="nil"/>
              <w:bottom w:val="nil"/>
              <w:right w:val="nil"/>
            </w:tcBorders>
            <w:shd w:val="clear" w:color="000000" w:fill="FFFFFF"/>
            <w:noWrap/>
            <w:vAlign w:val="bottom"/>
            <w:hideMark/>
          </w:tcPr>
          <w:p w14:paraId="001589FB" w14:textId="77777777" w:rsidR="004A3F4D" w:rsidRPr="00AF1E1D" w:rsidRDefault="004A3F4D" w:rsidP="004A3F4D">
            <w:pPr>
              <w:spacing w:after="0" w:line="240" w:lineRule="auto"/>
              <w:jc w:val="center"/>
              <w:rPr>
                <w:rFonts w:ascii="Cambria" w:eastAsia="Times New Roman" w:hAnsi="Cambria" w:cs="Calibri"/>
                <w:b/>
                <w:bCs/>
                <w:lang w:eastAsia="es-CR"/>
              </w:rPr>
            </w:pPr>
            <w:r w:rsidRPr="00AF1E1D">
              <w:rPr>
                <w:rFonts w:ascii="Cambria" w:eastAsia="Times New Roman" w:hAnsi="Cambria" w:cs="Calibri"/>
                <w:b/>
                <w:bCs/>
                <w:lang w:eastAsia="es-CR"/>
              </w:rPr>
              <w:t>10</w:t>
            </w:r>
          </w:p>
        </w:tc>
      </w:tr>
      <w:tr w:rsidR="004A3F4D" w:rsidRPr="004A3F4D" w14:paraId="00B210AC" w14:textId="77777777" w:rsidTr="00AF1E1D">
        <w:trPr>
          <w:trHeight w:val="288"/>
        </w:trPr>
        <w:tc>
          <w:tcPr>
            <w:tcW w:w="1815" w:type="dxa"/>
            <w:tcBorders>
              <w:top w:val="nil"/>
              <w:left w:val="nil"/>
              <w:bottom w:val="nil"/>
              <w:right w:val="nil"/>
            </w:tcBorders>
            <w:shd w:val="clear" w:color="000000" w:fill="FFFFFF"/>
            <w:noWrap/>
            <w:vAlign w:val="bottom"/>
            <w:hideMark/>
          </w:tcPr>
          <w:p w14:paraId="246BAE46" w14:textId="77777777" w:rsidR="004A3F4D" w:rsidRPr="00AF1E1D" w:rsidRDefault="004A3F4D" w:rsidP="004A3F4D">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Liderazgo</w:t>
            </w:r>
          </w:p>
        </w:tc>
        <w:tc>
          <w:tcPr>
            <w:tcW w:w="2863" w:type="dxa"/>
            <w:tcBorders>
              <w:top w:val="nil"/>
              <w:left w:val="nil"/>
              <w:bottom w:val="nil"/>
              <w:right w:val="nil"/>
            </w:tcBorders>
            <w:shd w:val="clear" w:color="000000" w:fill="FFFFFF"/>
            <w:noWrap/>
            <w:vAlign w:val="bottom"/>
            <w:hideMark/>
          </w:tcPr>
          <w:p w14:paraId="52097D15" w14:textId="77777777" w:rsidR="004A3F4D" w:rsidRPr="00AF1E1D" w:rsidRDefault="004A3F4D" w:rsidP="004A3F4D">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25</w:t>
            </w:r>
          </w:p>
        </w:tc>
        <w:tc>
          <w:tcPr>
            <w:tcW w:w="4253" w:type="dxa"/>
            <w:tcBorders>
              <w:top w:val="nil"/>
              <w:left w:val="nil"/>
              <w:bottom w:val="nil"/>
              <w:right w:val="nil"/>
            </w:tcBorders>
            <w:shd w:val="clear" w:color="000000" w:fill="FFFFFF"/>
            <w:noWrap/>
            <w:vAlign w:val="bottom"/>
            <w:hideMark/>
          </w:tcPr>
          <w:p w14:paraId="51107DAC" w14:textId="77777777" w:rsidR="004A3F4D" w:rsidRPr="00AF1E1D" w:rsidRDefault="004A3F4D" w:rsidP="004A3F4D">
            <w:pPr>
              <w:spacing w:after="0" w:line="240" w:lineRule="auto"/>
              <w:jc w:val="center"/>
              <w:rPr>
                <w:rFonts w:ascii="Cambria" w:eastAsia="Times New Roman" w:hAnsi="Cambria" w:cs="Calibri"/>
                <w:b/>
                <w:bCs/>
                <w:lang w:eastAsia="es-CR"/>
              </w:rPr>
            </w:pPr>
            <w:r w:rsidRPr="00AF1E1D">
              <w:rPr>
                <w:rFonts w:ascii="Cambria" w:eastAsia="Times New Roman" w:hAnsi="Cambria" w:cs="Calibri"/>
                <w:b/>
                <w:bCs/>
                <w:lang w:eastAsia="es-CR"/>
              </w:rPr>
              <w:t>19</w:t>
            </w:r>
          </w:p>
        </w:tc>
      </w:tr>
      <w:tr w:rsidR="004A3F4D" w:rsidRPr="004A3F4D" w14:paraId="7A988ED5" w14:textId="77777777" w:rsidTr="00AF1E1D">
        <w:trPr>
          <w:trHeight w:val="288"/>
        </w:trPr>
        <w:tc>
          <w:tcPr>
            <w:tcW w:w="1815" w:type="dxa"/>
            <w:tcBorders>
              <w:top w:val="nil"/>
              <w:left w:val="nil"/>
              <w:bottom w:val="nil"/>
              <w:right w:val="nil"/>
            </w:tcBorders>
            <w:shd w:val="clear" w:color="000000" w:fill="FFFFFF"/>
            <w:noWrap/>
            <w:vAlign w:val="bottom"/>
            <w:hideMark/>
          </w:tcPr>
          <w:p w14:paraId="4A363A26" w14:textId="77777777" w:rsidR="004A3F4D" w:rsidRPr="00AF1E1D" w:rsidRDefault="004A3F4D" w:rsidP="004A3F4D">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Internacionalidad</w:t>
            </w:r>
          </w:p>
        </w:tc>
        <w:tc>
          <w:tcPr>
            <w:tcW w:w="2863" w:type="dxa"/>
            <w:tcBorders>
              <w:top w:val="nil"/>
              <w:left w:val="nil"/>
              <w:bottom w:val="nil"/>
              <w:right w:val="nil"/>
            </w:tcBorders>
            <w:shd w:val="clear" w:color="000000" w:fill="FFFFFF"/>
            <w:noWrap/>
            <w:vAlign w:val="bottom"/>
            <w:hideMark/>
          </w:tcPr>
          <w:p w14:paraId="1D61AF55" w14:textId="77777777" w:rsidR="004A3F4D" w:rsidRPr="00AF1E1D" w:rsidRDefault="004A3F4D" w:rsidP="004A3F4D">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25</w:t>
            </w:r>
          </w:p>
        </w:tc>
        <w:tc>
          <w:tcPr>
            <w:tcW w:w="4253" w:type="dxa"/>
            <w:tcBorders>
              <w:top w:val="nil"/>
              <w:left w:val="nil"/>
              <w:bottom w:val="nil"/>
              <w:right w:val="nil"/>
            </w:tcBorders>
            <w:shd w:val="clear" w:color="000000" w:fill="FFFFFF"/>
            <w:noWrap/>
            <w:vAlign w:val="bottom"/>
            <w:hideMark/>
          </w:tcPr>
          <w:p w14:paraId="4790018E" w14:textId="77777777" w:rsidR="004A3F4D" w:rsidRPr="00AF1E1D" w:rsidRDefault="004A3F4D" w:rsidP="004A3F4D">
            <w:pPr>
              <w:spacing w:after="0" w:line="240" w:lineRule="auto"/>
              <w:jc w:val="center"/>
              <w:rPr>
                <w:rFonts w:ascii="Cambria" w:eastAsia="Times New Roman" w:hAnsi="Cambria" w:cs="Calibri"/>
                <w:b/>
                <w:bCs/>
                <w:lang w:eastAsia="es-CR"/>
              </w:rPr>
            </w:pPr>
            <w:r w:rsidRPr="00AF1E1D">
              <w:rPr>
                <w:rFonts w:ascii="Cambria" w:eastAsia="Times New Roman" w:hAnsi="Cambria" w:cs="Calibri"/>
                <w:b/>
                <w:bCs/>
                <w:lang w:eastAsia="es-CR"/>
              </w:rPr>
              <w:t>15</w:t>
            </w:r>
          </w:p>
        </w:tc>
      </w:tr>
      <w:tr w:rsidR="004A3F4D" w:rsidRPr="004A3F4D" w14:paraId="67B00862" w14:textId="77777777" w:rsidTr="00AF1E1D">
        <w:trPr>
          <w:trHeight w:val="288"/>
        </w:trPr>
        <w:tc>
          <w:tcPr>
            <w:tcW w:w="1815" w:type="dxa"/>
            <w:tcBorders>
              <w:top w:val="nil"/>
              <w:left w:val="nil"/>
              <w:bottom w:val="nil"/>
              <w:right w:val="nil"/>
            </w:tcBorders>
            <w:shd w:val="clear" w:color="000000" w:fill="FFFFFF"/>
            <w:noWrap/>
            <w:vAlign w:val="bottom"/>
            <w:hideMark/>
          </w:tcPr>
          <w:p w14:paraId="49AC70F2" w14:textId="77777777" w:rsidR="004A3F4D" w:rsidRPr="00AF1E1D" w:rsidRDefault="004A3F4D" w:rsidP="004A3F4D">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Tendencia</w:t>
            </w:r>
          </w:p>
        </w:tc>
        <w:tc>
          <w:tcPr>
            <w:tcW w:w="2863" w:type="dxa"/>
            <w:tcBorders>
              <w:top w:val="nil"/>
              <w:left w:val="nil"/>
              <w:bottom w:val="nil"/>
              <w:right w:val="nil"/>
            </w:tcBorders>
            <w:shd w:val="clear" w:color="000000" w:fill="FFFFFF"/>
            <w:noWrap/>
            <w:vAlign w:val="bottom"/>
            <w:hideMark/>
          </w:tcPr>
          <w:p w14:paraId="7775DF95" w14:textId="77777777" w:rsidR="004A3F4D" w:rsidRPr="00AF1E1D" w:rsidRDefault="004A3F4D" w:rsidP="004A3F4D">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10</w:t>
            </w:r>
          </w:p>
        </w:tc>
        <w:tc>
          <w:tcPr>
            <w:tcW w:w="4253" w:type="dxa"/>
            <w:tcBorders>
              <w:top w:val="nil"/>
              <w:left w:val="nil"/>
              <w:bottom w:val="nil"/>
              <w:right w:val="nil"/>
            </w:tcBorders>
            <w:shd w:val="clear" w:color="000000" w:fill="FFFFFF"/>
            <w:noWrap/>
            <w:vAlign w:val="bottom"/>
            <w:hideMark/>
          </w:tcPr>
          <w:p w14:paraId="000F5803" w14:textId="77777777" w:rsidR="004A3F4D" w:rsidRPr="00AF1E1D" w:rsidRDefault="004A3F4D" w:rsidP="004A3F4D">
            <w:pPr>
              <w:spacing w:after="0" w:line="240" w:lineRule="auto"/>
              <w:jc w:val="center"/>
              <w:rPr>
                <w:rFonts w:ascii="Cambria" w:eastAsia="Times New Roman" w:hAnsi="Cambria" w:cs="Calibri"/>
                <w:b/>
                <w:bCs/>
                <w:lang w:eastAsia="es-CR"/>
              </w:rPr>
            </w:pPr>
            <w:r w:rsidRPr="00AF1E1D">
              <w:rPr>
                <w:rFonts w:ascii="Cambria" w:eastAsia="Times New Roman" w:hAnsi="Cambria" w:cs="Calibri"/>
                <w:b/>
                <w:bCs/>
                <w:lang w:eastAsia="es-CR"/>
              </w:rPr>
              <w:t>6</w:t>
            </w:r>
          </w:p>
        </w:tc>
      </w:tr>
      <w:tr w:rsidR="004A3F4D" w:rsidRPr="004A3F4D" w14:paraId="121FDCF5" w14:textId="77777777" w:rsidTr="00AF1E1D">
        <w:trPr>
          <w:trHeight w:val="288"/>
        </w:trPr>
        <w:tc>
          <w:tcPr>
            <w:tcW w:w="1815" w:type="dxa"/>
            <w:tcBorders>
              <w:top w:val="nil"/>
              <w:left w:val="nil"/>
              <w:bottom w:val="nil"/>
              <w:right w:val="nil"/>
            </w:tcBorders>
            <w:shd w:val="clear" w:color="000000" w:fill="FFFFFF"/>
            <w:noWrap/>
            <w:vAlign w:val="bottom"/>
            <w:hideMark/>
          </w:tcPr>
          <w:p w14:paraId="673E98A1" w14:textId="77777777" w:rsidR="004A3F4D" w:rsidRPr="00AF1E1D" w:rsidRDefault="004A3F4D" w:rsidP="004A3F4D">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Soporte</w:t>
            </w:r>
          </w:p>
        </w:tc>
        <w:tc>
          <w:tcPr>
            <w:tcW w:w="2863" w:type="dxa"/>
            <w:tcBorders>
              <w:top w:val="nil"/>
              <w:left w:val="nil"/>
              <w:bottom w:val="nil"/>
              <w:right w:val="nil"/>
            </w:tcBorders>
            <w:shd w:val="clear" w:color="000000" w:fill="FFFFFF"/>
            <w:noWrap/>
            <w:vAlign w:val="bottom"/>
            <w:hideMark/>
          </w:tcPr>
          <w:p w14:paraId="677237B8" w14:textId="77777777" w:rsidR="004A3F4D" w:rsidRPr="00AF1E1D" w:rsidRDefault="004A3F4D" w:rsidP="004A3F4D">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10</w:t>
            </w:r>
          </w:p>
        </w:tc>
        <w:tc>
          <w:tcPr>
            <w:tcW w:w="4253" w:type="dxa"/>
            <w:tcBorders>
              <w:top w:val="nil"/>
              <w:left w:val="nil"/>
              <w:bottom w:val="nil"/>
              <w:right w:val="nil"/>
            </w:tcBorders>
            <w:shd w:val="clear" w:color="000000" w:fill="FFFFFF"/>
            <w:noWrap/>
            <w:vAlign w:val="bottom"/>
            <w:hideMark/>
          </w:tcPr>
          <w:p w14:paraId="23D088E1" w14:textId="77777777" w:rsidR="004A3F4D" w:rsidRPr="00AF1E1D" w:rsidRDefault="004A3F4D" w:rsidP="004A3F4D">
            <w:pPr>
              <w:spacing w:after="0" w:line="240" w:lineRule="auto"/>
              <w:jc w:val="center"/>
              <w:rPr>
                <w:rFonts w:ascii="Cambria" w:eastAsia="Times New Roman" w:hAnsi="Cambria" w:cs="Calibri"/>
                <w:b/>
                <w:bCs/>
                <w:lang w:eastAsia="es-CR"/>
              </w:rPr>
            </w:pPr>
            <w:r w:rsidRPr="00AF1E1D">
              <w:rPr>
                <w:rFonts w:ascii="Cambria" w:eastAsia="Times New Roman" w:hAnsi="Cambria" w:cs="Calibri"/>
                <w:b/>
                <w:bCs/>
                <w:lang w:eastAsia="es-CR"/>
              </w:rPr>
              <w:t>6</w:t>
            </w:r>
          </w:p>
        </w:tc>
      </w:tr>
      <w:tr w:rsidR="004A3F4D" w:rsidRPr="004A3F4D" w14:paraId="425B1D71" w14:textId="77777777" w:rsidTr="00AF1E1D">
        <w:trPr>
          <w:trHeight w:val="288"/>
        </w:trPr>
        <w:tc>
          <w:tcPr>
            <w:tcW w:w="1815" w:type="dxa"/>
            <w:tcBorders>
              <w:top w:val="nil"/>
              <w:left w:val="nil"/>
              <w:bottom w:val="nil"/>
              <w:right w:val="nil"/>
            </w:tcBorders>
            <w:shd w:val="clear" w:color="000000" w:fill="FFFFFF"/>
            <w:noWrap/>
            <w:vAlign w:val="bottom"/>
            <w:hideMark/>
          </w:tcPr>
          <w:p w14:paraId="6B6C65D6" w14:textId="77777777" w:rsidR="004A3F4D" w:rsidRPr="00AF1E1D" w:rsidRDefault="004A3F4D" w:rsidP="004A3F4D">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Protección</w:t>
            </w:r>
          </w:p>
        </w:tc>
        <w:tc>
          <w:tcPr>
            <w:tcW w:w="2863" w:type="dxa"/>
            <w:tcBorders>
              <w:top w:val="nil"/>
              <w:left w:val="nil"/>
              <w:bottom w:val="nil"/>
              <w:right w:val="nil"/>
            </w:tcBorders>
            <w:shd w:val="clear" w:color="000000" w:fill="FFFFFF"/>
            <w:noWrap/>
            <w:vAlign w:val="bottom"/>
            <w:hideMark/>
          </w:tcPr>
          <w:p w14:paraId="388BC3D8" w14:textId="77777777" w:rsidR="004A3F4D" w:rsidRPr="00AF1E1D" w:rsidRDefault="004A3F4D" w:rsidP="004A3F4D">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5</w:t>
            </w:r>
          </w:p>
        </w:tc>
        <w:tc>
          <w:tcPr>
            <w:tcW w:w="4253" w:type="dxa"/>
            <w:tcBorders>
              <w:top w:val="nil"/>
              <w:left w:val="nil"/>
              <w:bottom w:val="nil"/>
              <w:right w:val="nil"/>
            </w:tcBorders>
            <w:shd w:val="clear" w:color="000000" w:fill="FFFFFF"/>
            <w:noWrap/>
            <w:vAlign w:val="bottom"/>
            <w:hideMark/>
          </w:tcPr>
          <w:p w14:paraId="64E50E1B" w14:textId="77777777" w:rsidR="004A3F4D" w:rsidRPr="00AF1E1D" w:rsidRDefault="004A3F4D" w:rsidP="004A3F4D">
            <w:pPr>
              <w:spacing w:after="0" w:line="240" w:lineRule="auto"/>
              <w:jc w:val="center"/>
              <w:rPr>
                <w:rFonts w:ascii="Cambria" w:eastAsia="Times New Roman" w:hAnsi="Cambria" w:cs="Calibri"/>
                <w:b/>
                <w:bCs/>
                <w:lang w:eastAsia="es-CR"/>
              </w:rPr>
            </w:pPr>
            <w:r w:rsidRPr="00AF1E1D">
              <w:rPr>
                <w:rFonts w:ascii="Cambria" w:eastAsia="Times New Roman" w:hAnsi="Cambria" w:cs="Calibri"/>
                <w:b/>
                <w:bCs/>
                <w:lang w:eastAsia="es-CR"/>
              </w:rPr>
              <w:t>5</w:t>
            </w:r>
          </w:p>
        </w:tc>
      </w:tr>
      <w:tr w:rsidR="004A3F4D" w:rsidRPr="004A3F4D" w14:paraId="6CF6F6A3" w14:textId="77777777" w:rsidTr="00AF1E1D">
        <w:trPr>
          <w:trHeight w:val="288"/>
        </w:trPr>
        <w:tc>
          <w:tcPr>
            <w:tcW w:w="1815" w:type="dxa"/>
            <w:tcBorders>
              <w:top w:val="single" w:sz="4" w:space="0" w:color="auto"/>
              <w:left w:val="nil"/>
              <w:bottom w:val="nil"/>
              <w:right w:val="nil"/>
            </w:tcBorders>
            <w:shd w:val="clear" w:color="000000" w:fill="FFFFFF"/>
            <w:noWrap/>
            <w:vAlign w:val="bottom"/>
            <w:hideMark/>
          </w:tcPr>
          <w:p w14:paraId="3C8546A7" w14:textId="77777777" w:rsidR="004A3F4D" w:rsidRPr="00AF1E1D" w:rsidRDefault="004A3F4D" w:rsidP="004A3F4D">
            <w:pPr>
              <w:spacing w:after="0" w:line="240" w:lineRule="auto"/>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Total</w:t>
            </w:r>
          </w:p>
        </w:tc>
        <w:tc>
          <w:tcPr>
            <w:tcW w:w="2863" w:type="dxa"/>
            <w:tcBorders>
              <w:top w:val="single" w:sz="4" w:space="0" w:color="auto"/>
              <w:left w:val="nil"/>
              <w:bottom w:val="nil"/>
              <w:right w:val="nil"/>
            </w:tcBorders>
            <w:shd w:val="clear" w:color="000000" w:fill="FFFFFF"/>
            <w:noWrap/>
            <w:vAlign w:val="bottom"/>
            <w:hideMark/>
          </w:tcPr>
          <w:p w14:paraId="5FF43CE6" w14:textId="77777777" w:rsidR="004A3F4D" w:rsidRPr="00AF1E1D" w:rsidRDefault="004A3F4D" w:rsidP="004A3F4D">
            <w:pPr>
              <w:spacing w:after="0" w:line="240" w:lineRule="auto"/>
              <w:jc w:val="center"/>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100</w:t>
            </w:r>
          </w:p>
        </w:tc>
        <w:tc>
          <w:tcPr>
            <w:tcW w:w="4253" w:type="dxa"/>
            <w:tcBorders>
              <w:top w:val="single" w:sz="4" w:space="0" w:color="auto"/>
              <w:left w:val="nil"/>
              <w:bottom w:val="nil"/>
              <w:right w:val="nil"/>
            </w:tcBorders>
            <w:shd w:val="clear" w:color="000000" w:fill="FFFFFF"/>
            <w:noWrap/>
            <w:vAlign w:val="bottom"/>
            <w:hideMark/>
          </w:tcPr>
          <w:p w14:paraId="37D1214A" w14:textId="77777777" w:rsidR="004A3F4D" w:rsidRPr="00AF1E1D" w:rsidRDefault="004A3F4D" w:rsidP="004A3F4D">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67</w:t>
            </w:r>
          </w:p>
        </w:tc>
      </w:tr>
    </w:tbl>
    <w:p w14:paraId="34653D1B" w14:textId="77777777" w:rsidR="004A3F4D" w:rsidRPr="00AF1E1D" w:rsidRDefault="004A3F4D" w:rsidP="00AF1E1D"/>
    <w:p w14:paraId="0CE6C1A7" w14:textId="19E18EE2" w:rsidR="008A1192" w:rsidRPr="00431183" w:rsidRDefault="008A1192" w:rsidP="00431183">
      <w:pPr>
        <w:spacing w:line="240" w:lineRule="auto"/>
        <w:jc w:val="both"/>
        <w:rPr>
          <w:rFonts w:ascii="Cambria" w:hAnsi="Cambria" w:cs="Arial"/>
          <w:sz w:val="18"/>
          <w:szCs w:val="18"/>
        </w:rPr>
      </w:pPr>
      <w:r w:rsidRPr="00431183">
        <w:rPr>
          <w:rFonts w:ascii="Cambria" w:hAnsi="Cambria" w:cs="Arial"/>
          <w:sz w:val="18"/>
          <w:szCs w:val="18"/>
        </w:rPr>
        <w:t>Fuente: Elaboración propia, con base en la matriz de calificación de Interbrand</w:t>
      </w:r>
      <w:r w:rsidR="004A3F4D">
        <w:rPr>
          <w:rFonts w:ascii="Cambria" w:hAnsi="Cambria" w:cs="Arial"/>
          <w:sz w:val="18"/>
          <w:szCs w:val="18"/>
        </w:rPr>
        <w:t>, 2018</w:t>
      </w:r>
    </w:p>
    <w:p w14:paraId="3590E7C6" w14:textId="77777777" w:rsidR="009C07E3" w:rsidRDefault="009C07E3" w:rsidP="00431183">
      <w:pPr>
        <w:spacing w:line="240" w:lineRule="auto"/>
        <w:jc w:val="both"/>
        <w:rPr>
          <w:rFonts w:ascii="Cambria" w:hAnsi="Cambria" w:cs="Arial"/>
          <w:b/>
          <w:sz w:val="24"/>
          <w:szCs w:val="24"/>
        </w:rPr>
      </w:pPr>
    </w:p>
    <w:p w14:paraId="0B9FCD42" w14:textId="42864EFC"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Estimación de la Tasa Royalty</w:t>
      </w:r>
      <w:r w:rsidR="008B1459" w:rsidRPr="00431183">
        <w:rPr>
          <w:rFonts w:ascii="Cambria" w:hAnsi="Cambria" w:cs="Arial"/>
          <w:b/>
          <w:sz w:val="24"/>
          <w:szCs w:val="24"/>
        </w:rPr>
        <w:t xml:space="preserve"> o Tasa de Regalías</w:t>
      </w:r>
    </w:p>
    <w:p w14:paraId="3588DF91" w14:textId="77777777" w:rsidR="003B24C3" w:rsidRDefault="003B24C3" w:rsidP="003B24C3">
      <w:pPr>
        <w:spacing w:line="240" w:lineRule="auto"/>
        <w:ind w:firstLine="708"/>
        <w:jc w:val="both"/>
        <w:rPr>
          <w:rFonts w:ascii="Cambria" w:hAnsi="Cambria" w:cs="Arial"/>
          <w:sz w:val="24"/>
          <w:szCs w:val="24"/>
        </w:rPr>
      </w:pPr>
      <w:r>
        <w:rPr>
          <w:rFonts w:ascii="Cambria" w:hAnsi="Cambria" w:cs="Arial"/>
          <w:sz w:val="24"/>
          <w:szCs w:val="24"/>
        </w:rPr>
        <w:t>Para la estimación de la tasa de Regalías, en el caso de la DO de Tarrazú,  se utiliza como fuente  la plataforma</w:t>
      </w:r>
      <w:r w:rsidRPr="00431183">
        <w:rPr>
          <w:rFonts w:ascii="Cambria" w:hAnsi="Cambria" w:cs="Arial"/>
          <w:sz w:val="24"/>
          <w:szCs w:val="24"/>
        </w:rPr>
        <w:t xml:space="preserve"> Royalty Source</w:t>
      </w:r>
      <w:r>
        <w:rPr>
          <w:rFonts w:ascii="Cambria" w:hAnsi="Cambria" w:cs="Arial"/>
          <w:sz w:val="24"/>
          <w:szCs w:val="24"/>
        </w:rPr>
        <w:t>, la cual</w:t>
      </w:r>
      <w:r w:rsidRPr="00431183">
        <w:rPr>
          <w:rFonts w:ascii="Cambria" w:hAnsi="Cambria" w:cs="Arial"/>
          <w:sz w:val="24"/>
          <w:szCs w:val="24"/>
        </w:rPr>
        <w:t xml:space="preserve"> proporciona una lista de royalties efectivamente pagados por diversas compañías pertenecientes al sector cafetalero</w:t>
      </w:r>
      <w:r>
        <w:rPr>
          <w:rFonts w:ascii="Cambria" w:hAnsi="Cambria" w:cs="Arial"/>
          <w:sz w:val="24"/>
          <w:szCs w:val="24"/>
        </w:rPr>
        <w:t xml:space="preserve"> a nivel global</w:t>
      </w:r>
      <w:r w:rsidRPr="00431183">
        <w:rPr>
          <w:rFonts w:ascii="Cambria" w:hAnsi="Cambria" w:cs="Arial"/>
          <w:sz w:val="24"/>
          <w:szCs w:val="24"/>
        </w:rPr>
        <w:t xml:space="preserve">. Este análisis es base fundamental para estimar un royalty de industria apropiado y poder aplicar la metodología de </w:t>
      </w:r>
      <w:r>
        <w:rPr>
          <w:rFonts w:ascii="Cambria" w:hAnsi="Cambria" w:cs="Arial"/>
          <w:sz w:val="24"/>
          <w:szCs w:val="24"/>
        </w:rPr>
        <w:t>a</w:t>
      </w:r>
      <w:r w:rsidRPr="00431183">
        <w:rPr>
          <w:rFonts w:ascii="Cambria" w:hAnsi="Cambria" w:cs="Arial"/>
          <w:sz w:val="24"/>
          <w:szCs w:val="24"/>
        </w:rPr>
        <w:t xml:space="preserve">horro en regalías, </w:t>
      </w:r>
      <w:r>
        <w:rPr>
          <w:rFonts w:ascii="Cambria" w:hAnsi="Cambria" w:cs="Arial"/>
          <w:sz w:val="24"/>
          <w:szCs w:val="24"/>
        </w:rPr>
        <w:t xml:space="preserve">esta </w:t>
      </w:r>
      <w:r w:rsidRPr="00431183">
        <w:rPr>
          <w:rFonts w:ascii="Cambria" w:hAnsi="Cambria" w:cs="Arial"/>
          <w:sz w:val="24"/>
          <w:szCs w:val="24"/>
        </w:rPr>
        <w:t xml:space="preserve">se basa en que el valor del activo intangible será igual al valor presente del ahorro en costos como resultado de no tener que pagar una regalía a un </w:t>
      </w:r>
      <w:r>
        <w:rPr>
          <w:rFonts w:ascii="Cambria" w:hAnsi="Cambria" w:cs="Arial"/>
          <w:sz w:val="24"/>
          <w:szCs w:val="24"/>
        </w:rPr>
        <w:t>tercero por el uso del activo; e</w:t>
      </w:r>
      <w:r w:rsidRPr="00431183">
        <w:rPr>
          <w:rFonts w:ascii="Cambria" w:hAnsi="Cambria" w:cs="Arial"/>
          <w:sz w:val="24"/>
          <w:szCs w:val="24"/>
        </w:rPr>
        <w:t>ste ahorro en costos es estimado con base en el pago de una “regalía hipotética” que se pagaría a un tercero por el uso del activo, menos el ahorro en impuestos logrado por el tercero sobre los pagos de la regalía.</w:t>
      </w:r>
    </w:p>
    <w:p w14:paraId="5977305B" w14:textId="77777777" w:rsidR="002C7111" w:rsidRDefault="002C7111" w:rsidP="00431183">
      <w:pPr>
        <w:spacing w:line="240" w:lineRule="auto"/>
        <w:ind w:firstLine="708"/>
        <w:jc w:val="both"/>
      </w:pPr>
    </w:p>
    <w:p w14:paraId="78C3069E" w14:textId="77777777" w:rsidR="002C7111" w:rsidRPr="00AF1E1D" w:rsidRDefault="002C7111" w:rsidP="00AF1E1D">
      <w:pPr>
        <w:spacing w:line="240" w:lineRule="auto"/>
        <w:jc w:val="both"/>
      </w:pPr>
    </w:p>
    <w:p w14:paraId="6CE1D455" w14:textId="2B65B2D9" w:rsidR="00C64C70" w:rsidRPr="00AF1E1D" w:rsidRDefault="006A0328" w:rsidP="00AF1E1D">
      <w:pPr>
        <w:pStyle w:val="Descripcin"/>
        <w:rPr>
          <w:rFonts w:ascii="Cambria" w:hAnsi="Cambria" w:cs="Arial"/>
          <w:b/>
          <w:i w:val="0"/>
          <w:iCs w:val="0"/>
          <w:color w:val="auto"/>
          <w:sz w:val="22"/>
          <w:szCs w:val="22"/>
        </w:rPr>
      </w:pPr>
      <w:bookmarkStart w:id="104" w:name="_Toc527576364"/>
      <w:r w:rsidRPr="00AF1E1D">
        <w:rPr>
          <w:rFonts w:ascii="Cambria" w:hAnsi="Cambria"/>
          <w:b/>
          <w:i w:val="0"/>
          <w:color w:val="auto"/>
          <w:sz w:val="22"/>
          <w:szCs w:val="22"/>
        </w:rPr>
        <w:lastRenderedPageBreak/>
        <w:t xml:space="preserve">Tabla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00CE6395">
        <w:rPr>
          <w:rFonts w:ascii="Cambria" w:hAnsi="Cambria"/>
          <w:b/>
          <w:i w:val="0"/>
          <w:noProof/>
          <w:color w:val="auto"/>
          <w:sz w:val="22"/>
          <w:szCs w:val="22"/>
        </w:rPr>
        <w:t>6</w:t>
      </w:r>
      <w:bookmarkEnd w:id="104"/>
      <w:r w:rsidRPr="00AF1E1D">
        <w:rPr>
          <w:rFonts w:ascii="Cambria" w:hAnsi="Cambria"/>
          <w:b/>
          <w:i w:val="0"/>
          <w:color w:val="auto"/>
          <w:sz w:val="22"/>
          <w:szCs w:val="22"/>
        </w:rPr>
        <w:fldChar w:fldCharType="end"/>
      </w:r>
    </w:p>
    <w:p w14:paraId="1483EF55" w14:textId="778AF08B" w:rsidR="00CB127F" w:rsidRPr="00AF1E1D" w:rsidRDefault="002B7BA8" w:rsidP="00AF1E1D">
      <w:r w:rsidRPr="00AF1E1D">
        <w:rPr>
          <w:rFonts w:ascii="Cambria" w:hAnsi="Cambria" w:cs="Arial"/>
          <w:b/>
        </w:rPr>
        <w:t>Estimación de la tasa Royalty para la Denominación de Origen Tarrazú</w:t>
      </w:r>
    </w:p>
    <w:p w14:paraId="23884B36" w14:textId="77777777" w:rsidR="002B7BA8" w:rsidRPr="00431183" w:rsidRDefault="002B7BA8" w:rsidP="00AF1E1D">
      <w:pPr>
        <w:pStyle w:val="Descripcin"/>
        <w:jc w:val="both"/>
        <w:rPr>
          <w:rFonts w:ascii="Cambria" w:hAnsi="Cambria"/>
          <w:sz w:val="24"/>
          <w:szCs w:val="24"/>
        </w:rPr>
      </w:pPr>
    </w:p>
    <w:tbl>
      <w:tblPr>
        <w:tblStyle w:val="Tablanormal21"/>
        <w:tblpPr w:leftFromText="141" w:rightFromText="141" w:vertAnchor="text" w:horzAnchor="margin" w:tblpXSpec="center" w:tblpY="-261"/>
        <w:tblW w:w="8980" w:type="dxa"/>
        <w:tblLook w:val="0600" w:firstRow="0" w:lastRow="0" w:firstColumn="0" w:lastColumn="0" w:noHBand="1" w:noVBand="1"/>
      </w:tblPr>
      <w:tblGrid>
        <w:gridCol w:w="3940"/>
        <w:gridCol w:w="2520"/>
        <w:gridCol w:w="486"/>
        <w:gridCol w:w="2034"/>
      </w:tblGrid>
      <w:tr w:rsidR="002B7BA8" w:rsidRPr="00431183" w14:paraId="13E1287D" w14:textId="77777777" w:rsidTr="00AF1E1D">
        <w:trPr>
          <w:trHeight w:val="428"/>
        </w:trPr>
        <w:tc>
          <w:tcPr>
            <w:tcW w:w="3940" w:type="dxa"/>
            <w:tcBorders>
              <w:bottom w:val="single" w:sz="4" w:space="0" w:color="auto"/>
              <w:right w:val="single" w:sz="4" w:space="0" w:color="auto"/>
            </w:tcBorders>
            <w:hideMark/>
          </w:tcPr>
          <w:p w14:paraId="3EBA2598" w14:textId="381E65E0" w:rsidR="002B7BA8" w:rsidRPr="00AF1E1D" w:rsidRDefault="00CB127F" w:rsidP="00431183">
            <w:pPr>
              <w:rPr>
                <w:rFonts w:ascii="Cambria" w:eastAsia="Times New Roman" w:hAnsi="Cambria" w:cs="Times New Roman"/>
                <w:b/>
              </w:rPr>
            </w:pPr>
            <w:r w:rsidRPr="00AF1E1D">
              <w:rPr>
                <w:rFonts w:ascii="Cambria" w:eastAsia="Times New Roman" w:hAnsi="Cambria" w:cs="Times New Roman"/>
                <w:b/>
              </w:rPr>
              <w:t xml:space="preserve">Criterios de comparación </w:t>
            </w:r>
          </w:p>
        </w:tc>
        <w:tc>
          <w:tcPr>
            <w:tcW w:w="3006" w:type="dxa"/>
            <w:gridSpan w:val="2"/>
            <w:tcBorders>
              <w:left w:val="single" w:sz="4" w:space="0" w:color="auto"/>
              <w:bottom w:val="single" w:sz="4" w:space="0" w:color="auto"/>
            </w:tcBorders>
            <w:hideMark/>
          </w:tcPr>
          <w:p w14:paraId="0640FCEF" w14:textId="77777777" w:rsidR="002B7BA8" w:rsidRPr="00AF1E1D" w:rsidRDefault="002B7BA8" w:rsidP="00431183">
            <w:pPr>
              <w:spacing w:before="108"/>
              <w:jc w:val="center"/>
              <w:textAlignment w:val="baseline"/>
              <w:rPr>
                <w:rFonts w:ascii="Cambria" w:eastAsia="Times New Roman" w:hAnsi="Cambria" w:cs="Arial"/>
              </w:rPr>
            </w:pPr>
            <w:r w:rsidRPr="00AF1E1D">
              <w:rPr>
                <w:rFonts w:ascii="Cambria" w:eastAsia="Verdana" w:hAnsi="Cambria" w:cs="Arial"/>
                <w:b/>
                <w:bCs/>
                <w:kern w:val="24"/>
              </w:rPr>
              <w:t>Tasa Royalty % (Rango Bajo)</w:t>
            </w:r>
          </w:p>
        </w:tc>
        <w:tc>
          <w:tcPr>
            <w:tcW w:w="2034" w:type="dxa"/>
            <w:tcBorders>
              <w:bottom w:val="single" w:sz="4" w:space="0" w:color="auto"/>
            </w:tcBorders>
            <w:hideMark/>
          </w:tcPr>
          <w:p w14:paraId="0633FF98" w14:textId="77777777" w:rsidR="002B7BA8" w:rsidRPr="00AF1E1D" w:rsidRDefault="002B7BA8" w:rsidP="00431183">
            <w:pPr>
              <w:spacing w:before="108"/>
              <w:jc w:val="center"/>
              <w:textAlignment w:val="baseline"/>
              <w:rPr>
                <w:rFonts w:ascii="Cambria" w:eastAsia="Times New Roman" w:hAnsi="Cambria" w:cs="Arial"/>
              </w:rPr>
            </w:pPr>
            <w:r w:rsidRPr="00AF1E1D">
              <w:rPr>
                <w:rFonts w:ascii="Cambria" w:eastAsia="Verdana" w:hAnsi="Cambria" w:cs="Arial"/>
                <w:b/>
                <w:bCs/>
                <w:kern w:val="24"/>
              </w:rPr>
              <w:t>Tasa Royalty % (Rango Alto)</w:t>
            </w:r>
          </w:p>
        </w:tc>
      </w:tr>
      <w:tr w:rsidR="002B7BA8" w:rsidRPr="00431183" w14:paraId="67C95027" w14:textId="77777777" w:rsidTr="00CB127F">
        <w:tc>
          <w:tcPr>
            <w:tcW w:w="3940" w:type="dxa"/>
            <w:tcBorders>
              <w:top w:val="single" w:sz="4" w:space="0" w:color="auto"/>
              <w:right w:val="single" w:sz="4" w:space="0" w:color="auto"/>
            </w:tcBorders>
            <w:hideMark/>
          </w:tcPr>
          <w:p w14:paraId="3FDAF4B7" w14:textId="77777777" w:rsidR="002B7BA8" w:rsidRPr="00AF1E1D" w:rsidRDefault="002B7BA8" w:rsidP="00AF1E1D">
            <w:pPr>
              <w:spacing w:before="108"/>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JAMMIN JAVA CORP.</w:t>
            </w:r>
          </w:p>
        </w:tc>
        <w:tc>
          <w:tcPr>
            <w:tcW w:w="2520" w:type="dxa"/>
            <w:tcBorders>
              <w:top w:val="single" w:sz="4" w:space="0" w:color="auto"/>
              <w:left w:val="single" w:sz="4" w:space="0" w:color="auto"/>
            </w:tcBorders>
            <w:hideMark/>
          </w:tcPr>
          <w:p w14:paraId="4DEAD7E3"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3.00</w:t>
            </w:r>
          </w:p>
        </w:tc>
        <w:tc>
          <w:tcPr>
            <w:tcW w:w="2520" w:type="dxa"/>
            <w:gridSpan w:val="2"/>
            <w:tcBorders>
              <w:top w:val="single" w:sz="4" w:space="0" w:color="auto"/>
            </w:tcBorders>
            <w:hideMark/>
          </w:tcPr>
          <w:p w14:paraId="4568FD46"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3.00</w:t>
            </w:r>
          </w:p>
        </w:tc>
      </w:tr>
      <w:tr w:rsidR="002B7BA8" w:rsidRPr="00431183" w14:paraId="74CFE441" w14:textId="77777777" w:rsidTr="00CB127F">
        <w:tc>
          <w:tcPr>
            <w:tcW w:w="3940" w:type="dxa"/>
            <w:tcBorders>
              <w:right w:val="single" w:sz="4" w:space="0" w:color="auto"/>
            </w:tcBorders>
            <w:hideMark/>
          </w:tcPr>
          <w:p w14:paraId="3114CD53" w14:textId="77777777" w:rsidR="002B7BA8" w:rsidRPr="00AF1E1D" w:rsidRDefault="002B7BA8" w:rsidP="00AF1E1D">
            <w:pPr>
              <w:spacing w:before="108"/>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VARIOUS</w:t>
            </w:r>
          </w:p>
        </w:tc>
        <w:tc>
          <w:tcPr>
            <w:tcW w:w="2520" w:type="dxa"/>
            <w:tcBorders>
              <w:left w:val="single" w:sz="4" w:space="0" w:color="auto"/>
            </w:tcBorders>
            <w:hideMark/>
          </w:tcPr>
          <w:p w14:paraId="0615A4E0"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6.50</w:t>
            </w:r>
          </w:p>
        </w:tc>
        <w:tc>
          <w:tcPr>
            <w:tcW w:w="2520" w:type="dxa"/>
            <w:gridSpan w:val="2"/>
            <w:hideMark/>
          </w:tcPr>
          <w:p w14:paraId="0762CFF0"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6.50</w:t>
            </w:r>
          </w:p>
        </w:tc>
      </w:tr>
      <w:tr w:rsidR="002B7BA8" w:rsidRPr="00431183" w14:paraId="3E4E88BE" w14:textId="77777777" w:rsidTr="00CB127F">
        <w:trPr>
          <w:trHeight w:val="428"/>
        </w:trPr>
        <w:tc>
          <w:tcPr>
            <w:tcW w:w="3940" w:type="dxa"/>
            <w:tcBorders>
              <w:right w:val="single" w:sz="4" w:space="0" w:color="auto"/>
            </w:tcBorders>
            <w:hideMark/>
          </w:tcPr>
          <w:p w14:paraId="6674890C" w14:textId="77777777" w:rsidR="002B7BA8" w:rsidRPr="00AF1E1D" w:rsidRDefault="002B7BA8" w:rsidP="00AF1E1D">
            <w:pPr>
              <w:spacing w:before="108"/>
              <w:textAlignment w:val="baseline"/>
              <w:rPr>
                <w:rFonts w:ascii="Cambria" w:eastAsia="Times New Roman" w:hAnsi="Cambria" w:cs="Arial"/>
                <w:color w:val="000000" w:themeColor="text1"/>
                <w:lang w:val="en-US"/>
              </w:rPr>
            </w:pPr>
            <w:r w:rsidRPr="00AF1E1D">
              <w:rPr>
                <w:rFonts w:ascii="Cambria" w:eastAsia="Verdana" w:hAnsi="Cambria" w:cs="Verdana"/>
                <w:color w:val="000000" w:themeColor="text1"/>
                <w:kern w:val="24"/>
                <w:lang w:val="en-US"/>
              </w:rPr>
              <w:t>STARBUCKS COFFEE KOREA CO. (SHINSEGAE CO)</w:t>
            </w:r>
          </w:p>
        </w:tc>
        <w:tc>
          <w:tcPr>
            <w:tcW w:w="2520" w:type="dxa"/>
            <w:tcBorders>
              <w:left w:val="single" w:sz="4" w:space="0" w:color="auto"/>
            </w:tcBorders>
            <w:hideMark/>
          </w:tcPr>
          <w:p w14:paraId="1FBA7FE2"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5.00</w:t>
            </w:r>
          </w:p>
        </w:tc>
        <w:tc>
          <w:tcPr>
            <w:tcW w:w="2520" w:type="dxa"/>
            <w:gridSpan w:val="2"/>
            <w:hideMark/>
          </w:tcPr>
          <w:p w14:paraId="50C8B181"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5.00</w:t>
            </w:r>
          </w:p>
        </w:tc>
      </w:tr>
      <w:tr w:rsidR="002B7BA8" w:rsidRPr="00431183" w14:paraId="43FF1B02" w14:textId="77777777" w:rsidTr="00CB127F">
        <w:trPr>
          <w:trHeight w:val="428"/>
        </w:trPr>
        <w:tc>
          <w:tcPr>
            <w:tcW w:w="3940" w:type="dxa"/>
            <w:tcBorders>
              <w:right w:val="single" w:sz="4" w:space="0" w:color="auto"/>
            </w:tcBorders>
            <w:hideMark/>
          </w:tcPr>
          <w:p w14:paraId="65E0A38F" w14:textId="77777777" w:rsidR="002B7BA8" w:rsidRPr="00AF1E1D" w:rsidRDefault="002B7BA8" w:rsidP="00AF1E1D">
            <w:pPr>
              <w:spacing w:before="108"/>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 xml:space="preserve">STARBUCKS COFFEE COMPANY (UK) </w:t>
            </w:r>
          </w:p>
        </w:tc>
        <w:tc>
          <w:tcPr>
            <w:tcW w:w="2520" w:type="dxa"/>
            <w:tcBorders>
              <w:left w:val="single" w:sz="4" w:space="0" w:color="auto"/>
            </w:tcBorders>
            <w:hideMark/>
          </w:tcPr>
          <w:p w14:paraId="75EF8A2D"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6.00</w:t>
            </w:r>
          </w:p>
        </w:tc>
        <w:tc>
          <w:tcPr>
            <w:tcW w:w="2520" w:type="dxa"/>
            <w:gridSpan w:val="2"/>
            <w:hideMark/>
          </w:tcPr>
          <w:p w14:paraId="0194C967"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6.00</w:t>
            </w:r>
          </w:p>
        </w:tc>
      </w:tr>
      <w:tr w:rsidR="002B7BA8" w:rsidRPr="00431183" w14:paraId="27D59976" w14:textId="77777777" w:rsidTr="00CB127F">
        <w:tc>
          <w:tcPr>
            <w:tcW w:w="3940" w:type="dxa"/>
            <w:tcBorders>
              <w:right w:val="single" w:sz="4" w:space="0" w:color="auto"/>
            </w:tcBorders>
            <w:hideMark/>
          </w:tcPr>
          <w:p w14:paraId="2CBBE41C" w14:textId="77777777" w:rsidR="002B7BA8" w:rsidRPr="00AF1E1D" w:rsidRDefault="002B7BA8" w:rsidP="00AF1E1D">
            <w:pPr>
              <w:spacing w:before="108"/>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BARNEYS JAPAN CO. LTD</w:t>
            </w:r>
          </w:p>
        </w:tc>
        <w:tc>
          <w:tcPr>
            <w:tcW w:w="2520" w:type="dxa"/>
            <w:tcBorders>
              <w:left w:val="single" w:sz="4" w:space="0" w:color="auto"/>
            </w:tcBorders>
            <w:hideMark/>
          </w:tcPr>
          <w:p w14:paraId="3F2AD6F2"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0.25</w:t>
            </w:r>
          </w:p>
        </w:tc>
        <w:tc>
          <w:tcPr>
            <w:tcW w:w="2520" w:type="dxa"/>
            <w:gridSpan w:val="2"/>
            <w:hideMark/>
          </w:tcPr>
          <w:p w14:paraId="6984D468"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2.50</w:t>
            </w:r>
          </w:p>
        </w:tc>
      </w:tr>
      <w:tr w:rsidR="002B7BA8" w:rsidRPr="00431183" w14:paraId="45C585D9" w14:textId="77777777" w:rsidTr="00CB127F">
        <w:tc>
          <w:tcPr>
            <w:tcW w:w="3940" w:type="dxa"/>
            <w:tcBorders>
              <w:right w:val="single" w:sz="4" w:space="0" w:color="auto"/>
            </w:tcBorders>
            <w:hideMark/>
          </w:tcPr>
          <w:p w14:paraId="486D0B20" w14:textId="77777777" w:rsidR="002B7BA8" w:rsidRPr="00AF1E1D" w:rsidRDefault="002B7BA8" w:rsidP="00AF1E1D">
            <w:pPr>
              <w:spacing w:before="108"/>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NIMBUS GROUP INC</w:t>
            </w:r>
          </w:p>
        </w:tc>
        <w:tc>
          <w:tcPr>
            <w:tcW w:w="2520" w:type="dxa"/>
            <w:tcBorders>
              <w:left w:val="single" w:sz="4" w:space="0" w:color="auto"/>
            </w:tcBorders>
            <w:hideMark/>
          </w:tcPr>
          <w:p w14:paraId="1A509A80"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3.00</w:t>
            </w:r>
          </w:p>
        </w:tc>
        <w:tc>
          <w:tcPr>
            <w:tcW w:w="2520" w:type="dxa"/>
            <w:gridSpan w:val="2"/>
            <w:hideMark/>
          </w:tcPr>
          <w:p w14:paraId="2143EC1B"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5.00</w:t>
            </w:r>
          </w:p>
        </w:tc>
      </w:tr>
      <w:tr w:rsidR="002B7BA8" w:rsidRPr="00431183" w14:paraId="175EF354" w14:textId="77777777" w:rsidTr="00CB127F">
        <w:tc>
          <w:tcPr>
            <w:tcW w:w="3940" w:type="dxa"/>
            <w:tcBorders>
              <w:right w:val="single" w:sz="4" w:space="0" w:color="auto"/>
            </w:tcBorders>
            <w:hideMark/>
          </w:tcPr>
          <w:p w14:paraId="45ACBEF5" w14:textId="77777777" w:rsidR="002B7BA8" w:rsidRPr="00AF1E1D" w:rsidRDefault="002B7BA8" w:rsidP="00AF1E1D">
            <w:pPr>
              <w:spacing w:before="108"/>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THE DISNEY STORE, LLC</w:t>
            </w:r>
          </w:p>
        </w:tc>
        <w:tc>
          <w:tcPr>
            <w:tcW w:w="2520" w:type="dxa"/>
            <w:tcBorders>
              <w:left w:val="single" w:sz="4" w:space="0" w:color="auto"/>
            </w:tcBorders>
            <w:hideMark/>
          </w:tcPr>
          <w:p w14:paraId="0F2690C7"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5.00</w:t>
            </w:r>
          </w:p>
        </w:tc>
        <w:tc>
          <w:tcPr>
            <w:tcW w:w="2520" w:type="dxa"/>
            <w:gridSpan w:val="2"/>
            <w:hideMark/>
          </w:tcPr>
          <w:p w14:paraId="558CD89D"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color w:val="000000" w:themeColor="text1"/>
                <w:kern w:val="24"/>
              </w:rPr>
              <w:t>10.00</w:t>
            </w:r>
          </w:p>
        </w:tc>
      </w:tr>
      <w:tr w:rsidR="002B7BA8" w:rsidRPr="00431183" w14:paraId="0DCE76E8" w14:textId="77777777" w:rsidTr="00CB127F">
        <w:tc>
          <w:tcPr>
            <w:tcW w:w="3940" w:type="dxa"/>
            <w:tcBorders>
              <w:bottom w:val="single" w:sz="4" w:space="0" w:color="auto"/>
              <w:right w:val="single" w:sz="4" w:space="0" w:color="auto"/>
            </w:tcBorders>
            <w:hideMark/>
          </w:tcPr>
          <w:p w14:paraId="30A98D65" w14:textId="77777777" w:rsidR="002B7BA8" w:rsidRPr="00AF1E1D" w:rsidRDefault="002B7BA8" w:rsidP="00AF1E1D">
            <w:pPr>
              <w:spacing w:before="108"/>
              <w:textAlignment w:val="baseline"/>
              <w:rPr>
                <w:rFonts w:ascii="Cambria" w:eastAsia="Times New Roman" w:hAnsi="Cambria" w:cs="Arial"/>
                <w:color w:val="000000" w:themeColor="text1"/>
              </w:rPr>
            </w:pPr>
            <w:r w:rsidRPr="00AF1E1D">
              <w:rPr>
                <w:rFonts w:ascii="Cambria" w:eastAsia="Verdana" w:hAnsi="Cambria" w:cs="Verdana"/>
                <w:b/>
                <w:bCs/>
                <w:color w:val="000000" w:themeColor="text1"/>
                <w:kern w:val="24"/>
              </w:rPr>
              <w:t>Promedio</w:t>
            </w:r>
          </w:p>
        </w:tc>
        <w:tc>
          <w:tcPr>
            <w:tcW w:w="2520" w:type="dxa"/>
            <w:tcBorders>
              <w:left w:val="single" w:sz="4" w:space="0" w:color="auto"/>
              <w:bottom w:val="single" w:sz="4" w:space="0" w:color="auto"/>
            </w:tcBorders>
            <w:hideMark/>
          </w:tcPr>
          <w:p w14:paraId="73A23826"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b/>
                <w:bCs/>
                <w:color w:val="000000" w:themeColor="text1"/>
                <w:kern w:val="24"/>
              </w:rPr>
              <w:t>4.11</w:t>
            </w:r>
          </w:p>
        </w:tc>
        <w:tc>
          <w:tcPr>
            <w:tcW w:w="2520" w:type="dxa"/>
            <w:gridSpan w:val="2"/>
            <w:tcBorders>
              <w:bottom w:val="single" w:sz="4" w:space="0" w:color="auto"/>
            </w:tcBorders>
            <w:hideMark/>
          </w:tcPr>
          <w:p w14:paraId="31510F8E"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b/>
                <w:bCs/>
                <w:color w:val="000000" w:themeColor="text1"/>
                <w:kern w:val="24"/>
              </w:rPr>
              <w:t>5.43</w:t>
            </w:r>
          </w:p>
        </w:tc>
      </w:tr>
      <w:tr w:rsidR="002B7BA8" w:rsidRPr="00431183" w14:paraId="5D8ED9D6" w14:textId="77777777" w:rsidTr="00CB127F">
        <w:tc>
          <w:tcPr>
            <w:tcW w:w="3940" w:type="dxa"/>
            <w:tcBorders>
              <w:top w:val="single" w:sz="4" w:space="0" w:color="auto"/>
              <w:right w:val="single" w:sz="4" w:space="0" w:color="auto"/>
            </w:tcBorders>
            <w:hideMark/>
          </w:tcPr>
          <w:p w14:paraId="44B45E39" w14:textId="77777777" w:rsidR="002B7BA8" w:rsidRPr="00AF1E1D" w:rsidRDefault="002B7BA8" w:rsidP="00AF1E1D">
            <w:pPr>
              <w:spacing w:before="108"/>
              <w:textAlignment w:val="baseline"/>
              <w:rPr>
                <w:rFonts w:ascii="Cambria" w:eastAsia="Times New Roman" w:hAnsi="Cambria" w:cs="Arial"/>
                <w:color w:val="000000" w:themeColor="text1"/>
              </w:rPr>
            </w:pPr>
            <w:r w:rsidRPr="00AF1E1D">
              <w:rPr>
                <w:rFonts w:ascii="Cambria" w:eastAsia="Verdana" w:hAnsi="Cambria" w:cs="Verdana"/>
                <w:b/>
                <w:bCs/>
                <w:color w:val="000000" w:themeColor="text1"/>
                <w:kern w:val="24"/>
              </w:rPr>
              <w:t>Royalty Seleccionado</w:t>
            </w:r>
          </w:p>
        </w:tc>
        <w:tc>
          <w:tcPr>
            <w:tcW w:w="5040" w:type="dxa"/>
            <w:gridSpan w:val="3"/>
            <w:tcBorders>
              <w:top w:val="single" w:sz="4" w:space="0" w:color="auto"/>
              <w:left w:val="single" w:sz="4" w:space="0" w:color="auto"/>
            </w:tcBorders>
            <w:hideMark/>
          </w:tcPr>
          <w:p w14:paraId="568F9689" w14:textId="77777777" w:rsidR="002B7BA8" w:rsidRPr="00AF1E1D" w:rsidRDefault="002B7BA8" w:rsidP="00AF1E1D">
            <w:pPr>
              <w:spacing w:before="108"/>
              <w:jc w:val="center"/>
              <w:textAlignment w:val="baseline"/>
              <w:rPr>
                <w:rFonts w:ascii="Cambria" w:eastAsia="Times New Roman" w:hAnsi="Cambria" w:cs="Arial"/>
                <w:color w:val="000000" w:themeColor="text1"/>
              </w:rPr>
            </w:pPr>
            <w:r w:rsidRPr="00AF1E1D">
              <w:rPr>
                <w:rFonts w:ascii="Cambria" w:eastAsia="Verdana" w:hAnsi="Cambria" w:cs="Verdana"/>
                <w:b/>
                <w:bCs/>
                <w:color w:val="000000" w:themeColor="text1"/>
                <w:kern w:val="24"/>
              </w:rPr>
              <w:t>4.77</w:t>
            </w:r>
          </w:p>
        </w:tc>
      </w:tr>
    </w:tbl>
    <w:p w14:paraId="4C47DF4D" w14:textId="283AE9CD" w:rsidR="008A1192" w:rsidRPr="00431183" w:rsidRDefault="008A1192" w:rsidP="00431183">
      <w:pPr>
        <w:spacing w:line="240" w:lineRule="auto"/>
        <w:jc w:val="both"/>
        <w:rPr>
          <w:rFonts w:ascii="Cambria" w:hAnsi="Cambria" w:cs="Arial"/>
          <w:sz w:val="18"/>
          <w:szCs w:val="18"/>
        </w:rPr>
      </w:pPr>
      <w:r w:rsidRPr="00431183">
        <w:rPr>
          <w:rFonts w:ascii="Cambria" w:hAnsi="Cambria" w:cs="Arial"/>
          <w:sz w:val="18"/>
          <w:szCs w:val="18"/>
        </w:rPr>
        <w:t>Fuente: Elaboración propia</w:t>
      </w:r>
      <w:r w:rsidR="002B7BA8" w:rsidRPr="00431183">
        <w:rPr>
          <w:rFonts w:ascii="Cambria" w:hAnsi="Cambria" w:cs="Arial"/>
          <w:sz w:val="18"/>
          <w:szCs w:val="18"/>
        </w:rPr>
        <w:t xml:space="preserve"> con base</w:t>
      </w:r>
      <w:r w:rsidR="00F86233">
        <w:rPr>
          <w:rFonts w:ascii="Cambria" w:hAnsi="Cambria" w:cs="Arial"/>
          <w:sz w:val="18"/>
          <w:szCs w:val="18"/>
        </w:rPr>
        <w:t xml:space="preserve"> en</w:t>
      </w:r>
      <w:r w:rsidR="002B7BA8" w:rsidRPr="00431183">
        <w:rPr>
          <w:rFonts w:ascii="Cambria" w:hAnsi="Cambria" w:cs="Arial"/>
          <w:sz w:val="18"/>
          <w:szCs w:val="18"/>
        </w:rPr>
        <w:t xml:space="preserve"> </w:t>
      </w:r>
      <w:r w:rsidR="00F86233" w:rsidRPr="00F86233">
        <w:rPr>
          <w:rFonts w:ascii="Cambria" w:hAnsi="Cambria" w:cs="Arial"/>
          <w:sz w:val="18"/>
          <w:szCs w:val="18"/>
        </w:rPr>
        <w:t>Royalty Source</w:t>
      </w:r>
      <w:r w:rsidR="00CB127F">
        <w:rPr>
          <w:rFonts w:ascii="Cambria" w:hAnsi="Cambria" w:cs="Arial"/>
          <w:sz w:val="18"/>
          <w:szCs w:val="18"/>
        </w:rPr>
        <w:t>, 2018</w:t>
      </w:r>
    </w:p>
    <w:p w14:paraId="610FD9B8" w14:textId="5A71E5AB" w:rsidR="00C64C70" w:rsidRPr="00431183" w:rsidRDefault="008A1192" w:rsidP="00AF1E1D">
      <w:pPr>
        <w:spacing w:line="240" w:lineRule="auto"/>
        <w:ind w:firstLine="708"/>
        <w:jc w:val="both"/>
        <w:rPr>
          <w:rFonts w:ascii="Cambria" w:hAnsi="Cambria" w:cs="Arial"/>
          <w:sz w:val="24"/>
          <w:szCs w:val="24"/>
        </w:rPr>
      </w:pPr>
      <w:r w:rsidRPr="00431183">
        <w:rPr>
          <w:rFonts w:ascii="Cambria" w:hAnsi="Cambria" w:cs="Arial"/>
          <w:sz w:val="24"/>
          <w:szCs w:val="24"/>
        </w:rPr>
        <w:t>El royalty seleccionado, 4.77%, debe ser ajustado a partir de factores cualitativos que</w:t>
      </w:r>
      <w:r w:rsidR="00F86233">
        <w:rPr>
          <w:rFonts w:ascii="Cambria" w:hAnsi="Cambria" w:cs="Arial"/>
          <w:sz w:val="24"/>
          <w:szCs w:val="24"/>
        </w:rPr>
        <w:t xml:space="preserve"> se</w:t>
      </w:r>
      <w:r w:rsidRPr="00431183">
        <w:rPr>
          <w:rFonts w:ascii="Cambria" w:hAnsi="Cambria" w:cs="Arial"/>
          <w:sz w:val="24"/>
          <w:szCs w:val="24"/>
        </w:rPr>
        <w:t xml:space="preserve"> aplican a la marca Denominación de Origen del café Tarrazú, cuando es comparada con las otras marcas. Esos aspectos se toman en cuenta, según un análisis de fortalezas de las marcas. Como resultado, la tasa de royalty a aplicar para la valoración es ajustada por factores cualitativos ponderados en comparación a los royalties en referencia, </w:t>
      </w:r>
      <w:r w:rsidR="00687FBE" w:rsidRPr="00431183">
        <w:rPr>
          <w:rFonts w:ascii="Cambria" w:hAnsi="Cambria" w:cs="Arial"/>
          <w:sz w:val="24"/>
          <w:szCs w:val="24"/>
        </w:rPr>
        <w:t>la tabla 4 muestra el detalle de la determinación del Royalty para la denominación de Origen del café de Tarrazú</w:t>
      </w:r>
      <w:r w:rsidR="00C64C70">
        <w:rPr>
          <w:rFonts w:ascii="Cambria" w:hAnsi="Cambria" w:cs="Arial"/>
          <w:sz w:val="24"/>
          <w:szCs w:val="24"/>
        </w:rPr>
        <w:t>:</w:t>
      </w:r>
    </w:p>
    <w:p w14:paraId="38204881" w14:textId="23BEE41C" w:rsidR="00C64C70" w:rsidRPr="00AF1E1D" w:rsidRDefault="006A0328" w:rsidP="00AF1E1D">
      <w:pPr>
        <w:pStyle w:val="Descripcin"/>
        <w:rPr>
          <w:rFonts w:ascii="Cambria" w:hAnsi="Cambria" w:cs="Arial"/>
          <w:b/>
          <w:i w:val="0"/>
          <w:color w:val="auto"/>
          <w:sz w:val="22"/>
          <w:szCs w:val="22"/>
        </w:rPr>
      </w:pPr>
      <w:bookmarkStart w:id="105" w:name="_Toc527576365"/>
      <w:r w:rsidRPr="00AF1E1D">
        <w:rPr>
          <w:rFonts w:ascii="Cambria" w:hAnsi="Cambria"/>
          <w:b/>
          <w:i w:val="0"/>
          <w:color w:val="auto"/>
          <w:sz w:val="22"/>
          <w:szCs w:val="22"/>
        </w:rPr>
        <w:t xml:space="preserve">Tabla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00CE6395">
        <w:rPr>
          <w:rFonts w:ascii="Cambria" w:hAnsi="Cambria"/>
          <w:b/>
          <w:i w:val="0"/>
          <w:noProof/>
          <w:color w:val="auto"/>
          <w:sz w:val="22"/>
          <w:szCs w:val="22"/>
        </w:rPr>
        <w:t>7</w:t>
      </w:r>
      <w:bookmarkEnd w:id="105"/>
      <w:r w:rsidRPr="00AF1E1D">
        <w:rPr>
          <w:rFonts w:ascii="Cambria" w:hAnsi="Cambria"/>
          <w:b/>
          <w:i w:val="0"/>
          <w:color w:val="auto"/>
          <w:sz w:val="22"/>
          <w:szCs w:val="22"/>
        </w:rPr>
        <w:fldChar w:fldCharType="end"/>
      </w:r>
    </w:p>
    <w:p w14:paraId="498A3C7A" w14:textId="6D41C316" w:rsidR="008A1192" w:rsidRPr="00431183" w:rsidRDefault="00146202" w:rsidP="00431183">
      <w:pPr>
        <w:pStyle w:val="Descripcin"/>
        <w:jc w:val="both"/>
        <w:rPr>
          <w:rFonts w:ascii="Cambria" w:hAnsi="Cambria" w:cs="Arial"/>
          <w:b/>
          <w:i w:val="0"/>
          <w:color w:val="auto"/>
          <w:sz w:val="24"/>
          <w:szCs w:val="24"/>
          <w:u w:val="single"/>
        </w:rPr>
      </w:pPr>
      <w:r w:rsidRPr="00431183">
        <w:rPr>
          <w:rFonts w:ascii="Cambria" w:hAnsi="Cambria" w:cs="Arial"/>
          <w:b/>
          <w:i w:val="0"/>
          <w:color w:val="auto"/>
          <w:sz w:val="24"/>
          <w:szCs w:val="24"/>
        </w:rPr>
        <w:t>Calc</w:t>
      </w:r>
      <w:r w:rsidR="00CB127F">
        <w:rPr>
          <w:rFonts w:ascii="Cambria" w:hAnsi="Cambria" w:cs="Arial"/>
          <w:b/>
          <w:i w:val="0"/>
          <w:color w:val="auto"/>
          <w:sz w:val="24"/>
          <w:szCs w:val="24"/>
        </w:rPr>
        <w:t>ulo y determinación del</w:t>
      </w:r>
      <w:r w:rsidRPr="00431183">
        <w:rPr>
          <w:rFonts w:ascii="Cambria" w:hAnsi="Cambria" w:cs="Arial"/>
          <w:b/>
          <w:i w:val="0"/>
          <w:color w:val="auto"/>
          <w:sz w:val="24"/>
          <w:szCs w:val="24"/>
        </w:rPr>
        <w:t xml:space="preserve"> Royalty para la </w:t>
      </w:r>
      <w:r w:rsidR="00462BB0" w:rsidRPr="00431183">
        <w:rPr>
          <w:rFonts w:ascii="Cambria" w:hAnsi="Cambria" w:cs="Arial"/>
          <w:b/>
          <w:i w:val="0"/>
          <w:color w:val="auto"/>
          <w:sz w:val="24"/>
          <w:szCs w:val="24"/>
        </w:rPr>
        <w:t>Denominación</w:t>
      </w:r>
      <w:r w:rsidRPr="00431183">
        <w:rPr>
          <w:rFonts w:ascii="Cambria" w:hAnsi="Cambria" w:cs="Arial"/>
          <w:b/>
          <w:i w:val="0"/>
          <w:color w:val="auto"/>
          <w:sz w:val="24"/>
          <w:szCs w:val="24"/>
        </w:rPr>
        <w:t xml:space="preserve"> de Origen Tarrazú</w:t>
      </w:r>
    </w:p>
    <w:tbl>
      <w:tblPr>
        <w:tblStyle w:val="Tablanormal21"/>
        <w:tblW w:w="8931" w:type="dxa"/>
        <w:tblLook w:val="0600" w:firstRow="0" w:lastRow="0" w:firstColumn="0" w:lastColumn="0" w:noHBand="1" w:noVBand="1"/>
      </w:tblPr>
      <w:tblGrid>
        <w:gridCol w:w="4395"/>
        <w:gridCol w:w="4536"/>
      </w:tblGrid>
      <w:tr w:rsidR="008A1192" w:rsidRPr="00431183" w14:paraId="30A2F064" w14:textId="77777777" w:rsidTr="00AF1E1D">
        <w:trPr>
          <w:trHeight w:val="432"/>
        </w:trPr>
        <w:tc>
          <w:tcPr>
            <w:tcW w:w="4395" w:type="dxa"/>
            <w:tcBorders>
              <w:right w:val="single" w:sz="4" w:space="0" w:color="auto"/>
            </w:tcBorders>
            <w:hideMark/>
          </w:tcPr>
          <w:p w14:paraId="3DA3E626" w14:textId="359EB13F" w:rsidR="008A1192" w:rsidRPr="00431183" w:rsidRDefault="008A1192" w:rsidP="00AF1E1D">
            <w:pPr>
              <w:textAlignment w:val="baseline"/>
              <w:rPr>
                <w:rFonts w:ascii="Cambria" w:eastAsia="Times New Roman" w:hAnsi="Cambria" w:cs="Arial"/>
                <w:color w:val="000000" w:themeColor="text1"/>
                <w:sz w:val="24"/>
                <w:szCs w:val="24"/>
              </w:rPr>
            </w:pPr>
            <w:r w:rsidRPr="00431183">
              <w:rPr>
                <w:rFonts w:ascii="Cambria" w:eastAsia="Verdana" w:hAnsi="Cambria" w:cs="Arial"/>
                <w:color w:val="000000" w:themeColor="text1"/>
                <w:kern w:val="24"/>
                <w:sz w:val="24"/>
                <w:szCs w:val="24"/>
              </w:rPr>
              <w:t>Royalty Seleccionado</w:t>
            </w:r>
          </w:p>
        </w:tc>
        <w:tc>
          <w:tcPr>
            <w:tcW w:w="4536" w:type="dxa"/>
            <w:tcBorders>
              <w:left w:val="single" w:sz="4" w:space="0" w:color="auto"/>
            </w:tcBorders>
            <w:hideMark/>
          </w:tcPr>
          <w:p w14:paraId="53C11080" w14:textId="50A3D5D1" w:rsidR="00CB127F" w:rsidRPr="00AF1E1D" w:rsidRDefault="008A1192" w:rsidP="00AF1E1D">
            <w:pPr>
              <w:jc w:val="center"/>
              <w:textAlignment w:val="baseline"/>
              <w:rPr>
                <w:rFonts w:ascii="Cambria" w:eastAsia="Verdana" w:hAnsi="Cambria" w:cs="Arial"/>
                <w:color w:val="000000" w:themeColor="text1"/>
                <w:kern w:val="24"/>
                <w:sz w:val="24"/>
                <w:szCs w:val="24"/>
              </w:rPr>
            </w:pPr>
            <w:r w:rsidRPr="00431183">
              <w:rPr>
                <w:rFonts w:ascii="Cambria" w:eastAsia="Verdana" w:hAnsi="Cambria" w:cs="Arial"/>
                <w:color w:val="000000" w:themeColor="text1"/>
                <w:kern w:val="24"/>
                <w:sz w:val="24"/>
                <w:szCs w:val="24"/>
              </w:rPr>
              <w:t>4.77</w:t>
            </w:r>
          </w:p>
        </w:tc>
      </w:tr>
      <w:tr w:rsidR="008A1192" w:rsidRPr="00431183" w14:paraId="08C4FE8A" w14:textId="77777777" w:rsidTr="00AF1E1D">
        <w:trPr>
          <w:trHeight w:val="309"/>
        </w:trPr>
        <w:tc>
          <w:tcPr>
            <w:tcW w:w="4395" w:type="dxa"/>
            <w:tcBorders>
              <w:right w:val="single" w:sz="4" w:space="0" w:color="auto"/>
            </w:tcBorders>
            <w:hideMark/>
          </w:tcPr>
          <w:p w14:paraId="75ED09C3" w14:textId="77777777" w:rsidR="008A1192" w:rsidRPr="00431183" w:rsidRDefault="008A1192" w:rsidP="00AF1E1D">
            <w:pPr>
              <w:textAlignment w:val="baseline"/>
              <w:rPr>
                <w:rFonts w:ascii="Cambria" w:eastAsia="Times New Roman" w:hAnsi="Cambria" w:cs="Arial"/>
                <w:color w:val="000000" w:themeColor="text1"/>
                <w:sz w:val="24"/>
                <w:szCs w:val="24"/>
              </w:rPr>
            </w:pPr>
            <w:r w:rsidRPr="00431183">
              <w:rPr>
                <w:rFonts w:ascii="Cambria" w:eastAsia="Verdana" w:hAnsi="Cambria" w:cs="Arial"/>
                <w:color w:val="000000" w:themeColor="text1"/>
                <w:kern w:val="24"/>
                <w:sz w:val="24"/>
                <w:szCs w:val="24"/>
              </w:rPr>
              <w:t>Análisis de Fortaleza</w:t>
            </w:r>
          </w:p>
        </w:tc>
        <w:tc>
          <w:tcPr>
            <w:tcW w:w="4536" w:type="dxa"/>
            <w:tcBorders>
              <w:left w:val="single" w:sz="4" w:space="0" w:color="auto"/>
            </w:tcBorders>
            <w:hideMark/>
          </w:tcPr>
          <w:p w14:paraId="219C6B16" w14:textId="77777777" w:rsidR="008A1192" w:rsidRPr="00431183" w:rsidRDefault="008A1192" w:rsidP="00431183">
            <w:pPr>
              <w:jc w:val="center"/>
              <w:textAlignment w:val="baseline"/>
              <w:rPr>
                <w:rFonts w:ascii="Cambria" w:eastAsia="Times New Roman" w:hAnsi="Cambria" w:cs="Arial"/>
                <w:color w:val="000000" w:themeColor="text1"/>
                <w:sz w:val="24"/>
                <w:szCs w:val="24"/>
              </w:rPr>
            </w:pPr>
            <w:r w:rsidRPr="00431183">
              <w:rPr>
                <w:rFonts w:ascii="Cambria" w:eastAsia="Verdana" w:hAnsi="Cambria" w:cs="Arial"/>
                <w:color w:val="000000" w:themeColor="text1"/>
                <w:kern w:val="24"/>
                <w:sz w:val="24"/>
                <w:szCs w:val="24"/>
              </w:rPr>
              <w:t>67</w:t>
            </w:r>
          </w:p>
        </w:tc>
      </w:tr>
      <w:tr w:rsidR="008A1192" w:rsidRPr="00431183" w14:paraId="50516ABA" w14:textId="77777777" w:rsidTr="00AF1E1D">
        <w:trPr>
          <w:trHeight w:val="392"/>
        </w:trPr>
        <w:tc>
          <w:tcPr>
            <w:tcW w:w="4395" w:type="dxa"/>
            <w:tcBorders>
              <w:bottom w:val="single" w:sz="4" w:space="0" w:color="auto"/>
              <w:right w:val="single" w:sz="4" w:space="0" w:color="auto"/>
            </w:tcBorders>
            <w:hideMark/>
          </w:tcPr>
          <w:p w14:paraId="0865BBEB" w14:textId="77777777" w:rsidR="008A1192" w:rsidRPr="00431183" w:rsidRDefault="008A1192" w:rsidP="00AF1E1D">
            <w:pPr>
              <w:textAlignment w:val="baseline"/>
              <w:rPr>
                <w:rFonts w:ascii="Cambria" w:eastAsia="Times New Roman" w:hAnsi="Cambria" w:cs="Arial"/>
                <w:color w:val="000000" w:themeColor="text1"/>
                <w:sz w:val="24"/>
                <w:szCs w:val="24"/>
              </w:rPr>
            </w:pPr>
            <w:r w:rsidRPr="00431183">
              <w:rPr>
                <w:rFonts w:ascii="Cambria" w:eastAsia="Verdana" w:hAnsi="Cambria" w:cs="Arial"/>
                <w:color w:val="000000" w:themeColor="text1"/>
                <w:kern w:val="24"/>
                <w:sz w:val="24"/>
                <w:szCs w:val="24"/>
              </w:rPr>
              <w:t>Royalty</w:t>
            </w:r>
          </w:p>
        </w:tc>
        <w:tc>
          <w:tcPr>
            <w:tcW w:w="4536" w:type="dxa"/>
            <w:tcBorders>
              <w:left w:val="single" w:sz="4" w:space="0" w:color="auto"/>
              <w:bottom w:val="single" w:sz="4" w:space="0" w:color="auto"/>
            </w:tcBorders>
            <w:hideMark/>
          </w:tcPr>
          <w:p w14:paraId="41E6DA4C" w14:textId="77777777" w:rsidR="008A1192" w:rsidRPr="00431183" w:rsidRDefault="008A1192" w:rsidP="00431183">
            <w:pPr>
              <w:jc w:val="center"/>
              <w:textAlignment w:val="baseline"/>
              <w:rPr>
                <w:rFonts w:ascii="Cambria" w:eastAsia="Times New Roman" w:hAnsi="Cambria" w:cs="Arial"/>
                <w:color w:val="000000" w:themeColor="text1"/>
                <w:sz w:val="24"/>
                <w:szCs w:val="24"/>
              </w:rPr>
            </w:pPr>
            <w:r w:rsidRPr="00431183">
              <w:rPr>
                <w:rFonts w:ascii="Cambria" w:eastAsia="Verdana" w:hAnsi="Cambria" w:cs="Arial"/>
                <w:color w:val="000000" w:themeColor="text1"/>
                <w:kern w:val="24"/>
                <w:sz w:val="24"/>
                <w:szCs w:val="24"/>
              </w:rPr>
              <w:t>3.19</w:t>
            </w:r>
          </w:p>
        </w:tc>
      </w:tr>
      <w:tr w:rsidR="008A1192" w:rsidRPr="00431183" w14:paraId="76D78412" w14:textId="77777777" w:rsidTr="00AF1E1D">
        <w:trPr>
          <w:trHeight w:val="392"/>
        </w:trPr>
        <w:tc>
          <w:tcPr>
            <w:tcW w:w="4395" w:type="dxa"/>
            <w:tcBorders>
              <w:top w:val="single" w:sz="4" w:space="0" w:color="auto"/>
              <w:right w:val="single" w:sz="4" w:space="0" w:color="auto"/>
            </w:tcBorders>
            <w:hideMark/>
          </w:tcPr>
          <w:p w14:paraId="5E784898" w14:textId="77777777" w:rsidR="008A1192" w:rsidRPr="00431183" w:rsidRDefault="008A1192" w:rsidP="00431183">
            <w:pPr>
              <w:textAlignment w:val="baseline"/>
              <w:rPr>
                <w:rFonts w:ascii="Cambria" w:eastAsia="Times New Roman" w:hAnsi="Cambria" w:cs="Arial"/>
                <w:sz w:val="24"/>
                <w:szCs w:val="24"/>
              </w:rPr>
            </w:pPr>
            <w:r w:rsidRPr="00431183">
              <w:rPr>
                <w:rFonts w:ascii="Cambria" w:eastAsia="Verdana" w:hAnsi="Cambria" w:cs="Arial"/>
                <w:b/>
                <w:bCs/>
                <w:kern w:val="24"/>
                <w:sz w:val="24"/>
                <w:szCs w:val="24"/>
              </w:rPr>
              <w:t>Conclusión</w:t>
            </w:r>
          </w:p>
        </w:tc>
        <w:tc>
          <w:tcPr>
            <w:tcW w:w="4536" w:type="dxa"/>
            <w:tcBorders>
              <w:top w:val="single" w:sz="4" w:space="0" w:color="auto"/>
              <w:left w:val="single" w:sz="4" w:space="0" w:color="auto"/>
            </w:tcBorders>
            <w:hideMark/>
          </w:tcPr>
          <w:p w14:paraId="4785E60E" w14:textId="77777777" w:rsidR="008A1192" w:rsidRPr="00431183" w:rsidRDefault="008A1192" w:rsidP="00431183">
            <w:pPr>
              <w:jc w:val="center"/>
              <w:textAlignment w:val="baseline"/>
              <w:rPr>
                <w:rFonts w:ascii="Cambria" w:eastAsia="Times New Roman" w:hAnsi="Cambria" w:cs="Arial"/>
                <w:sz w:val="24"/>
                <w:szCs w:val="24"/>
              </w:rPr>
            </w:pPr>
            <w:r w:rsidRPr="00431183">
              <w:rPr>
                <w:rFonts w:ascii="Cambria" w:eastAsia="Verdana" w:hAnsi="Cambria" w:cs="Arial"/>
                <w:b/>
                <w:bCs/>
                <w:kern w:val="24"/>
                <w:sz w:val="24"/>
                <w:szCs w:val="24"/>
              </w:rPr>
              <w:t>3.20</w:t>
            </w:r>
          </w:p>
        </w:tc>
      </w:tr>
    </w:tbl>
    <w:p w14:paraId="44F29056" w14:textId="0EE616AF" w:rsidR="00146202" w:rsidRPr="00431183" w:rsidRDefault="00146202" w:rsidP="00431183">
      <w:pPr>
        <w:spacing w:line="240" w:lineRule="auto"/>
        <w:jc w:val="both"/>
        <w:rPr>
          <w:rFonts w:ascii="Cambria" w:hAnsi="Cambria" w:cs="Arial"/>
          <w:sz w:val="18"/>
          <w:szCs w:val="18"/>
        </w:rPr>
      </w:pPr>
      <w:r w:rsidRPr="00431183">
        <w:rPr>
          <w:rFonts w:ascii="Cambria" w:hAnsi="Cambria" w:cs="Arial"/>
          <w:sz w:val="18"/>
          <w:szCs w:val="18"/>
        </w:rPr>
        <w:t xml:space="preserve">Fuente: Elaboración </w:t>
      </w:r>
      <w:r w:rsidR="0059032C" w:rsidRPr="00431183">
        <w:rPr>
          <w:rFonts w:ascii="Cambria" w:hAnsi="Cambria" w:cs="Arial"/>
          <w:sz w:val="18"/>
          <w:szCs w:val="18"/>
        </w:rPr>
        <w:t>propia</w:t>
      </w:r>
      <w:r w:rsidR="00CB127F">
        <w:rPr>
          <w:rFonts w:ascii="Cambria" w:hAnsi="Cambria" w:cs="Arial"/>
          <w:sz w:val="18"/>
          <w:szCs w:val="18"/>
        </w:rPr>
        <w:t xml:space="preserve"> con base en Royalty Source, 2018</w:t>
      </w:r>
    </w:p>
    <w:p w14:paraId="45F6659E" w14:textId="77777777" w:rsidR="003B24C3" w:rsidRPr="00431183" w:rsidRDefault="003B24C3" w:rsidP="003B24C3">
      <w:pPr>
        <w:spacing w:line="240" w:lineRule="auto"/>
        <w:ind w:firstLine="708"/>
        <w:jc w:val="both"/>
        <w:rPr>
          <w:rFonts w:ascii="Cambria" w:hAnsi="Cambria" w:cs="Arial"/>
          <w:sz w:val="24"/>
          <w:szCs w:val="24"/>
        </w:rPr>
      </w:pPr>
      <w:r w:rsidRPr="00431183">
        <w:rPr>
          <w:rFonts w:ascii="Cambria" w:hAnsi="Cambria" w:cs="Arial"/>
          <w:sz w:val="24"/>
          <w:szCs w:val="24"/>
        </w:rPr>
        <w:t xml:space="preserve">En </w:t>
      </w:r>
      <w:r>
        <w:rPr>
          <w:rFonts w:ascii="Cambria" w:hAnsi="Cambria" w:cs="Arial"/>
          <w:sz w:val="24"/>
          <w:szCs w:val="24"/>
        </w:rPr>
        <w:t xml:space="preserve">la investigación es de suma relevancia </w:t>
      </w:r>
      <w:r w:rsidRPr="00431183">
        <w:rPr>
          <w:rFonts w:ascii="Cambria" w:hAnsi="Cambria" w:cs="Arial"/>
          <w:sz w:val="24"/>
          <w:szCs w:val="24"/>
        </w:rPr>
        <w:t>el reconocimiento de una Denominación de Origen atribuye la exclusividad del uso del nombre geográfico a todos aquellos caficultores y cooperativas que voluntariamente se inscriban en los registros y se sometan a las exigencias que la regulación de la Denominación de Origen impone para garantizar la procedencia, la calidad y el mantenimiento del prestigio del producto, de ahí la importancia de su aplicación, que es descrita mediante este ejercicio.</w:t>
      </w:r>
    </w:p>
    <w:p w14:paraId="18A53A90" w14:textId="77777777" w:rsidR="003B24C3" w:rsidRPr="00A42D00" w:rsidRDefault="003B24C3" w:rsidP="003B24C3">
      <w:pPr>
        <w:spacing w:line="240" w:lineRule="auto"/>
        <w:ind w:firstLine="708"/>
        <w:jc w:val="both"/>
        <w:rPr>
          <w:rFonts w:ascii="Cambria" w:hAnsi="Cambria" w:cs="Arial"/>
          <w:sz w:val="24"/>
          <w:szCs w:val="24"/>
        </w:rPr>
      </w:pPr>
      <w:r w:rsidRPr="00A42D00">
        <w:rPr>
          <w:rFonts w:ascii="Cambria" w:hAnsi="Cambria" w:cs="Arial"/>
          <w:sz w:val="24"/>
          <w:szCs w:val="24"/>
        </w:rPr>
        <w:lastRenderedPageBreak/>
        <w:t>El procedimiento utilizado para poder verificar el royalty se conoce el método Profit Split, que permite estimar, usualmente a partir del margen EBIT (en inglés, Earnings before interest and taxes), un rango esperable de royalties o regalías de mercado.</w:t>
      </w:r>
    </w:p>
    <w:p w14:paraId="15C469D3" w14:textId="77777777" w:rsidR="003B24C3" w:rsidRPr="00A42D00" w:rsidRDefault="003B24C3" w:rsidP="003B24C3">
      <w:pPr>
        <w:spacing w:line="240" w:lineRule="auto"/>
        <w:ind w:firstLine="708"/>
        <w:jc w:val="both"/>
        <w:rPr>
          <w:rFonts w:ascii="Cambria" w:hAnsi="Cambria" w:cs="Arial"/>
          <w:sz w:val="24"/>
          <w:szCs w:val="24"/>
        </w:rPr>
      </w:pPr>
      <w:r w:rsidRPr="00A42D00">
        <w:rPr>
          <w:rFonts w:ascii="Cambria" w:hAnsi="Cambria" w:cs="Arial"/>
          <w:sz w:val="24"/>
          <w:szCs w:val="24"/>
        </w:rPr>
        <w:t>El método consiste en basarse en la regla general 25 / 75, donde quien emite la licencia de uso de la DO Tarrazú, recibe un 25% de las ganancias generadas por el intangible, mientras que los productores que la usan obtienen el 75% restante. Esta estructura se emplea muchas veces como punto de partida en la negociación entre las partes, permitiéndose ajustes hacia un lado u otro según las condiciones específicas de cada caso.</w:t>
      </w:r>
    </w:p>
    <w:p w14:paraId="2B1C9061" w14:textId="77777777" w:rsidR="003B24C3" w:rsidRPr="00A42D00" w:rsidRDefault="003B24C3" w:rsidP="003B24C3">
      <w:pPr>
        <w:spacing w:line="240" w:lineRule="auto"/>
        <w:ind w:firstLine="708"/>
        <w:jc w:val="both"/>
        <w:rPr>
          <w:rFonts w:ascii="Cambria" w:hAnsi="Cambria" w:cs="Arial"/>
          <w:sz w:val="24"/>
          <w:szCs w:val="24"/>
        </w:rPr>
      </w:pPr>
      <w:r w:rsidRPr="00A42D00">
        <w:rPr>
          <w:rFonts w:ascii="Cambria" w:hAnsi="Cambria" w:cs="Arial"/>
          <w:sz w:val="24"/>
          <w:szCs w:val="24"/>
        </w:rPr>
        <w:t>La literatura nos refiere que un rango entre 10% y 33% de las ganancias EBIT (en inglés, Earnings before interest and taxes) es lo que típicamente percibiría quien emite la licencia. Este rango permite convertir la ganancia en un royalty sobre ventas, el cual sería comparable al royalty propuesto.</w:t>
      </w:r>
    </w:p>
    <w:p w14:paraId="15E5A2D7" w14:textId="2F99C5E2" w:rsidR="006A0328" w:rsidRDefault="003B24C3" w:rsidP="00431183">
      <w:pPr>
        <w:spacing w:line="240" w:lineRule="auto"/>
        <w:jc w:val="both"/>
        <w:rPr>
          <w:rFonts w:ascii="Cambria" w:hAnsi="Cambria" w:cs="Arial"/>
          <w:sz w:val="24"/>
          <w:szCs w:val="24"/>
        </w:rPr>
      </w:pPr>
      <w:r w:rsidRPr="00A42D00">
        <w:rPr>
          <w:rFonts w:ascii="Cambria" w:hAnsi="Cambria" w:cs="Arial"/>
          <w:sz w:val="24"/>
          <w:szCs w:val="24"/>
        </w:rPr>
        <w:t>Los datos que resultan de este análisis no son necesariamente concluyentes o definitivos. El método debe interpretarse como una herramienta válida para obtener un rango de referencia. Bajo este análisis, el royalty seleccionado (3.2%), se ubicaría en un rango conservador (21.33% del EBIT), mismo que se considera razonable dadas las características de la marca, y de la estructura organizativa propia de la DO.</w:t>
      </w:r>
    </w:p>
    <w:p w14:paraId="1D31D671" w14:textId="7DC9EBD3" w:rsidR="00C64C70" w:rsidRPr="00AF1E1D" w:rsidRDefault="006A0328" w:rsidP="00431183">
      <w:pPr>
        <w:spacing w:line="240" w:lineRule="auto"/>
        <w:jc w:val="both"/>
        <w:rPr>
          <w:rFonts w:ascii="Cambria" w:hAnsi="Cambria" w:cs="Arial"/>
          <w:b/>
        </w:rPr>
      </w:pPr>
      <w:bookmarkStart w:id="106" w:name="_Toc527576366"/>
      <w:r w:rsidRPr="00AF1E1D">
        <w:rPr>
          <w:rFonts w:ascii="Cambria" w:hAnsi="Cambria"/>
          <w:b/>
        </w:rPr>
        <w:t xml:space="preserve">Tabla </w:t>
      </w:r>
      <w:r w:rsidRPr="00AF1E1D">
        <w:rPr>
          <w:rFonts w:ascii="Cambria" w:hAnsi="Cambria"/>
          <w:b/>
        </w:rPr>
        <w:fldChar w:fldCharType="begin"/>
      </w:r>
      <w:r w:rsidRPr="00AF1E1D">
        <w:rPr>
          <w:rFonts w:ascii="Cambria" w:hAnsi="Cambria"/>
          <w:b/>
        </w:rPr>
        <w:instrText xml:space="preserve"> SEQ Tabla \* ARABIC </w:instrText>
      </w:r>
      <w:r w:rsidRPr="00AF1E1D">
        <w:rPr>
          <w:rFonts w:ascii="Cambria" w:hAnsi="Cambria"/>
          <w:b/>
        </w:rPr>
        <w:fldChar w:fldCharType="separate"/>
      </w:r>
      <w:r w:rsidR="00CE6395">
        <w:rPr>
          <w:rFonts w:ascii="Cambria" w:hAnsi="Cambria"/>
          <w:b/>
          <w:noProof/>
        </w:rPr>
        <w:t>8</w:t>
      </w:r>
      <w:bookmarkEnd w:id="106"/>
      <w:r w:rsidRPr="00AF1E1D">
        <w:rPr>
          <w:rFonts w:ascii="Cambria" w:hAnsi="Cambria"/>
          <w:b/>
        </w:rPr>
        <w:fldChar w:fldCharType="end"/>
      </w:r>
      <w:r w:rsidRPr="00AF1E1D">
        <w:rPr>
          <w:rFonts w:ascii="Cambria" w:hAnsi="Cambria"/>
          <w:b/>
        </w:rPr>
        <w:t xml:space="preserve"> </w:t>
      </w:r>
    </w:p>
    <w:p w14:paraId="1BFC5C2F" w14:textId="77777777" w:rsidR="00146202" w:rsidRPr="00AF1E1D" w:rsidRDefault="00146202" w:rsidP="00431183">
      <w:pPr>
        <w:spacing w:line="240" w:lineRule="auto"/>
        <w:jc w:val="both"/>
        <w:rPr>
          <w:rFonts w:ascii="Cambria" w:hAnsi="Cambria" w:cs="Arial"/>
          <w:b/>
        </w:rPr>
      </w:pPr>
      <w:r w:rsidRPr="00AF1E1D">
        <w:rPr>
          <w:rFonts w:ascii="Cambria" w:hAnsi="Cambria"/>
          <w:b/>
        </w:rPr>
        <w:t xml:space="preserve"> </w:t>
      </w:r>
      <w:r w:rsidRPr="00AF1E1D">
        <w:rPr>
          <w:rFonts w:ascii="Cambria" w:hAnsi="Cambria" w:cs="Arial"/>
          <w:b/>
        </w:rPr>
        <w:t>Marca Denominación de Origen del café Tarrazú, estimación de Valor</w:t>
      </w:r>
    </w:p>
    <w:p w14:paraId="3B693437" w14:textId="4668EE7F" w:rsidR="0057043B" w:rsidRPr="00431183" w:rsidRDefault="00146202" w:rsidP="00431183">
      <w:pPr>
        <w:spacing w:line="240" w:lineRule="auto"/>
        <w:jc w:val="both"/>
        <w:rPr>
          <w:rFonts w:ascii="Cambria" w:hAnsi="Cambria" w:cs="Arial"/>
          <w:sz w:val="24"/>
          <w:szCs w:val="24"/>
        </w:rPr>
      </w:pPr>
      <w:r w:rsidRPr="00431183">
        <w:rPr>
          <w:rFonts w:ascii="Cambria" w:hAnsi="Cambria"/>
          <w:noProof/>
          <w:sz w:val="24"/>
          <w:szCs w:val="24"/>
          <w:lang w:eastAsia="es-CR"/>
        </w:rPr>
        <w:drawing>
          <wp:inline distT="0" distB="0" distL="0" distR="0" wp14:anchorId="42D4D6C1" wp14:editId="7A3F8C6A">
            <wp:extent cx="6038850" cy="2695397"/>
            <wp:effectExtent l="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 r="627"/>
                    <a:stretch/>
                  </pic:blipFill>
                  <pic:spPr bwMode="auto">
                    <a:xfrm>
                      <a:off x="0" y="0"/>
                      <a:ext cx="6065224" cy="2707169"/>
                    </a:xfrm>
                    <a:prstGeom prst="rect">
                      <a:avLst/>
                    </a:prstGeom>
                    <a:noFill/>
                    <a:ln>
                      <a:noFill/>
                    </a:ln>
                    <a:extLst>
                      <a:ext uri="{53640926-AAD7-44D8-BBD7-CCE9431645EC}">
                        <a14:shadowObscured xmlns:a14="http://schemas.microsoft.com/office/drawing/2010/main"/>
                      </a:ext>
                    </a:extLst>
                  </pic:spPr>
                </pic:pic>
              </a:graphicData>
            </a:graphic>
          </wp:inline>
        </w:drawing>
      </w:r>
      <w:r w:rsidR="008A1192" w:rsidRPr="00431183">
        <w:rPr>
          <w:rFonts w:ascii="Cambria" w:hAnsi="Cambria" w:cs="Arial"/>
          <w:sz w:val="24"/>
          <w:szCs w:val="24"/>
        </w:rPr>
        <w:br/>
      </w:r>
      <w:r w:rsidRPr="00431183">
        <w:rPr>
          <w:rFonts w:ascii="Cambria" w:hAnsi="Cambria" w:cs="Arial"/>
          <w:sz w:val="18"/>
          <w:szCs w:val="18"/>
        </w:rPr>
        <w:t>Fuente: Elaboración propia con datos suministrados por los productores y comité de</w:t>
      </w:r>
      <w:r w:rsidR="0057043B" w:rsidRPr="00431183">
        <w:rPr>
          <w:rFonts w:ascii="Cambria" w:hAnsi="Cambria" w:cs="Arial"/>
          <w:sz w:val="18"/>
          <w:szCs w:val="18"/>
        </w:rPr>
        <w:t xml:space="preserve"> Denominación de origen Tarraz</w:t>
      </w:r>
      <w:r w:rsidR="006A0328">
        <w:rPr>
          <w:rFonts w:ascii="Cambria" w:hAnsi="Cambria" w:cs="Arial"/>
          <w:sz w:val="18"/>
          <w:szCs w:val="18"/>
        </w:rPr>
        <w:t>ú</w:t>
      </w:r>
      <w:r w:rsidR="00B95D52">
        <w:rPr>
          <w:rFonts w:ascii="Cambria" w:hAnsi="Cambria" w:cs="Arial"/>
          <w:sz w:val="18"/>
          <w:szCs w:val="18"/>
        </w:rPr>
        <w:t>, 2018</w:t>
      </w:r>
    </w:p>
    <w:p w14:paraId="4E050436"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El modelo de valoración da como resultado un valor de marca </w:t>
      </w:r>
      <w:r w:rsidR="0057043B" w:rsidRPr="00431183">
        <w:rPr>
          <w:rFonts w:ascii="Cambria" w:hAnsi="Cambria" w:cs="Arial"/>
          <w:sz w:val="24"/>
          <w:szCs w:val="24"/>
        </w:rPr>
        <w:t xml:space="preserve">ante la implantación de la </w:t>
      </w:r>
      <w:r w:rsidR="00D939EF" w:rsidRPr="00431183">
        <w:rPr>
          <w:rFonts w:ascii="Cambria" w:hAnsi="Cambria" w:cs="Arial"/>
          <w:sz w:val="24"/>
          <w:szCs w:val="24"/>
        </w:rPr>
        <w:t>DO</w:t>
      </w:r>
      <w:r w:rsidR="0057043B" w:rsidRPr="00431183">
        <w:rPr>
          <w:rFonts w:ascii="Cambria" w:hAnsi="Cambria" w:cs="Arial"/>
          <w:sz w:val="24"/>
          <w:szCs w:val="24"/>
        </w:rPr>
        <w:t xml:space="preserve"> </w:t>
      </w:r>
      <w:r w:rsidRPr="00431183">
        <w:rPr>
          <w:rFonts w:ascii="Cambria" w:hAnsi="Cambria" w:cs="Arial"/>
          <w:sz w:val="24"/>
          <w:szCs w:val="24"/>
        </w:rPr>
        <w:t>s</w:t>
      </w:r>
      <w:r w:rsidR="0057043B" w:rsidRPr="00431183">
        <w:rPr>
          <w:rFonts w:ascii="Cambria" w:hAnsi="Cambria" w:cs="Arial"/>
          <w:sz w:val="24"/>
          <w:szCs w:val="24"/>
        </w:rPr>
        <w:t xml:space="preserve">uperior a los USD12,120 </w:t>
      </w:r>
      <w:r w:rsidR="0059032C" w:rsidRPr="00431183">
        <w:rPr>
          <w:rFonts w:ascii="Cambria" w:hAnsi="Cambria" w:cs="Arial"/>
          <w:sz w:val="24"/>
          <w:szCs w:val="24"/>
        </w:rPr>
        <w:t>miles</w:t>
      </w:r>
      <w:r w:rsidR="0057043B" w:rsidRPr="00431183">
        <w:rPr>
          <w:rFonts w:ascii="Cambria" w:hAnsi="Cambria" w:cs="Arial"/>
          <w:sz w:val="24"/>
          <w:szCs w:val="24"/>
        </w:rPr>
        <w:t xml:space="preserve"> de dólares.</w:t>
      </w:r>
    </w:p>
    <w:p w14:paraId="3AEA9B29" w14:textId="77777777" w:rsidR="006A0328" w:rsidRDefault="006A0328" w:rsidP="00431183">
      <w:pPr>
        <w:spacing w:line="240" w:lineRule="auto"/>
        <w:jc w:val="both"/>
        <w:rPr>
          <w:rFonts w:ascii="Cambria" w:hAnsi="Cambria" w:cs="Arial"/>
          <w:b/>
          <w:sz w:val="24"/>
          <w:szCs w:val="24"/>
        </w:rPr>
      </w:pPr>
    </w:p>
    <w:p w14:paraId="317F6A7A" w14:textId="77DB80D6"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lastRenderedPageBreak/>
        <w:t>Método de Flujo de Caja Descontado</w:t>
      </w:r>
    </w:p>
    <w:p w14:paraId="0024A284"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 xml:space="preserve">Flujo de Caja Diferencial </w:t>
      </w:r>
    </w:p>
    <w:p w14:paraId="187B4D6A" w14:textId="77777777" w:rsidR="008A1192" w:rsidRPr="00431183" w:rsidRDefault="00146202"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Es </w:t>
      </w:r>
      <w:r w:rsidR="008A1192" w:rsidRPr="00431183">
        <w:rPr>
          <w:rFonts w:ascii="Cambria" w:hAnsi="Cambria" w:cs="Arial"/>
          <w:sz w:val="24"/>
          <w:szCs w:val="24"/>
        </w:rPr>
        <w:t>una aplicación específica del método de flujo de caja descontado que cuantifica, mediante un análisis diferencial, los efectos combinados de un incremento en los ingresos y un decrecimiento de los costos. Este análisis diferencial</w:t>
      </w:r>
      <w:r w:rsidR="00D939EF" w:rsidRPr="00431183">
        <w:rPr>
          <w:rFonts w:ascii="Cambria" w:hAnsi="Cambria" w:cs="Arial"/>
          <w:sz w:val="24"/>
          <w:szCs w:val="24"/>
        </w:rPr>
        <w:t>,</w:t>
      </w:r>
      <w:r w:rsidR="008A1192" w:rsidRPr="00431183">
        <w:rPr>
          <w:rFonts w:ascii="Cambria" w:hAnsi="Cambria" w:cs="Arial"/>
          <w:sz w:val="24"/>
          <w:szCs w:val="24"/>
        </w:rPr>
        <w:t xml:space="preserve"> compara los ingresos y c</w:t>
      </w:r>
      <w:r w:rsidR="0057043B" w:rsidRPr="00431183">
        <w:rPr>
          <w:rFonts w:ascii="Cambria" w:hAnsi="Cambria" w:cs="Arial"/>
          <w:sz w:val="24"/>
          <w:szCs w:val="24"/>
        </w:rPr>
        <w:t>ostos esperados por los agentes locales de la Zona de los Santos</w:t>
      </w:r>
      <w:r w:rsidR="008A1192" w:rsidRPr="00431183">
        <w:rPr>
          <w:rFonts w:ascii="Cambria" w:hAnsi="Cambria" w:cs="Arial"/>
          <w:sz w:val="24"/>
          <w:szCs w:val="24"/>
        </w:rPr>
        <w:t xml:space="preserve"> con </w:t>
      </w:r>
      <w:r w:rsidR="0057043B" w:rsidRPr="00431183">
        <w:rPr>
          <w:rFonts w:ascii="Cambria" w:hAnsi="Cambria" w:cs="Arial"/>
          <w:sz w:val="24"/>
          <w:szCs w:val="24"/>
        </w:rPr>
        <w:t>el activo intangible valorados, comparados con</w:t>
      </w:r>
      <w:r w:rsidR="008A1192" w:rsidRPr="00431183">
        <w:rPr>
          <w:rFonts w:ascii="Cambria" w:hAnsi="Cambria" w:cs="Arial"/>
          <w:sz w:val="24"/>
          <w:szCs w:val="24"/>
        </w:rPr>
        <w:t xml:space="preserve"> los ingresos y co</w:t>
      </w:r>
      <w:r w:rsidR="0057043B" w:rsidRPr="00431183">
        <w:rPr>
          <w:rFonts w:ascii="Cambria" w:hAnsi="Cambria" w:cs="Arial"/>
          <w:sz w:val="24"/>
          <w:szCs w:val="24"/>
        </w:rPr>
        <w:t xml:space="preserve">stos esperados para los agentes locales de los Santos </w:t>
      </w:r>
      <w:r w:rsidR="008A1192" w:rsidRPr="00431183">
        <w:rPr>
          <w:rFonts w:ascii="Cambria" w:hAnsi="Cambria" w:cs="Arial"/>
          <w:sz w:val="24"/>
          <w:szCs w:val="24"/>
        </w:rPr>
        <w:t>sin el intangible</w:t>
      </w:r>
      <w:r w:rsidR="0057043B" w:rsidRPr="00431183">
        <w:rPr>
          <w:rFonts w:ascii="Cambria" w:hAnsi="Cambria" w:cs="Arial"/>
          <w:sz w:val="24"/>
          <w:szCs w:val="24"/>
        </w:rPr>
        <w:t xml:space="preserve"> </w:t>
      </w:r>
      <w:r w:rsidR="008A1192" w:rsidRPr="00431183">
        <w:rPr>
          <w:rFonts w:ascii="Cambria" w:hAnsi="Cambria" w:cs="Arial"/>
          <w:sz w:val="24"/>
          <w:szCs w:val="24"/>
        </w:rPr>
        <w:t>a valorar (con y sin).  Regularmente, es aplicada cuando es fácil determinar los flujos de caja asociados con el activo intangible a valorar y asimismo</w:t>
      </w:r>
      <w:r w:rsidR="00D939EF" w:rsidRPr="00431183">
        <w:rPr>
          <w:rFonts w:ascii="Cambria" w:hAnsi="Cambria" w:cs="Arial"/>
          <w:sz w:val="24"/>
          <w:szCs w:val="24"/>
        </w:rPr>
        <w:t>,</w:t>
      </w:r>
      <w:r w:rsidR="008A1192" w:rsidRPr="00431183">
        <w:rPr>
          <w:rFonts w:ascii="Cambria" w:hAnsi="Cambria" w:cs="Arial"/>
          <w:sz w:val="24"/>
          <w:szCs w:val="24"/>
        </w:rPr>
        <w:t xml:space="preserve"> separarlos dentro del flujo de caja del negocio.  </w:t>
      </w:r>
    </w:p>
    <w:p w14:paraId="4D559C79" w14:textId="77777777" w:rsidR="008A1192" w:rsidRPr="00431183" w:rsidRDefault="0057043B" w:rsidP="00431183">
      <w:pPr>
        <w:spacing w:line="240" w:lineRule="auto"/>
        <w:jc w:val="both"/>
        <w:rPr>
          <w:rFonts w:ascii="Cambria" w:hAnsi="Cambria" w:cs="Arial"/>
          <w:b/>
          <w:sz w:val="24"/>
          <w:szCs w:val="24"/>
        </w:rPr>
      </w:pPr>
      <w:r w:rsidRPr="00431183">
        <w:rPr>
          <w:rFonts w:ascii="Cambria" w:hAnsi="Cambria" w:cs="Arial"/>
          <w:b/>
          <w:sz w:val="24"/>
          <w:szCs w:val="24"/>
        </w:rPr>
        <w:t xml:space="preserve">Análisis del Negocio: Comercialización de la producción de café con Denominación de Origen. </w:t>
      </w:r>
    </w:p>
    <w:p w14:paraId="6860A24E"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La aplicación de la metodología de Flujo de Caja Descontado</w:t>
      </w:r>
      <w:r w:rsidR="00D939EF" w:rsidRPr="00431183">
        <w:rPr>
          <w:rFonts w:ascii="Cambria" w:hAnsi="Cambria" w:cs="Arial"/>
          <w:sz w:val="24"/>
          <w:szCs w:val="24"/>
        </w:rPr>
        <w:t>,</w:t>
      </w:r>
      <w:r w:rsidRPr="00431183">
        <w:rPr>
          <w:rFonts w:ascii="Cambria" w:hAnsi="Cambria" w:cs="Arial"/>
          <w:sz w:val="24"/>
          <w:szCs w:val="24"/>
        </w:rPr>
        <w:t xml:space="preserve"> se basa en la</w:t>
      </w:r>
      <w:r w:rsidR="00146202" w:rsidRPr="00431183">
        <w:rPr>
          <w:rFonts w:ascii="Cambria" w:hAnsi="Cambria" w:cs="Arial"/>
          <w:sz w:val="24"/>
          <w:szCs w:val="24"/>
        </w:rPr>
        <w:t xml:space="preserve"> idea que el valor de las fincas productoras de café</w:t>
      </w:r>
      <w:r w:rsidRPr="00431183">
        <w:rPr>
          <w:rFonts w:ascii="Cambria" w:hAnsi="Cambria" w:cs="Arial"/>
          <w:sz w:val="24"/>
          <w:szCs w:val="24"/>
        </w:rPr>
        <w:t xml:space="preserve"> está determinado por su capacidad directa de generar flujos de caja futuros después de impuestos</w:t>
      </w:r>
      <w:r w:rsidR="00146202" w:rsidRPr="00431183">
        <w:rPr>
          <w:rFonts w:ascii="Cambria" w:hAnsi="Cambria" w:cs="Arial"/>
          <w:sz w:val="24"/>
          <w:szCs w:val="24"/>
        </w:rPr>
        <w:t xml:space="preserve"> (en el caso que los devenguen)</w:t>
      </w:r>
      <w:r w:rsidRPr="00431183">
        <w:rPr>
          <w:rFonts w:ascii="Cambria" w:hAnsi="Cambria" w:cs="Arial"/>
          <w:sz w:val="24"/>
          <w:szCs w:val="24"/>
        </w:rPr>
        <w:t xml:space="preserve">. </w:t>
      </w:r>
    </w:p>
    <w:p w14:paraId="5E3F8046"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Mediante este método se pretende determinar el Valor Presente de los flujos de efectivo proyectados</w:t>
      </w:r>
      <w:r w:rsidR="00D939EF" w:rsidRPr="00431183">
        <w:rPr>
          <w:rFonts w:ascii="Cambria" w:hAnsi="Cambria" w:cs="Arial"/>
          <w:sz w:val="24"/>
          <w:szCs w:val="24"/>
        </w:rPr>
        <w:t>,</w:t>
      </w:r>
      <w:r w:rsidRPr="00431183">
        <w:rPr>
          <w:rFonts w:ascii="Cambria" w:hAnsi="Cambria" w:cs="Arial"/>
          <w:sz w:val="24"/>
          <w:szCs w:val="24"/>
        </w:rPr>
        <w:t xml:space="preserve"> que son directamente atribuibles</w:t>
      </w:r>
      <w:r w:rsidR="00146202" w:rsidRPr="00431183">
        <w:rPr>
          <w:rFonts w:ascii="Cambria" w:hAnsi="Cambria" w:cs="Arial"/>
          <w:sz w:val="24"/>
          <w:szCs w:val="24"/>
        </w:rPr>
        <w:t xml:space="preserve"> a las operaciones de los productores</w:t>
      </w:r>
      <w:r w:rsidRPr="00431183">
        <w:rPr>
          <w:rFonts w:ascii="Cambria" w:hAnsi="Cambria" w:cs="Arial"/>
          <w:sz w:val="24"/>
          <w:szCs w:val="24"/>
        </w:rPr>
        <w:t>. Para poder realizar lo anterior</w:t>
      </w:r>
      <w:r w:rsidR="00D939EF" w:rsidRPr="00431183">
        <w:rPr>
          <w:rFonts w:ascii="Cambria" w:hAnsi="Cambria" w:cs="Arial"/>
          <w:sz w:val="24"/>
          <w:szCs w:val="24"/>
        </w:rPr>
        <w:t>,</w:t>
      </w:r>
      <w:r w:rsidRPr="00431183">
        <w:rPr>
          <w:rFonts w:ascii="Cambria" w:hAnsi="Cambria" w:cs="Arial"/>
          <w:sz w:val="24"/>
          <w:szCs w:val="24"/>
        </w:rPr>
        <w:t xml:space="preserve"> es necesario definir la tasa de descuento, el horizonte de análisis y el valor terminal de una manera apropiada. </w:t>
      </w:r>
    </w:p>
    <w:p w14:paraId="4528D386"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Ajustes contables</w:t>
      </w:r>
    </w:p>
    <w:p w14:paraId="4A478A34"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Los estados financieros son creados mediante el principio de devengo, de manera que los gastos o las ganancias de una venta</w:t>
      </w:r>
      <w:r w:rsidR="00146202" w:rsidRPr="00431183">
        <w:rPr>
          <w:rFonts w:ascii="Cambria" w:hAnsi="Cambria" w:cs="Arial"/>
          <w:sz w:val="24"/>
          <w:szCs w:val="24"/>
        </w:rPr>
        <w:t xml:space="preserve"> referente a la actividad cafetalera</w:t>
      </w:r>
      <w:r w:rsidRPr="00431183">
        <w:rPr>
          <w:rFonts w:ascii="Cambria" w:hAnsi="Cambria" w:cs="Arial"/>
          <w:sz w:val="24"/>
          <w:szCs w:val="24"/>
        </w:rPr>
        <w:t xml:space="preserve"> son </w:t>
      </w:r>
      <w:r w:rsidR="00D939EF" w:rsidRPr="00431183">
        <w:rPr>
          <w:rFonts w:ascii="Cambria" w:hAnsi="Cambria" w:cs="Arial"/>
          <w:sz w:val="24"/>
          <w:szCs w:val="24"/>
        </w:rPr>
        <w:t>reconocidos</w:t>
      </w:r>
      <w:r w:rsidRPr="00431183">
        <w:rPr>
          <w:rFonts w:ascii="Cambria" w:hAnsi="Cambria" w:cs="Arial"/>
          <w:sz w:val="24"/>
          <w:szCs w:val="24"/>
        </w:rPr>
        <w:t xml:space="preserve"> a pesar de no haber necesariamente un intercambio monetario. Por lo tanto, se deben hacer ajustes para determinar los flujos de efectivo generados por las operaciones de una empresa. También es importante</w:t>
      </w:r>
      <w:r w:rsidR="00D939EF" w:rsidRPr="00431183">
        <w:rPr>
          <w:rFonts w:ascii="Cambria" w:hAnsi="Cambria" w:cs="Arial"/>
          <w:sz w:val="24"/>
          <w:szCs w:val="24"/>
        </w:rPr>
        <w:t>,</w:t>
      </w:r>
      <w:r w:rsidRPr="00431183">
        <w:rPr>
          <w:rFonts w:ascii="Cambria" w:hAnsi="Cambria" w:cs="Arial"/>
          <w:sz w:val="24"/>
          <w:szCs w:val="24"/>
        </w:rPr>
        <w:t xml:space="preserve"> excluir cualquier entrada contable extraordinaria o no recurrente, que por naturaleza es muy poco probable que vuelva a suceder. </w:t>
      </w:r>
    </w:p>
    <w:p w14:paraId="358DD484" w14:textId="77777777" w:rsidR="008A1192" w:rsidRPr="00F736BC" w:rsidRDefault="008A1192" w:rsidP="00431183">
      <w:pPr>
        <w:spacing w:line="240" w:lineRule="auto"/>
        <w:jc w:val="both"/>
        <w:rPr>
          <w:rFonts w:ascii="Cambria" w:hAnsi="Cambria" w:cs="Arial"/>
          <w:b/>
          <w:sz w:val="24"/>
          <w:szCs w:val="24"/>
        </w:rPr>
      </w:pPr>
      <w:r w:rsidRPr="00F736BC">
        <w:rPr>
          <w:rFonts w:ascii="Cambria" w:hAnsi="Cambria" w:cs="Arial"/>
          <w:b/>
          <w:sz w:val="24"/>
          <w:szCs w:val="24"/>
        </w:rPr>
        <w:t>Ingresos Netos y EBITDA</w:t>
      </w:r>
      <w:r w:rsidR="0059032C" w:rsidRPr="00F736BC">
        <w:rPr>
          <w:rFonts w:ascii="Cambria" w:hAnsi="Cambria" w:cs="Arial"/>
          <w:b/>
          <w:sz w:val="24"/>
          <w:szCs w:val="24"/>
        </w:rPr>
        <w:t xml:space="preserve"> (</w:t>
      </w:r>
      <w:r w:rsidR="00F86233" w:rsidRPr="00F736BC">
        <w:rPr>
          <w:rFonts w:ascii="Cambria" w:hAnsi="Cambria" w:cs="Arial"/>
          <w:b/>
          <w:sz w:val="24"/>
          <w:szCs w:val="24"/>
        </w:rPr>
        <w:t xml:space="preserve">en inglés, </w:t>
      </w:r>
      <w:r w:rsidR="0059032C" w:rsidRPr="00F736BC">
        <w:rPr>
          <w:rFonts w:ascii="Cambria" w:hAnsi="Cambria" w:cs="Arial"/>
          <w:b/>
          <w:sz w:val="24"/>
          <w:szCs w:val="24"/>
        </w:rPr>
        <w:t>Earnings Before Interest, Tax, Depreciation and Amortization)</w:t>
      </w:r>
    </w:p>
    <w:p w14:paraId="1D1EADD0"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Los ingresos y el margen EBITDA se proyectan siguiendo fundamentalmente</w:t>
      </w:r>
      <w:r w:rsidR="00146202" w:rsidRPr="00431183">
        <w:rPr>
          <w:rFonts w:ascii="Cambria" w:hAnsi="Cambria" w:cs="Arial"/>
          <w:sz w:val="24"/>
          <w:szCs w:val="24"/>
        </w:rPr>
        <w:t xml:space="preserve"> e</w:t>
      </w:r>
      <w:r w:rsidR="00B14C49" w:rsidRPr="00431183">
        <w:rPr>
          <w:rFonts w:ascii="Cambria" w:hAnsi="Cambria" w:cs="Arial"/>
          <w:sz w:val="24"/>
          <w:szCs w:val="24"/>
        </w:rPr>
        <w:t>l plan de negocios para los agentes locales relacionados a la actividad de</w:t>
      </w:r>
      <w:r w:rsidR="00146202" w:rsidRPr="00431183">
        <w:rPr>
          <w:rFonts w:ascii="Cambria" w:hAnsi="Cambria" w:cs="Arial"/>
          <w:sz w:val="24"/>
          <w:szCs w:val="24"/>
        </w:rPr>
        <w:t xml:space="preserve"> café</w:t>
      </w:r>
      <w:r w:rsidRPr="00431183">
        <w:rPr>
          <w:rFonts w:ascii="Cambria" w:hAnsi="Cambria" w:cs="Arial"/>
          <w:sz w:val="24"/>
          <w:szCs w:val="24"/>
        </w:rPr>
        <w:t>. La TC</w:t>
      </w:r>
      <w:r w:rsidR="005656D7" w:rsidRPr="00431183">
        <w:rPr>
          <w:rFonts w:ascii="Cambria" w:hAnsi="Cambria" w:cs="Arial"/>
          <w:sz w:val="24"/>
          <w:szCs w:val="24"/>
        </w:rPr>
        <w:t>A</w:t>
      </w:r>
      <w:r w:rsidRPr="00431183">
        <w:rPr>
          <w:rFonts w:ascii="Cambria" w:hAnsi="Cambria" w:cs="Arial"/>
          <w:sz w:val="24"/>
          <w:szCs w:val="24"/>
        </w:rPr>
        <w:t>C</w:t>
      </w:r>
      <w:r w:rsidR="005656D7" w:rsidRPr="00431183">
        <w:rPr>
          <w:rFonts w:ascii="Cambria" w:hAnsi="Cambria" w:cs="Arial"/>
          <w:sz w:val="24"/>
          <w:szCs w:val="24"/>
        </w:rPr>
        <w:t xml:space="preserve"> (Tasa de Crecimiento Anual Compuesta)</w:t>
      </w:r>
      <w:r w:rsidRPr="00431183">
        <w:rPr>
          <w:rFonts w:ascii="Cambria" w:hAnsi="Cambria" w:cs="Arial"/>
          <w:sz w:val="24"/>
          <w:szCs w:val="24"/>
        </w:rPr>
        <w:t xml:space="preserve"> de los ingresos para el periodo proyectado es de 4.2%. El margen EBITDA es de 18,7% para el año 2016 y de 21,5% hacia el final de la proyección.</w:t>
      </w:r>
    </w:p>
    <w:p w14:paraId="3CFEC095"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Depreciación y Amortización</w:t>
      </w:r>
    </w:p>
    <w:p w14:paraId="142EDA91"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Se asumen dos tipos de depreciación: la relacionada con activos históricos y la del CAPEX</w:t>
      </w:r>
      <w:r w:rsidR="005656D7" w:rsidRPr="00431183">
        <w:rPr>
          <w:rFonts w:ascii="Cambria" w:hAnsi="Cambria" w:cs="Arial"/>
          <w:sz w:val="24"/>
          <w:szCs w:val="24"/>
        </w:rPr>
        <w:t xml:space="preserve"> (Capital Expenditure)</w:t>
      </w:r>
      <w:r w:rsidRPr="00431183">
        <w:rPr>
          <w:rFonts w:ascii="Cambria" w:hAnsi="Cambria" w:cs="Arial"/>
          <w:sz w:val="24"/>
          <w:szCs w:val="24"/>
        </w:rPr>
        <w:t xml:space="preserve"> proyectado. En el caso de los activos históricos, se mantiene su tendencia de depreciación. Para el CAPEX</w:t>
      </w:r>
      <w:r w:rsidR="005656D7" w:rsidRPr="00431183">
        <w:rPr>
          <w:rFonts w:ascii="Cambria" w:hAnsi="Cambria" w:cs="Arial"/>
          <w:sz w:val="24"/>
          <w:szCs w:val="24"/>
        </w:rPr>
        <w:t xml:space="preserve"> (</w:t>
      </w:r>
      <w:r w:rsidR="00F86233">
        <w:rPr>
          <w:rFonts w:ascii="Cambria" w:hAnsi="Cambria" w:cs="Arial"/>
          <w:sz w:val="24"/>
          <w:szCs w:val="24"/>
        </w:rPr>
        <w:t xml:space="preserve">en inglés, </w:t>
      </w:r>
      <w:r w:rsidR="005656D7" w:rsidRPr="00431183">
        <w:rPr>
          <w:rFonts w:ascii="Cambria" w:hAnsi="Cambria" w:cs="Arial"/>
          <w:sz w:val="24"/>
          <w:szCs w:val="24"/>
        </w:rPr>
        <w:t>Capital Expenditure)</w:t>
      </w:r>
      <w:r w:rsidRPr="00431183">
        <w:rPr>
          <w:rFonts w:ascii="Cambria" w:hAnsi="Cambria" w:cs="Arial"/>
          <w:sz w:val="24"/>
          <w:szCs w:val="24"/>
        </w:rPr>
        <w:t xml:space="preserve"> </w:t>
      </w:r>
      <w:r w:rsidRPr="00431183">
        <w:rPr>
          <w:rFonts w:ascii="Cambria" w:hAnsi="Cambria" w:cs="Arial"/>
          <w:sz w:val="24"/>
          <w:szCs w:val="24"/>
        </w:rPr>
        <w:lastRenderedPageBreak/>
        <w:t>proyectado, la depreciación se aplica a un plazo de 5 años. La depreciación tiene únicamente un efecto fiscal en la valoración.</w:t>
      </w:r>
    </w:p>
    <w:p w14:paraId="64839642"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Tasa de Crecimiento a Largo Plazo</w:t>
      </w:r>
    </w:p>
    <w:p w14:paraId="27285AEA"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La tasa de crecimiento a perpetuidad se estima en 3.8%, en línea con un rango conservador de lo que se </w:t>
      </w:r>
      <w:r w:rsidR="00911639" w:rsidRPr="00431183">
        <w:rPr>
          <w:rFonts w:ascii="Cambria" w:hAnsi="Cambria" w:cs="Arial"/>
          <w:sz w:val="24"/>
          <w:szCs w:val="24"/>
        </w:rPr>
        <w:t xml:space="preserve">proyecta </w:t>
      </w:r>
      <w:r w:rsidRPr="00431183">
        <w:rPr>
          <w:rFonts w:ascii="Cambria" w:hAnsi="Cambria" w:cs="Arial"/>
          <w:sz w:val="24"/>
          <w:szCs w:val="24"/>
        </w:rPr>
        <w:t xml:space="preserve">es el crecimiento de la economía costarricense en el largo plazo. </w:t>
      </w:r>
    </w:p>
    <w:p w14:paraId="52347CED"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Inversión en CAPEX</w:t>
      </w:r>
      <w:r w:rsidR="005656D7" w:rsidRPr="00431183">
        <w:rPr>
          <w:rFonts w:ascii="Cambria" w:hAnsi="Cambria" w:cs="Arial"/>
          <w:b/>
          <w:sz w:val="24"/>
          <w:szCs w:val="24"/>
        </w:rPr>
        <w:t xml:space="preserve"> (</w:t>
      </w:r>
      <w:r w:rsidR="00E635C3">
        <w:rPr>
          <w:rFonts w:ascii="Cambria" w:hAnsi="Cambria" w:cs="Arial"/>
          <w:b/>
          <w:sz w:val="24"/>
          <w:szCs w:val="24"/>
        </w:rPr>
        <w:t xml:space="preserve">en inglés, </w:t>
      </w:r>
      <w:r w:rsidR="005656D7" w:rsidRPr="00431183">
        <w:rPr>
          <w:rFonts w:ascii="Cambria" w:hAnsi="Cambria" w:cs="Arial"/>
          <w:b/>
          <w:sz w:val="24"/>
          <w:szCs w:val="24"/>
        </w:rPr>
        <w:t>Capital Expenditure)</w:t>
      </w:r>
    </w:p>
    <w:p w14:paraId="42A97999"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El CAPEX se estima en USD 500 mil anuales. A partir del sexto año se asume que se repone la depreciación de cada period</w:t>
      </w:r>
      <w:r w:rsidR="00B14C49" w:rsidRPr="00431183">
        <w:rPr>
          <w:rFonts w:ascii="Cambria" w:hAnsi="Cambria" w:cs="Arial"/>
          <w:sz w:val="24"/>
          <w:szCs w:val="24"/>
        </w:rPr>
        <w:t xml:space="preserve">o, para representar a un agente local de los Santos </w:t>
      </w:r>
      <w:r w:rsidRPr="00431183">
        <w:rPr>
          <w:rFonts w:ascii="Cambria" w:hAnsi="Cambria" w:cs="Arial"/>
          <w:sz w:val="24"/>
          <w:szCs w:val="24"/>
        </w:rPr>
        <w:t>en marcha</w:t>
      </w:r>
      <w:r w:rsidR="00B14C49" w:rsidRPr="00431183">
        <w:rPr>
          <w:rFonts w:ascii="Cambria" w:hAnsi="Cambria" w:cs="Arial"/>
          <w:sz w:val="24"/>
          <w:szCs w:val="24"/>
        </w:rPr>
        <w:t>;</w:t>
      </w:r>
      <w:r w:rsidRPr="00431183">
        <w:rPr>
          <w:rFonts w:ascii="Cambria" w:hAnsi="Cambria" w:cs="Arial"/>
          <w:sz w:val="24"/>
          <w:szCs w:val="24"/>
        </w:rPr>
        <w:t xml:space="preserve"> que requiere que sus activos productivos operen en óptimas condiciones.</w:t>
      </w:r>
    </w:p>
    <w:p w14:paraId="7AAAB2D4"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Requerimiento en Capital de Trabajo</w:t>
      </w:r>
    </w:p>
    <w:p w14:paraId="6728C6E2" w14:textId="747EE317" w:rsidR="002C7111" w:rsidRDefault="008A1192" w:rsidP="00FC2D87">
      <w:pPr>
        <w:spacing w:line="240" w:lineRule="auto"/>
        <w:jc w:val="both"/>
        <w:rPr>
          <w:rFonts w:ascii="Cambria" w:hAnsi="Cambria" w:cs="Arial"/>
          <w:b/>
          <w:sz w:val="24"/>
          <w:szCs w:val="24"/>
        </w:rPr>
      </w:pPr>
      <w:r w:rsidRPr="00431183">
        <w:rPr>
          <w:rFonts w:ascii="Cambria" w:hAnsi="Cambria" w:cs="Arial"/>
          <w:sz w:val="24"/>
          <w:szCs w:val="24"/>
        </w:rPr>
        <w:t>Las partidas de capital de trabajo, efectivo, cuentas por cobrar, inventarios y cuentas por pagar, se proyectan manteniendo una consistencia según indicadores históricos recientes. Se procura mantener bajos niveles de efectivo, únicamente los necesarios para los requerimientos de corto plazo.</w:t>
      </w:r>
    </w:p>
    <w:p w14:paraId="2262AD96"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Tasa de Descuento</w:t>
      </w:r>
    </w:p>
    <w:p w14:paraId="3EAA1308"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Costo de Capital Promedio Ponderado (WACC)</w:t>
      </w:r>
    </w:p>
    <w:p w14:paraId="1DA8F4F2" w14:textId="77777777" w:rsidR="008A1192" w:rsidRPr="00431183" w:rsidRDefault="00B14C49" w:rsidP="00431183">
      <w:pPr>
        <w:spacing w:line="240" w:lineRule="auto"/>
        <w:ind w:firstLine="708"/>
        <w:jc w:val="both"/>
        <w:rPr>
          <w:rFonts w:ascii="Cambria" w:hAnsi="Cambria" w:cs="Arial"/>
          <w:sz w:val="24"/>
          <w:szCs w:val="24"/>
        </w:rPr>
      </w:pPr>
      <w:r w:rsidRPr="00431183">
        <w:rPr>
          <w:rFonts w:ascii="Cambria" w:hAnsi="Cambria" w:cs="Arial"/>
          <w:sz w:val="24"/>
          <w:szCs w:val="24"/>
        </w:rPr>
        <w:t>Al aplicar el método de</w:t>
      </w:r>
      <w:r w:rsidR="008A1192" w:rsidRPr="00431183">
        <w:rPr>
          <w:rFonts w:ascii="Cambria" w:hAnsi="Cambria" w:cs="Arial"/>
          <w:sz w:val="24"/>
          <w:szCs w:val="24"/>
        </w:rPr>
        <w:t xml:space="preserve"> ingreso para estimar el</w:t>
      </w:r>
      <w:r w:rsidRPr="00431183">
        <w:rPr>
          <w:rFonts w:ascii="Cambria" w:hAnsi="Cambria" w:cs="Arial"/>
          <w:sz w:val="24"/>
          <w:szCs w:val="24"/>
        </w:rPr>
        <w:t xml:space="preserve"> valor razonable de los agentes locales y su producción</w:t>
      </w:r>
      <w:r w:rsidR="008A1192" w:rsidRPr="00431183">
        <w:rPr>
          <w:rFonts w:ascii="Cambria" w:hAnsi="Cambria" w:cs="Arial"/>
          <w:sz w:val="24"/>
          <w:szCs w:val="24"/>
        </w:rPr>
        <w:t>, el flujo d</w:t>
      </w:r>
      <w:r w:rsidRPr="00431183">
        <w:rPr>
          <w:rFonts w:ascii="Cambria" w:hAnsi="Cambria" w:cs="Arial"/>
          <w:sz w:val="24"/>
          <w:szCs w:val="24"/>
        </w:rPr>
        <w:t xml:space="preserve">e caja generado </w:t>
      </w:r>
      <w:r w:rsidR="008A1192" w:rsidRPr="00431183">
        <w:rPr>
          <w:rFonts w:ascii="Cambria" w:hAnsi="Cambria" w:cs="Arial"/>
          <w:sz w:val="24"/>
          <w:szCs w:val="24"/>
        </w:rPr>
        <w:t xml:space="preserve">es descontado para obtener su valor presente por medio de una tasa de descuento, que considera el riesgo tomando en cuenta la consecución de los flujos y el valor del dinero en el tiempo. </w:t>
      </w:r>
    </w:p>
    <w:p w14:paraId="75C9B5FD"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El valor de la tasa de descuento aplicada a los flujos proyectados está </w:t>
      </w:r>
      <w:r w:rsidR="00146202" w:rsidRPr="00431183">
        <w:rPr>
          <w:rFonts w:ascii="Cambria" w:hAnsi="Cambria" w:cs="Arial"/>
          <w:sz w:val="24"/>
          <w:szCs w:val="24"/>
        </w:rPr>
        <w:t>relacionado</w:t>
      </w:r>
      <w:r w:rsidRPr="00431183">
        <w:rPr>
          <w:rFonts w:ascii="Cambria" w:hAnsi="Cambria" w:cs="Arial"/>
          <w:sz w:val="24"/>
          <w:szCs w:val="24"/>
        </w:rPr>
        <w:t xml:space="preserve"> con el riesgo percibido de la inversión y los costos de capital actuales. La tasa de descuento utilizada en nuestro análisis, representa un estimado del Costo de Capital Promedio Ponderado (WACC) de la Compañía. </w:t>
      </w:r>
    </w:p>
    <w:p w14:paraId="56578F17"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El WACC de la industria se calcula basándose en compañías referentes de industria, o puede estar implícito en una adquisición por la tasa de descuento requerida para convertir las proyecciones de flujos de efectivo para una empresa fusionada a un valor presente equivalente al precio de compra.</w:t>
      </w:r>
    </w:p>
    <w:p w14:paraId="781939A6" w14:textId="77777777" w:rsidR="008A1192" w:rsidRPr="00431183" w:rsidRDefault="008A1192" w:rsidP="00431183">
      <w:pPr>
        <w:pStyle w:val="NormalWeb"/>
        <w:spacing w:before="0" w:beforeAutospacing="0" w:after="120" w:afterAutospacing="0"/>
        <w:ind w:firstLine="708"/>
        <w:jc w:val="both"/>
        <w:textAlignment w:val="baseline"/>
        <w:rPr>
          <w:rFonts w:ascii="Cambria" w:hAnsi="Cambria" w:cs="Arial"/>
        </w:rPr>
      </w:pPr>
      <w:r w:rsidRPr="00431183">
        <w:rPr>
          <w:rFonts w:ascii="Cambria" w:eastAsia="Verdana" w:hAnsi="Cambria" w:cs="Arial"/>
          <w:color w:val="000000"/>
          <w:kern w:val="24"/>
          <w:lang w:val="es-ES"/>
        </w:rPr>
        <w:t xml:space="preserve">El WACC ordinariamente refleja estimados del costo de deuda y patrimonio ponderados por el porcentaje de deuda y patrimonio en la estructura de capital de la industria. </w:t>
      </w:r>
    </w:p>
    <w:p w14:paraId="7AC57C67" w14:textId="77777777" w:rsidR="008A1192" w:rsidRPr="00431183" w:rsidRDefault="008A1192" w:rsidP="00431183">
      <w:pPr>
        <w:pStyle w:val="NormalWeb"/>
        <w:spacing w:before="0" w:beforeAutospacing="0" w:after="120" w:afterAutospacing="0"/>
        <w:jc w:val="both"/>
        <w:textAlignment w:val="baseline"/>
        <w:rPr>
          <w:rFonts w:ascii="Cambria" w:eastAsia="Verdana" w:hAnsi="Cambria" w:cs="Arial"/>
          <w:color w:val="000000"/>
          <w:kern w:val="24"/>
          <w:lang w:val="es-ES"/>
        </w:rPr>
      </w:pPr>
      <w:r w:rsidRPr="00431183">
        <w:rPr>
          <w:rFonts w:ascii="Cambria" w:eastAsia="Verdana" w:hAnsi="Cambria" w:cs="Arial"/>
          <w:color w:val="000000"/>
          <w:kern w:val="24"/>
          <w:lang w:val="es-ES"/>
        </w:rPr>
        <w:t>La fórmula para calcular el WACC es la siguiente:</w:t>
      </w:r>
    </w:p>
    <w:p w14:paraId="0542793A" w14:textId="51983A4B" w:rsidR="008A1192" w:rsidRPr="00431183" w:rsidRDefault="005F523A" w:rsidP="00431183">
      <w:pPr>
        <w:pStyle w:val="NormalWeb"/>
        <w:spacing w:before="0" w:beforeAutospacing="0" w:after="120" w:afterAutospacing="0"/>
        <w:jc w:val="both"/>
        <w:textAlignment w:val="baseline"/>
        <w:rPr>
          <w:rFonts w:ascii="Cambria" w:hAnsi="Cambria" w:cs="Arial"/>
        </w:rPr>
      </w:pPr>
      <w:r>
        <w:rPr>
          <w:rFonts w:ascii="Cambria" w:eastAsiaTheme="minorHAnsi" w:hAnsi="Cambria" w:cstheme="minorBidi"/>
          <w:noProof/>
        </w:rPr>
        <mc:AlternateContent>
          <mc:Choice Requires="wps">
            <w:drawing>
              <wp:anchor distT="0" distB="0" distL="114300" distR="114300" simplePos="0" relativeHeight="251659264" behindDoc="0" locked="0" layoutInCell="1" allowOverlap="1" wp14:anchorId="72FACAB2" wp14:editId="445A2708">
                <wp:simplePos x="0" y="0"/>
                <wp:positionH relativeFrom="margin">
                  <wp:align>center</wp:align>
                </wp:positionH>
                <wp:positionV relativeFrom="paragraph">
                  <wp:posOffset>14605</wp:posOffset>
                </wp:positionV>
                <wp:extent cx="4201795" cy="405130"/>
                <wp:effectExtent l="0" t="0" r="8255" b="0"/>
                <wp:wrapNone/>
                <wp:docPr id="11"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01795" cy="405130"/>
                        </a:xfrm>
                        <a:prstGeom prst="rect">
                          <a:avLst/>
                        </a:prstGeom>
                        <a:noFill/>
                        <a:ln w="25400" cap="flat" cmpd="sng" algn="ctr">
                          <a:solidFill>
                            <a:schemeClr val="bg1"/>
                          </a:solidFill>
                          <a:prstDash val="solid"/>
                        </a:ln>
                        <a:effectLst/>
                      </wps:spPr>
                      <wps:txbx>
                        <w:txbxContent>
                          <w:p w14:paraId="4C036E2E" w14:textId="77777777" w:rsidR="00AF1E1D" w:rsidRDefault="00AF1E1D" w:rsidP="008A1192">
                            <w:pPr>
                              <w:pStyle w:val="NormalWeb"/>
                              <w:spacing w:before="0" w:beforeAutospacing="0" w:after="0" w:afterAutospacing="0"/>
                            </w:pPr>
                            <m:oMathPara>
                              <m:oMathParaPr>
                                <m:jc m:val="centerGroup"/>
                              </m:oMathParaPr>
                              <m:oMath>
                                <m:r>
                                  <w:rPr>
                                    <w:rFonts w:ascii="Cambria Math" w:hAnsi="Cambria Math" w:cstheme="minorBidi"/>
                                    <w:color w:val="000000"/>
                                    <w:sz w:val="20"/>
                                    <w:szCs w:val="20"/>
                                  </w:rPr>
                                  <m:t>WACC=</m:t>
                                </m:r>
                                <m:d>
                                  <m:dPr>
                                    <m:begChr m:val=""/>
                                    <m:endChr m:val=""/>
                                    <m:ctrlPr>
                                      <w:rPr>
                                        <w:rFonts w:ascii="Cambria Math" w:eastAsiaTheme="minorEastAsia" w:hAnsi="Cambria Math" w:cstheme="minorBidi"/>
                                        <w:i/>
                                        <w:iCs/>
                                        <w:color w:val="000000"/>
                                      </w:rPr>
                                    </m:ctrlPr>
                                  </m:dPr>
                                  <m:e>
                                    <m:d>
                                      <m:dPr>
                                        <m:ctrlPr>
                                          <w:rPr>
                                            <w:rFonts w:ascii="Cambria Math" w:eastAsiaTheme="minorEastAsia" w:hAnsi="Cambria Math" w:cstheme="minorBidi"/>
                                            <w:i/>
                                            <w:iCs/>
                                            <w:color w:val="000000"/>
                                          </w:rPr>
                                        </m:ctrlPr>
                                      </m:dPr>
                                      <m:e>
                                        <m:f>
                                          <m:fPr>
                                            <m:ctrlPr>
                                              <w:rPr>
                                                <w:rFonts w:ascii="Cambria Math" w:eastAsiaTheme="minorEastAsia" w:hAnsi="Cambria Math" w:cstheme="minorBidi"/>
                                                <w:i/>
                                                <w:iCs/>
                                                <w:color w:val="000000"/>
                                              </w:rPr>
                                            </m:ctrlPr>
                                          </m:fPr>
                                          <m:num>
                                            <m:r>
                                              <w:rPr>
                                                <w:rFonts w:ascii="Cambria Math" w:hAnsi="Cambria Math" w:cstheme="minorBidi"/>
                                                <w:color w:val="000000"/>
                                                <w:sz w:val="20"/>
                                                <w:szCs w:val="20"/>
                                              </w:rPr>
                                              <m:t>D</m:t>
                                            </m:r>
                                          </m:num>
                                          <m:den>
                                            <m:r>
                                              <w:rPr>
                                                <w:rFonts w:ascii="Cambria Math" w:hAnsi="Cambria Math" w:cstheme="minorBidi"/>
                                                <w:color w:val="000000"/>
                                                <w:sz w:val="20"/>
                                                <w:szCs w:val="20"/>
                                              </w:rPr>
                                              <m:t>D+P</m:t>
                                            </m:r>
                                          </m:den>
                                        </m:f>
                                      </m:e>
                                    </m:d>
                                    <m:r>
                                      <w:rPr>
                                        <w:rFonts w:ascii="Cambria Math" w:hAnsi="Cambria Math" w:cstheme="minorBidi"/>
                                        <w:color w:val="000000"/>
                                        <w:sz w:val="20"/>
                                        <w:szCs w:val="20"/>
                                      </w:rPr>
                                      <m:t>*Kd*</m:t>
                                    </m:r>
                                    <m:d>
                                      <m:dPr>
                                        <m:ctrlPr>
                                          <w:rPr>
                                            <w:rFonts w:ascii="Cambria Math" w:eastAsiaTheme="minorEastAsia" w:hAnsi="Cambria Math" w:cstheme="minorBidi"/>
                                            <w:i/>
                                            <w:iCs/>
                                            <w:color w:val="000000"/>
                                          </w:rPr>
                                        </m:ctrlPr>
                                      </m:dPr>
                                      <m:e>
                                        <m:r>
                                          <w:rPr>
                                            <w:rFonts w:ascii="Cambria Math" w:hAnsi="Cambria Math" w:cstheme="minorBidi"/>
                                            <w:color w:val="000000"/>
                                            <w:sz w:val="20"/>
                                            <w:szCs w:val="20"/>
                                          </w:rPr>
                                          <m:t>1 -t</m:t>
                                        </m:r>
                                      </m:e>
                                    </m:d>
                                  </m:e>
                                </m:d>
                                <m:r>
                                  <w:rPr>
                                    <w:rFonts w:ascii="Cambria Math" w:hAnsi="Cambria Math" w:cstheme="minorBidi"/>
                                    <w:color w:val="000000"/>
                                    <w:sz w:val="20"/>
                                    <w:szCs w:val="20"/>
                                  </w:rPr>
                                  <m:t>+</m:t>
                                </m:r>
                                <m:d>
                                  <m:dPr>
                                    <m:begChr m:val=""/>
                                    <m:endChr m:val=""/>
                                    <m:ctrlPr>
                                      <w:rPr>
                                        <w:rFonts w:ascii="Cambria Math" w:eastAsiaTheme="minorEastAsia" w:hAnsi="Cambria Math" w:cstheme="minorBidi"/>
                                        <w:i/>
                                        <w:iCs/>
                                        <w:color w:val="000000"/>
                                      </w:rPr>
                                    </m:ctrlPr>
                                  </m:dPr>
                                  <m:e>
                                    <m:d>
                                      <m:dPr>
                                        <m:ctrlPr>
                                          <w:rPr>
                                            <w:rFonts w:ascii="Cambria Math" w:eastAsiaTheme="minorEastAsia" w:hAnsi="Cambria Math" w:cstheme="minorBidi"/>
                                            <w:i/>
                                            <w:iCs/>
                                            <w:color w:val="000000"/>
                                          </w:rPr>
                                        </m:ctrlPr>
                                      </m:dPr>
                                      <m:e>
                                        <m:f>
                                          <m:fPr>
                                            <m:ctrlPr>
                                              <w:rPr>
                                                <w:rFonts w:ascii="Cambria Math" w:eastAsiaTheme="minorEastAsia" w:hAnsi="Cambria Math" w:cstheme="minorBidi"/>
                                                <w:i/>
                                                <w:iCs/>
                                                <w:color w:val="000000"/>
                                              </w:rPr>
                                            </m:ctrlPr>
                                          </m:fPr>
                                          <m:num>
                                            <m:r>
                                              <w:rPr>
                                                <w:rFonts w:ascii="Cambria Math" w:hAnsi="Cambria Math" w:cstheme="minorBidi"/>
                                                <w:color w:val="000000"/>
                                                <w:sz w:val="20"/>
                                                <w:szCs w:val="20"/>
                                              </w:rPr>
                                              <m:t>P</m:t>
                                            </m:r>
                                          </m:num>
                                          <m:den>
                                            <m:r>
                                              <w:rPr>
                                                <w:rFonts w:ascii="Cambria Math" w:hAnsi="Cambria Math" w:cstheme="minorBidi"/>
                                                <w:color w:val="000000"/>
                                                <w:sz w:val="20"/>
                                                <w:szCs w:val="20"/>
                                              </w:rPr>
                                              <m:t>D+P</m:t>
                                            </m:r>
                                          </m:den>
                                        </m:f>
                                      </m:e>
                                    </m:d>
                                    <m:r>
                                      <w:rPr>
                                        <w:rFonts w:ascii="Cambria Math" w:hAnsi="Cambria Math" w:cstheme="minorBidi"/>
                                        <w:color w:val="000000"/>
                                        <w:sz w:val="20"/>
                                        <w:szCs w:val="20"/>
                                      </w:rPr>
                                      <m:t>*Ke</m:t>
                                    </m:r>
                                  </m:e>
                                </m:d>
                              </m:oMath>
                            </m:oMathPara>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type w14:anchorId="72FACAB2" id="_x0000_t202" coordsize="21600,21600" o:spt="202" path="m,l,21600r21600,l21600,xe">
                <v:stroke joinstyle="miter"/>
                <v:path gradientshapeok="t" o:connecttype="rect"/>
              </v:shapetype>
              <v:shape id="TextBox 10" o:spid="_x0000_s1026" type="#_x0000_t202" style="position:absolute;left:0;text-align:left;margin-left:0;margin-top:1.15pt;width:330.85pt;height:31.9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" filled="f" strokecolor="white [3212]" strokeweight="2pt">
                <v:path arrowok="t"/>
                <v:textbox style="mso-fit-shape-to-text:t">
                  <w:txbxContent>
                    <w:p w14:paraId="4C036E2E" w14:textId="77777777" w:rsidR="00AF1E1D" w:rsidRDefault="00AF1E1D" w:rsidP="008A1192">
                      <w:pPr>
                        <w:pStyle w:val="NormalWeb"/>
                        <w:spacing w:before="0" w:beforeAutospacing="0" w:after="0" w:afterAutospacing="0"/>
                      </w:pPr>
                      <m:oMathPara>
                        <m:oMathParaPr>
                          <m:jc m:val="centerGroup"/>
                        </m:oMathParaPr>
                        <m:oMath>
                          <m:r>
                            <w:rPr>
                              <w:rFonts w:ascii="Cambria Math" w:hAnsi="Cambria Math" w:cstheme="minorBidi"/>
                              <w:color w:val="000000"/>
                              <w:sz w:val="20"/>
                              <w:szCs w:val="20"/>
                            </w:rPr>
                            <m:t>WACC=</m:t>
                          </m:r>
                          <m:d>
                            <m:dPr>
                              <m:begChr m:val=""/>
                              <m:endChr m:val=""/>
                              <m:ctrlPr>
                                <w:rPr>
                                  <w:rFonts w:ascii="Cambria Math" w:eastAsiaTheme="minorEastAsia" w:hAnsi="Cambria Math" w:cstheme="minorBidi"/>
                                  <w:i/>
                                  <w:iCs/>
                                  <w:color w:val="000000"/>
                                </w:rPr>
                              </m:ctrlPr>
                            </m:dPr>
                            <m:e>
                              <m:d>
                                <m:dPr>
                                  <m:ctrlPr>
                                    <w:rPr>
                                      <w:rFonts w:ascii="Cambria Math" w:eastAsiaTheme="minorEastAsia" w:hAnsi="Cambria Math" w:cstheme="minorBidi"/>
                                      <w:i/>
                                      <w:iCs/>
                                      <w:color w:val="000000"/>
                                    </w:rPr>
                                  </m:ctrlPr>
                                </m:dPr>
                                <m:e>
                                  <m:f>
                                    <m:fPr>
                                      <m:ctrlPr>
                                        <w:rPr>
                                          <w:rFonts w:ascii="Cambria Math" w:eastAsiaTheme="minorEastAsia" w:hAnsi="Cambria Math" w:cstheme="minorBidi"/>
                                          <w:i/>
                                          <w:iCs/>
                                          <w:color w:val="000000"/>
                                        </w:rPr>
                                      </m:ctrlPr>
                                    </m:fPr>
                                    <m:num>
                                      <m:r>
                                        <w:rPr>
                                          <w:rFonts w:ascii="Cambria Math" w:hAnsi="Cambria Math" w:cstheme="minorBidi"/>
                                          <w:color w:val="000000"/>
                                          <w:sz w:val="20"/>
                                          <w:szCs w:val="20"/>
                                        </w:rPr>
                                        <m:t>D</m:t>
                                      </m:r>
                                    </m:num>
                                    <m:den>
                                      <m:r>
                                        <w:rPr>
                                          <w:rFonts w:ascii="Cambria Math" w:hAnsi="Cambria Math" w:cstheme="minorBidi"/>
                                          <w:color w:val="000000"/>
                                          <w:sz w:val="20"/>
                                          <w:szCs w:val="20"/>
                                        </w:rPr>
                                        <m:t>D+P</m:t>
                                      </m:r>
                                    </m:den>
                                  </m:f>
                                </m:e>
                              </m:d>
                              <m:r>
                                <w:rPr>
                                  <w:rFonts w:ascii="Cambria Math" w:hAnsi="Cambria Math" w:cstheme="minorBidi"/>
                                  <w:color w:val="000000"/>
                                  <w:sz w:val="20"/>
                                  <w:szCs w:val="20"/>
                                </w:rPr>
                                <m:t>*Kd*</m:t>
                              </m:r>
                              <m:d>
                                <m:dPr>
                                  <m:ctrlPr>
                                    <w:rPr>
                                      <w:rFonts w:ascii="Cambria Math" w:eastAsiaTheme="minorEastAsia" w:hAnsi="Cambria Math" w:cstheme="minorBidi"/>
                                      <w:i/>
                                      <w:iCs/>
                                      <w:color w:val="000000"/>
                                    </w:rPr>
                                  </m:ctrlPr>
                                </m:dPr>
                                <m:e>
                                  <m:r>
                                    <w:rPr>
                                      <w:rFonts w:ascii="Cambria Math" w:hAnsi="Cambria Math" w:cstheme="minorBidi"/>
                                      <w:color w:val="000000"/>
                                      <w:sz w:val="20"/>
                                      <w:szCs w:val="20"/>
                                    </w:rPr>
                                    <m:t>1 -t</m:t>
                                  </m:r>
                                </m:e>
                              </m:d>
                            </m:e>
                          </m:d>
                          <m:r>
                            <w:rPr>
                              <w:rFonts w:ascii="Cambria Math" w:hAnsi="Cambria Math" w:cstheme="minorBidi"/>
                              <w:color w:val="000000"/>
                              <w:sz w:val="20"/>
                              <w:szCs w:val="20"/>
                            </w:rPr>
                            <m:t>+</m:t>
                          </m:r>
                          <m:d>
                            <m:dPr>
                              <m:begChr m:val=""/>
                              <m:endChr m:val=""/>
                              <m:ctrlPr>
                                <w:rPr>
                                  <w:rFonts w:ascii="Cambria Math" w:eastAsiaTheme="minorEastAsia" w:hAnsi="Cambria Math" w:cstheme="minorBidi"/>
                                  <w:i/>
                                  <w:iCs/>
                                  <w:color w:val="000000"/>
                                </w:rPr>
                              </m:ctrlPr>
                            </m:dPr>
                            <m:e>
                              <m:d>
                                <m:dPr>
                                  <m:ctrlPr>
                                    <w:rPr>
                                      <w:rFonts w:ascii="Cambria Math" w:eastAsiaTheme="minorEastAsia" w:hAnsi="Cambria Math" w:cstheme="minorBidi"/>
                                      <w:i/>
                                      <w:iCs/>
                                      <w:color w:val="000000"/>
                                    </w:rPr>
                                  </m:ctrlPr>
                                </m:dPr>
                                <m:e>
                                  <m:f>
                                    <m:fPr>
                                      <m:ctrlPr>
                                        <w:rPr>
                                          <w:rFonts w:ascii="Cambria Math" w:eastAsiaTheme="minorEastAsia" w:hAnsi="Cambria Math" w:cstheme="minorBidi"/>
                                          <w:i/>
                                          <w:iCs/>
                                          <w:color w:val="000000"/>
                                        </w:rPr>
                                      </m:ctrlPr>
                                    </m:fPr>
                                    <m:num>
                                      <m:r>
                                        <w:rPr>
                                          <w:rFonts w:ascii="Cambria Math" w:hAnsi="Cambria Math" w:cstheme="minorBidi"/>
                                          <w:color w:val="000000"/>
                                          <w:sz w:val="20"/>
                                          <w:szCs w:val="20"/>
                                        </w:rPr>
                                        <m:t>P</m:t>
                                      </m:r>
                                    </m:num>
                                    <m:den>
                                      <m:r>
                                        <w:rPr>
                                          <w:rFonts w:ascii="Cambria Math" w:hAnsi="Cambria Math" w:cstheme="minorBidi"/>
                                          <w:color w:val="000000"/>
                                          <w:sz w:val="20"/>
                                          <w:szCs w:val="20"/>
                                        </w:rPr>
                                        <m:t>D+P</m:t>
                                      </m:r>
                                    </m:den>
                                  </m:f>
                                </m:e>
                              </m:d>
                              <m:r>
                                <w:rPr>
                                  <w:rFonts w:ascii="Cambria Math" w:hAnsi="Cambria Math" w:cstheme="minorBidi"/>
                                  <w:color w:val="000000"/>
                                  <w:sz w:val="20"/>
                                  <w:szCs w:val="20"/>
                                </w:rPr>
                                <m:t>*Ke</m:t>
                              </m:r>
                            </m:e>
                          </m:d>
                        </m:oMath>
                      </m:oMathPara>
                    </w:p>
                  </w:txbxContent>
                </v:textbox>
                <w10:wrap anchorx="margin"/>
              </v:shape>
            </w:pict>
          </mc:Fallback>
        </mc:AlternateContent>
      </w:r>
    </w:p>
    <w:p w14:paraId="34CB83D2" w14:textId="42DAD541" w:rsidR="006A0328" w:rsidRDefault="005F523A" w:rsidP="00431183">
      <w:pPr>
        <w:spacing w:line="240" w:lineRule="auto"/>
        <w:jc w:val="both"/>
        <w:rPr>
          <w:rFonts w:ascii="Cambria" w:hAnsi="Cambria" w:cs="Arial"/>
          <w:sz w:val="24"/>
          <w:szCs w:val="24"/>
        </w:rPr>
      </w:pPr>
      <w:r>
        <w:rPr>
          <w:rFonts w:ascii="Cambria" w:hAnsi="Cambria"/>
          <w:noProof/>
          <w:sz w:val="24"/>
          <w:szCs w:val="24"/>
          <w:lang w:eastAsia="es-CR"/>
        </w:rPr>
        <mc:AlternateContent>
          <mc:Choice Requires="wps">
            <w:drawing>
              <wp:anchor distT="0" distB="0" distL="114300" distR="114300" simplePos="0" relativeHeight="251660288" behindDoc="0" locked="0" layoutInCell="1" allowOverlap="1" wp14:anchorId="1A3F092D" wp14:editId="09A0A8AD">
                <wp:simplePos x="0" y="0"/>
                <wp:positionH relativeFrom="margin">
                  <wp:align>center</wp:align>
                </wp:positionH>
                <wp:positionV relativeFrom="paragraph">
                  <wp:posOffset>203200</wp:posOffset>
                </wp:positionV>
                <wp:extent cx="4201795" cy="1017270"/>
                <wp:effectExtent l="0" t="0" r="8255" b="5080"/>
                <wp:wrapNone/>
                <wp:docPr id="12"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01795" cy="1017270"/>
                        </a:xfrm>
                        <a:prstGeom prst="rect">
                          <a:avLst/>
                        </a:prstGeom>
                        <a:solidFill>
                          <a:sysClr val="window" lastClr="FFFFFF"/>
                        </a:solidFill>
                        <a:ln w="25400" cap="flat" cmpd="sng" algn="ctr">
                          <a:noFill/>
                          <a:prstDash val="solid"/>
                        </a:ln>
                        <a:effectLst/>
                      </wps:spPr>
                      <wps:txbx>
                        <w:txbxContent>
                          <w:p w14:paraId="2AB0DCA5" w14:textId="77777777" w:rsidR="00AF1E1D" w:rsidRPr="00380038" w:rsidRDefault="00AF1E1D" w:rsidP="008A1192">
                            <w:pPr>
                              <w:pStyle w:val="NormalWeb"/>
                              <w:spacing w:before="0" w:beforeAutospacing="0" w:after="0" w:afterAutospacing="0"/>
                            </w:pPr>
                            <w:r>
                              <w:rPr>
                                <w:rFonts w:ascii="Verdana" w:hAnsi="Verdana" w:cs="Arial"/>
                                <w:i/>
                                <w:iCs/>
                                <w:color w:val="000000"/>
                                <w:sz w:val="20"/>
                                <w:szCs w:val="20"/>
                              </w:rPr>
                              <w:t>Donde:</w:t>
                            </w:r>
                          </w:p>
                          <w:p w14:paraId="5E0D6062" w14:textId="77777777" w:rsidR="00AF1E1D" w:rsidRPr="00380038" w:rsidRDefault="00AF1E1D" w:rsidP="008A1192">
                            <w:pPr>
                              <w:pStyle w:val="NormalWeb"/>
                              <w:spacing w:before="0" w:beforeAutospacing="0" w:after="0" w:afterAutospacing="0"/>
                            </w:pPr>
                            <w:r>
                              <w:rPr>
                                <w:rFonts w:ascii="Verdana" w:hAnsi="Verdana" w:cs="Arial"/>
                                <w:i/>
                                <w:iCs/>
                                <w:color w:val="000000"/>
                                <w:sz w:val="20"/>
                                <w:szCs w:val="20"/>
                              </w:rPr>
                              <w:t>D: Deuda</w:t>
                            </w:r>
                            <w:r>
                              <w:rPr>
                                <w:rFonts w:ascii="Verdana" w:hAnsi="Verdana" w:cs="Arial"/>
                                <w:i/>
                                <w:iCs/>
                                <w:color w:val="000000"/>
                                <w:sz w:val="20"/>
                                <w:szCs w:val="20"/>
                              </w:rPr>
                              <w:br/>
                              <w:t>P: Patrimonio</w:t>
                            </w:r>
                          </w:p>
                          <w:p w14:paraId="42378384" w14:textId="77777777" w:rsidR="00AF1E1D" w:rsidRPr="00380038" w:rsidRDefault="00AF1E1D" w:rsidP="008A1192">
                            <w:pPr>
                              <w:pStyle w:val="NormalWeb"/>
                              <w:spacing w:before="0" w:beforeAutospacing="0" w:after="0" w:afterAutospacing="0"/>
                            </w:pPr>
                            <w:r>
                              <w:rPr>
                                <w:rFonts w:ascii="Verdana" w:hAnsi="Verdana" w:cs="Arial"/>
                                <w:i/>
                                <w:iCs/>
                                <w:color w:val="000000"/>
                                <w:sz w:val="20"/>
                                <w:szCs w:val="20"/>
                              </w:rPr>
                              <w:t>Kd: Costo ponderado de deuda</w:t>
                            </w:r>
                          </w:p>
                          <w:p w14:paraId="66BD38B7" w14:textId="77777777" w:rsidR="00AF1E1D" w:rsidRPr="00380038" w:rsidRDefault="00AF1E1D" w:rsidP="008A1192">
                            <w:pPr>
                              <w:pStyle w:val="NormalWeb"/>
                              <w:spacing w:before="0" w:beforeAutospacing="0" w:after="0" w:afterAutospacing="0"/>
                            </w:pPr>
                            <w:r>
                              <w:rPr>
                                <w:rFonts w:ascii="Verdana" w:hAnsi="Verdana" w:cs="Arial"/>
                                <w:i/>
                                <w:iCs/>
                                <w:color w:val="000000"/>
                                <w:sz w:val="20"/>
                                <w:szCs w:val="20"/>
                              </w:rPr>
                              <w:t>t: Tasa nominal de impuestos corporativos</w:t>
                            </w:r>
                          </w:p>
                          <w:p w14:paraId="0435B58D" w14:textId="77777777" w:rsidR="00AF1E1D" w:rsidRDefault="00AF1E1D" w:rsidP="008A1192">
                            <w:pPr>
                              <w:pStyle w:val="NormalWeb"/>
                              <w:spacing w:before="0" w:beforeAutospacing="0" w:after="0" w:afterAutospacing="0"/>
                            </w:pPr>
                            <w:r>
                              <w:rPr>
                                <w:rFonts w:ascii="Verdana" w:hAnsi="Verdana" w:cs="Arial"/>
                                <w:i/>
                                <w:iCs/>
                                <w:color w:val="000000"/>
                                <w:sz w:val="20"/>
                                <w:szCs w:val="20"/>
                              </w:rPr>
                              <w:t>Ke: Costo de capital</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1A3F092D" id="TextBox 11" o:spid="_x0000_s1027" type="#_x0000_t202" style="position:absolute;left:0;text-align:left;margin-left:0;margin-top:16pt;width:330.85pt;height:80.1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" fillcolor="window" stroked="f" strokeweight="2pt">
                <v:textbox style="mso-fit-shape-to-text:t">
                  <w:txbxContent>
                    <w:p w14:paraId="2AB0DCA5" w14:textId="77777777" w:rsidR="00AF1E1D" w:rsidRPr="00380038" w:rsidRDefault="00AF1E1D" w:rsidP="008A1192">
                      <w:pPr>
                        <w:pStyle w:val="NormalWeb"/>
                        <w:spacing w:before="0" w:beforeAutospacing="0" w:after="0" w:afterAutospacing="0"/>
                      </w:pPr>
                      <w:r>
                        <w:rPr>
                          <w:rFonts w:ascii="Verdana" w:hAnsi="Verdana" w:cs="Arial"/>
                          <w:i/>
                          <w:iCs/>
                          <w:color w:val="000000"/>
                          <w:sz w:val="20"/>
                          <w:szCs w:val="20"/>
                        </w:rPr>
                        <w:t>Donde:</w:t>
                      </w:r>
                    </w:p>
                    <w:p w14:paraId="5E0D6062" w14:textId="77777777" w:rsidR="00AF1E1D" w:rsidRPr="00380038" w:rsidRDefault="00AF1E1D" w:rsidP="008A1192">
                      <w:pPr>
                        <w:pStyle w:val="NormalWeb"/>
                        <w:spacing w:before="0" w:beforeAutospacing="0" w:after="0" w:afterAutospacing="0"/>
                      </w:pPr>
                      <w:r>
                        <w:rPr>
                          <w:rFonts w:ascii="Verdana" w:hAnsi="Verdana" w:cs="Arial"/>
                          <w:i/>
                          <w:iCs/>
                          <w:color w:val="000000"/>
                          <w:sz w:val="20"/>
                          <w:szCs w:val="20"/>
                        </w:rPr>
                        <w:t>D: Deuda</w:t>
                      </w:r>
                      <w:r>
                        <w:rPr>
                          <w:rFonts w:ascii="Verdana" w:hAnsi="Verdana" w:cs="Arial"/>
                          <w:i/>
                          <w:iCs/>
                          <w:color w:val="000000"/>
                          <w:sz w:val="20"/>
                          <w:szCs w:val="20"/>
                        </w:rPr>
                        <w:br/>
                        <w:t>P: Patrimonio</w:t>
                      </w:r>
                    </w:p>
                    <w:p w14:paraId="42378384" w14:textId="77777777" w:rsidR="00AF1E1D" w:rsidRPr="00380038" w:rsidRDefault="00AF1E1D" w:rsidP="008A1192">
                      <w:pPr>
                        <w:pStyle w:val="NormalWeb"/>
                        <w:spacing w:before="0" w:beforeAutospacing="0" w:after="0" w:afterAutospacing="0"/>
                      </w:pPr>
                      <w:r>
                        <w:rPr>
                          <w:rFonts w:ascii="Verdana" w:hAnsi="Verdana" w:cs="Arial"/>
                          <w:i/>
                          <w:iCs/>
                          <w:color w:val="000000"/>
                          <w:sz w:val="20"/>
                          <w:szCs w:val="20"/>
                        </w:rPr>
                        <w:t>Kd: Costo ponderado de deuda</w:t>
                      </w:r>
                    </w:p>
                    <w:p w14:paraId="66BD38B7" w14:textId="77777777" w:rsidR="00AF1E1D" w:rsidRPr="00380038" w:rsidRDefault="00AF1E1D" w:rsidP="008A1192">
                      <w:pPr>
                        <w:pStyle w:val="NormalWeb"/>
                        <w:spacing w:before="0" w:beforeAutospacing="0" w:after="0" w:afterAutospacing="0"/>
                      </w:pPr>
                      <w:r>
                        <w:rPr>
                          <w:rFonts w:ascii="Verdana" w:hAnsi="Verdana" w:cs="Arial"/>
                          <w:i/>
                          <w:iCs/>
                          <w:color w:val="000000"/>
                          <w:sz w:val="20"/>
                          <w:szCs w:val="20"/>
                        </w:rPr>
                        <w:t>t: Tasa nominal de impuestos corporativos</w:t>
                      </w:r>
                    </w:p>
                    <w:p w14:paraId="0435B58D" w14:textId="77777777" w:rsidR="00AF1E1D" w:rsidRDefault="00AF1E1D" w:rsidP="008A1192">
                      <w:pPr>
                        <w:pStyle w:val="NormalWeb"/>
                        <w:spacing w:before="0" w:beforeAutospacing="0" w:after="0" w:afterAutospacing="0"/>
                      </w:pPr>
                      <w:r>
                        <w:rPr>
                          <w:rFonts w:ascii="Verdana" w:hAnsi="Verdana" w:cs="Arial"/>
                          <w:i/>
                          <w:iCs/>
                          <w:color w:val="000000"/>
                          <w:sz w:val="20"/>
                          <w:szCs w:val="20"/>
                        </w:rPr>
                        <w:t>Ke: Costo de capital</w:t>
                      </w:r>
                    </w:p>
                  </w:txbxContent>
                </v:textbox>
                <w10:wrap anchorx="margin"/>
              </v:shape>
            </w:pict>
          </mc:Fallback>
        </mc:AlternateContent>
      </w:r>
    </w:p>
    <w:p w14:paraId="6D9BA590" w14:textId="77777777" w:rsidR="00C64C70" w:rsidRDefault="00C64C70" w:rsidP="00FC2D87">
      <w:pPr>
        <w:spacing w:line="240" w:lineRule="auto"/>
        <w:jc w:val="both"/>
        <w:rPr>
          <w:rFonts w:ascii="Cambria" w:hAnsi="Cambria" w:cs="Arial"/>
          <w:b/>
          <w:sz w:val="24"/>
          <w:szCs w:val="24"/>
        </w:rPr>
      </w:pPr>
    </w:p>
    <w:p w14:paraId="072B88BE"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lastRenderedPageBreak/>
        <w:t>Determinación de la Tasa de Descuento</w:t>
      </w:r>
    </w:p>
    <w:p w14:paraId="2C298537"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Costo de Deuda</w:t>
      </w:r>
    </w:p>
    <w:p w14:paraId="7ED2DE2B" w14:textId="77777777" w:rsidR="003B24C3" w:rsidRPr="00431183" w:rsidRDefault="003B24C3" w:rsidP="003B24C3">
      <w:pPr>
        <w:spacing w:line="240" w:lineRule="auto"/>
        <w:ind w:firstLine="708"/>
        <w:jc w:val="both"/>
        <w:rPr>
          <w:rFonts w:ascii="Cambria" w:hAnsi="Cambria" w:cs="Arial"/>
          <w:sz w:val="24"/>
          <w:szCs w:val="24"/>
        </w:rPr>
      </w:pPr>
      <w:r w:rsidRPr="00431183">
        <w:rPr>
          <w:rFonts w:ascii="Cambria" w:hAnsi="Cambria" w:cs="Arial"/>
          <w:sz w:val="24"/>
          <w:szCs w:val="24"/>
        </w:rPr>
        <w:t xml:space="preserve">Se calcula el costo financiero de obligaciones de largo plazo de eventuales obligaciones financieras asumiendo el ingreso a crédito de instrumentos financieros como Banca para el Desarrollo de los agentes locales (productores, cooperativas). El costo de la deuda se calcula utilizando el costo promedio (D) de la deuda a tasas de mercado a la fecha de valoración. </w:t>
      </w:r>
    </w:p>
    <w:p w14:paraId="208043AE"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Costo de Capital</w:t>
      </w:r>
    </w:p>
    <w:p w14:paraId="73B138BC"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El</w:t>
      </w:r>
      <w:r w:rsidR="00B14C49" w:rsidRPr="00431183">
        <w:rPr>
          <w:rFonts w:ascii="Cambria" w:hAnsi="Cambria" w:cs="Arial"/>
          <w:sz w:val="24"/>
          <w:szCs w:val="24"/>
        </w:rPr>
        <w:t xml:space="preserve"> Costo de Capital de cada agente local</w:t>
      </w:r>
      <w:r w:rsidRPr="00431183">
        <w:rPr>
          <w:rFonts w:ascii="Cambria" w:hAnsi="Cambria" w:cs="Arial"/>
          <w:sz w:val="24"/>
          <w:szCs w:val="24"/>
        </w:rPr>
        <w:t xml:space="preserve"> se estima basándose en la aplicación del Modelo de Valoración de Activos Financieros, o CAPM por sus siglas en inglés (Capital Asset Pricing Model). El CAPM mide el retorno esperado requerido por los inversores dado un perfil de riesgo particular. La fórmula es la siguiente:</w:t>
      </w:r>
    </w:p>
    <w:p w14:paraId="70DA6BEC" w14:textId="0C1D0E81" w:rsidR="008A1192" w:rsidRPr="00431183" w:rsidRDefault="005F523A" w:rsidP="00431183">
      <w:pPr>
        <w:spacing w:line="240" w:lineRule="auto"/>
        <w:jc w:val="both"/>
        <w:rPr>
          <w:rFonts w:ascii="Cambria" w:hAnsi="Cambria" w:cs="Arial"/>
          <w:sz w:val="24"/>
          <w:szCs w:val="24"/>
        </w:rPr>
      </w:pPr>
      <w:r>
        <w:rPr>
          <w:rFonts w:ascii="Cambria" w:hAnsi="Cambria"/>
          <w:noProof/>
          <w:sz w:val="24"/>
          <w:szCs w:val="24"/>
          <w:lang w:eastAsia="es-CR"/>
        </w:rPr>
        <mc:AlternateContent>
          <mc:Choice Requires="wps">
            <w:drawing>
              <wp:anchor distT="0" distB="0" distL="114300" distR="114300" simplePos="0" relativeHeight="251661312" behindDoc="0" locked="0" layoutInCell="1" allowOverlap="1" wp14:anchorId="7F4FB638" wp14:editId="5EB97727">
                <wp:simplePos x="0" y="0"/>
                <wp:positionH relativeFrom="margin">
                  <wp:align>center</wp:align>
                </wp:positionH>
                <wp:positionV relativeFrom="paragraph">
                  <wp:posOffset>24130</wp:posOffset>
                </wp:positionV>
                <wp:extent cx="2718435" cy="295275"/>
                <wp:effectExtent l="0" t="0" r="5715" b="9525"/>
                <wp:wrapNone/>
                <wp:docPr id="9"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18435" cy="295275"/>
                        </a:xfrm>
                        <a:prstGeom prst="rect">
                          <a:avLst/>
                        </a:prstGeom>
                        <a:solidFill>
                          <a:sysClr val="window" lastClr="FFFFFF"/>
                        </a:solidFill>
                        <a:ln w="25400" cap="flat" cmpd="sng" algn="ctr">
                          <a:solidFill>
                            <a:schemeClr val="bg1"/>
                          </a:solidFill>
                          <a:prstDash val="solid"/>
                        </a:ln>
                        <a:effectLst/>
                      </wps:spPr>
                      <wps:txbx>
                        <w:txbxContent>
                          <w:p w14:paraId="7C429F5C" w14:textId="77777777" w:rsidR="00AF1E1D" w:rsidRDefault="00AF1E1D" w:rsidP="008A1192">
                            <w:pPr>
                              <w:pStyle w:val="NormalWeb"/>
                              <w:spacing w:before="0" w:beforeAutospacing="0" w:after="0" w:afterAutospacing="0"/>
                            </w:pPr>
                            <m:oMathPara>
                              <m:oMathParaPr>
                                <m:jc m:val="centerGroup"/>
                              </m:oMathParaPr>
                              <m:oMath>
                                <m:r>
                                  <w:rPr>
                                    <w:rFonts w:ascii="Cambria Math" w:hAnsi="Cambria Math" w:cstheme="minorBidi"/>
                                    <w:color w:val="000000"/>
                                  </w:rPr>
                                  <m:t>Ke=Rf+ </m:t>
                                </m:r>
                                <m:r>
                                  <w:rPr>
                                    <w:rFonts w:ascii="Cambria Math" w:eastAsia="Cambria Math" w:hAnsi="Cambria Math" w:cstheme="minorBidi"/>
                                    <w:color w:val="000000"/>
                                  </w:rPr>
                                  <m:t>β*</m:t>
                                </m:r>
                                <m:d>
                                  <m:dPr>
                                    <m:ctrlPr>
                                      <w:rPr>
                                        <w:rFonts w:ascii="Cambria Math" w:eastAsia="Cambria Math" w:hAnsi="Cambria Math" w:cstheme="minorBidi"/>
                                        <w:i/>
                                        <w:iCs/>
                                        <w:color w:val="000000"/>
                                      </w:rPr>
                                    </m:ctrlPr>
                                  </m:dPr>
                                  <m:e>
                                    <m:r>
                                      <w:rPr>
                                        <w:rFonts w:ascii="Cambria Math" w:eastAsia="Cambria Math" w:hAnsi="Cambria Math" w:cstheme="minorBidi"/>
                                        <w:color w:val="000000"/>
                                      </w:rPr>
                                      <m:t>Rm -Rf</m:t>
                                    </m:r>
                                  </m:e>
                                </m:d>
                                <m:r>
                                  <w:rPr>
                                    <w:rFonts w:ascii="Cambria Math" w:eastAsia="Cambria Math" w:hAnsi="Cambria Math" w:cstheme="minorBidi"/>
                                    <w:color w:val="000000"/>
                                  </w:rPr>
                                  <m:t>+Rp+Sp</m:t>
                                </m:r>
                              </m:oMath>
                            </m:oMathPara>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7F4FB638" id="_x0000_s1028" type="#_x0000_t202" style="position:absolute;left:0;text-align:left;margin-left:0;margin-top:1.9pt;width:214.05pt;height:23.2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" fillcolor="window" strokecolor="white [3212]" strokeweight="2pt">
                <v:path arrowok="t"/>
                <v:textbox style="mso-fit-shape-to-text:t">
                  <w:txbxContent>
                    <w:p w14:paraId="7C429F5C" w14:textId="77777777" w:rsidR="00AF1E1D" w:rsidRDefault="00AF1E1D" w:rsidP="008A1192">
                      <w:pPr>
                        <w:pStyle w:val="NormalWeb"/>
                        <w:spacing w:before="0" w:beforeAutospacing="0" w:after="0" w:afterAutospacing="0"/>
                      </w:pPr>
                      <m:oMathPara>
                        <m:oMathParaPr>
                          <m:jc m:val="centerGroup"/>
                        </m:oMathParaPr>
                        <m:oMath>
                          <m:r>
                            <w:rPr>
                              <w:rFonts w:ascii="Cambria Math" w:hAnsi="Cambria Math" w:cstheme="minorBidi"/>
                              <w:color w:val="000000"/>
                            </w:rPr>
                            <m:t>Ke=Rf+ </m:t>
                          </m:r>
                          <m:r>
                            <w:rPr>
                              <w:rFonts w:ascii="Cambria Math" w:eastAsia="Cambria Math" w:hAnsi="Cambria Math" w:cstheme="minorBidi"/>
                              <w:color w:val="000000"/>
                            </w:rPr>
                            <m:t>β*</m:t>
                          </m:r>
                          <m:d>
                            <m:dPr>
                              <m:ctrlPr>
                                <w:rPr>
                                  <w:rFonts w:ascii="Cambria Math" w:eastAsia="Cambria Math" w:hAnsi="Cambria Math" w:cstheme="minorBidi"/>
                                  <w:i/>
                                  <w:iCs/>
                                  <w:color w:val="000000"/>
                                </w:rPr>
                              </m:ctrlPr>
                            </m:dPr>
                            <m:e>
                              <m:r>
                                <w:rPr>
                                  <w:rFonts w:ascii="Cambria Math" w:eastAsia="Cambria Math" w:hAnsi="Cambria Math" w:cstheme="minorBidi"/>
                                  <w:color w:val="000000"/>
                                </w:rPr>
                                <m:t>Rm -Rf</m:t>
                              </m:r>
                            </m:e>
                          </m:d>
                          <m:r>
                            <w:rPr>
                              <w:rFonts w:ascii="Cambria Math" w:eastAsia="Cambria Math" w:hAnsi="Cambria Math" w:cstheme="minorBidi"/>
                              <w:color w:val="000000"/>
                            </w:rPr>
                            <m:t>+Rp+Sp</m:t>
                          </m:r>
                        </m:oMath>
                      </m:oMathPara>
                    </w:p>
                  </w:txbxContent>
                </v:textbox>
                <w10:wrap anchorx="margin"/>
              </v:shape>
            </w:pict>
          </mc:Fallback>
        </mc:AlternateContent>
      </w:r>
    </w:p>
    <w:p w14:paraId="066B1EAB" w14:textId="77777777" w:rsidR="008A1192" w:rsidRPr="00431183" w:rsidRDefault="008A1192" w:rsidP="00431183">
      <w:pPr>
        <w:spacing w:line="240" w:lineRule="auto"/>
        <w:jc w:val="both"/>
        <w:rPr>
          <w:rFonts w:ascii="Cambria" w:hAnsi="Cambria" w:cs="Arial"/>
          <w:sz w:val="24"/>
          <w:szCs w:val="24"/>
        </w:rPr>
      </w:pPr>
    </w:p>
    <w:p w14:paraId="5684492E" w14:textId="77777777" w:rsidR="008A1192" w:rsidRPr="00431183" w:rsidRDefault="008A1192" w:rsidP="00431183">
      <w:pPr>
        <w:spacing w:line="240" w:lineRule="auto"/>
        <w:jc w:val="both"/>
        <w:rPr>
          <w:rFonts w:ascii="Cambria" w:hAnsi="Cambria" w:cs="Arial"/>
          <w:sz w:val="24"/>
          <w:szCs w:val="24"/>
        </w:rPr>
      </w:pPr>
      <w:r w:rsidRPr="00431183">
        <w:rPr>
          <w:rFonts w:ascii="Cambria" w:hAnsi="Cambria" w:cs="Arial"/>
          <w:sz w:val="24"/>
          <w:szCs w:val="24"/>
        </w:rPr>
        <w:t xml:space="preserve">Donde: </w:t>
      </w:r>
    </w:p>
    <w:p w14:paraId="2BF8595B" w14:textId="77777777" w:rsidR="008A1192" w:rsidRPr="00431183" w:rsidRDefault="008A1192" w:rsidP="00431183">
      <w:pPr>
        <w:spacing w:line="240" w:lineRule="auto"/>
        <w:jc w:val="both"/>
        <w:rPr>
          <w:rFonts w:ascii="Cambria" w:hAnsi="Cambria" w:cs="Arial"/>
          <w:sz w:val="24"/>
          <w:szCs w:val="24"/>
        </w:rPr>
      </w:pPr>
      <w:r w:rsidRPr="00431183">
        <w:rPr>
          <w:rFonts w:ascii="Cambria" w:hAnsi="Cambria" w:cs="Arial"/>
          <w:sz w:val="24"/>
          <w:szCs w:val="24"/>
        </w:rPr>
        <w:t>Ke: Costo de Capital</w:t>
      </w:r>
    </w:p>
    <w:p w14:paraId="7188C442" w14:textId="77777777" w:rsidR="008A1192" w:rsidRPr="00431183" w:rsidRDefault="008A1192" w:rsidP="00431183">
      <w:pPr>
        <w:spacing w:line="240" w:lineRule="auto"/>
        <w:jc w:val="both"/>
        <w:rPr>
          <w:rFonts w:ascii="Cambria" w:hAnsi="Cambria" w:cs="Arial"/>
          <w:sz w:val="24"/>
          <w:szCs w:val="24"/>
        </w:rPr>
      </w:pPr>
      <w:r w:rsidRPr="00431183">
        <w:rPr>
          <w:rFonts w:ascii="Cambria" w:hAnsi="Cambria" w:cs="Arial"/>
          <w:sz w:val="24"/>
          <w:szCs w:val="24"/>
        </w:rPr>
        <w:t xml:space="preserve">Rf: Tasa libre de riesgo = Basado en el rendimiento del bono del Tesoro de Estados Unidos a 20 años. Se interpreta como el rendimiento mínimo que un inversionista puede esperar por sus recursos. </w:t>
      </w:r>
    </w:p>
    <w:p w14:paraId="26DE0DC4" w14:textId="77777777" w:rsidR="008A1192" w:rsidRPr="00431183" w:rsidRDefault="008A1192" w:rsidP="00431183">
      <w:pPr>
        <w:spacing w:line="240" w:lineRule="auto"/>
        <w:jc w:val="both"/>
        <w:rPr>
          <w:rFonts w:ascii="Cambria" w:hAnsi="Cambria" w:cs="Arial"/>
          <w:sz w:val="24"/>
          <w:szCs w:val="24"/>
        </w:rPr>
      </w:pPr>
      <w:r w:rsidRPr="00431183">
        <w:rPr>
          <w:rFonts w:ascii="Cambria" w:hAnsi="Cambria" w:cs="Arial"/>
          <w:sz w:val="24"/>
          <w:szCs w:val="24"/>
        </w:rPr>
        <w:t xml:space="preserve">B: Beta Apalancado (Beta) = Es un resultado luego de considerar el endeudamiento de la empresa y la tasa de impuestos nominal de las referencias utilizadas. </w:t>
      </w:r>
    </w:p>
    <w:p w14:paraId="2FC2E05C" w14:textId="77777777" w:rsidR="008A1192" w:rsidRPr="00431183" w:rsidRDefault="008A1192" w:rsidP="00431183">
      <w:pPr>
        <w:spacing w:line="240" w:lineRule="auto"/>
        <w:jc w:val="both"/>
        <w:rPr>
          <w:rFonts w:ascii="Cambria" w:hAnsi="Cambria" w:cs="Arial"/>
          <w:sz w:val="24"/>
          <w:szCs w:val="24"/>
        </w:rPr>
      </w:pPr>
      <w:r w:rsidRPr="00431183">
        <w:rPr>
          <w:rFonts w:ascii="Cambria" w:hAnsi="Cambria" w:cs="Arial"/>
          <w:sz w:val="24"/>
          <w:szCs w:val="24"/>
        </w:rPr>
        <w:t>Rm – Rf: Rendimiento de mercado = Es el indicador mínimo de rentabilidad por invertir en acciones de cualquier empresa. Nuestra fuente es Deloitte FAS Research que realiza una publicación mensual.</w:t>
      </w:r>
    </w:p>
    <w:p w14:paraId="62260030" w14:textId="77777777" w:rsidR="008A1192" w:rsidRPr="00431183" w:rsidRDefault="008A1192" w:rsidP="00431183">
      <w:pPr>
        <w:spacing w:line="240" w:lineRule="auto"/>
        <w:jc w:val="both"/>
        <w:rPr>
          <w:rFonts w:ascii="Cambria" w:hAnsi="Cambria" w:cs="Arial"/>
          <w:sz w:val="24"/>
          <w:szCs w:val="24"/>
        </w:rPr>
      </w:pPr>
      <w:r w:rsidRPr="00431183">
        <w:rPr>
          <w:rFonts w:ascii="Cambria" w:hAnsi="Cambria" w:cs="Arial"/>
          <w:sz w:val="24"/>
          <w:szCs w:val="24"/>
        </w:rPr>
        <w:t xml:space="preserve">Rp: Riesgo país: Es el riesgo adicional que el inversionista debe considerar por invertir en economías más riesgosas que la estadounidense. El cálculo interpola el spread de rendimientos de emisiones costarricenses y un bono con igual maduración de Estados Unidos. </w:t>
      </w:r>
    </w:p>
    <w:p w14:paraId="66E21850" w14:textId="77777777" w:rsidR="008A1192" w:rsidRPr="00431183" w:rsidRDefault="008A1192" w:rsidP="00431183">
      <w:pPr>
        <w:spacing w:line="240" w:lineRule="auto"/>
        <w:jc w:val="both"/>
        <w:rPr>
          <w:rFonts w:ascii="Cambria" w:hAnsi="Cambria" w:cs="Arial"/>
          <w:sz w:val="24"/>
          <w:szCs w:val="24"/>
        </w:rPr>
      </w:pPr>
      <w:r w:rsidRPr="00431183">
        <w:rPr>
          <w:rFonts w:ascii="Cambria" w:hAnsi="Cambria" w:cs="Arial"/>
          <w:sz w:val="24"/>
          <w:szCs w:val="24"/>
        </w:rPr>
        <w:t>Sp: (Size Premium): Es el riesgo por invertir en una operación de determinado tamaño, siendo que es menos riesgoso invertir en operaciones grandes y consolidadas que en operaciones de menor tamaño.</w:t>
      </w:r>
    </w:p>
    <w:p w14:paraId="0ACB9DF7"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Prima Incremental por Activos Intangibles</w:t>
      </w:r>
    </w:p>
    <w:p w14:paraId="4077CB98"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En el caso de la valoración de los activos intangibles, la tasa WACC calculada, se ajusta de modo que refleje una prima incremental por activos intangibles. Esta prima efectivamente pretende reflejar que el valor de los intangibles está comúnmente sujeto a un mercado menos líquido, por lo que para realizar los valores es apropiado una </w:t>
      </w:r>
      <w:r w:rsidRPr="00431183">
        <w:rPr>
          <w:rFonts w:ascii="Cambria" w:hAnsi="Cambria" w:cs="Arial"/>
          <w:sz w:val="24"/>
          <w:szCs w:val="24"/>
        </w:rPr>
        <w:lastRenderedPageBreak/>
        <w:t xml:space="preserve">prima incremental con respecto a la base de la tasa WACC. </w:t>
      </w:r>
      <w:r w:rsidR="00E635C3" w:rsidRPr="00431183">
        <w:rPr>
          <w:rFonts w:ascii="Cambria" w:hAnsi="Cambria" w:cs="Arial"/>
          <w:sz w:val="24"/>
          <w:szCs w:val="24"/>
        </w:rPr>
        <w:t xml:space="preserve">De acuerdo </w:t>
      </w:r>
      <w:r w:rsidR="00E635C3">
        <w:rPr>
          <w:rFonts w:ascii="Cambria" w:hAnsi="Cambria" w:cs="Arial"/>
          <w:sz w:val="24"/>
          <w:szCs w:val="24"/>
        </w:rPr>
        <w:t>a criterio</w:t>
      </w:r>
      <w:r w:rsidRPr="00431183">
        <w:rPr>
          <w:rFonts w:ascii="Cambria" w:hAnsi="Cambria" w:cs="Arial"/>
          <w:sz w:val="24"/>
          <w:szCs w:val="24"/>
        </w:rPr>
        <w:t xml:space="preserve"> </w:t>
      </w:r>
      <w:r w:rsidR="00E635C3">
        <w:rPr>
          <w:rFonts w:ascii="Cambria" w:hAnsi="Cambria" w:cs="Arial"/>
          <w:sz w:val="24"/>
          <w:szCs w:val="24"/>
        </w:rPr>
        <w:t>experto</w:t>
      </w:r>
      <w:r w:rsidRPr="00431183">
        <w:rPr>
          <w:rFonts w:ascii="Cambria" w:hAnsi="Cambria" w:cs="Arial"/>
          <w:sz w:val="24"/>
          <w:szCs w:val="24"/>
        </w:rPr>
        <w:t xml:space="preserve">, en valoraciones similares, </w:t>
      </w:r>
      <w:r w:rsidR="00911639" w:rsidRPr="00431183">
        <w:rPr>
          <w:rFonts w:ascii="Cambria" w:hAnsi="Cambria" w:cs="Arial"/>
          <w:sz w:val="24"/>
          <w:szCs w:val="24"/>
        </w:rPr>
        <w:t xml:space="preserve">se </w:t>
      </w:r>
      <w:r w:rsidRPr="00431183">
        <w:rPr>
          <w:rFonts w:ascii="Cambria" w:hAnsi="Cambria" w:cs="Arial"/>
          <w:sz w:val="24"/>
          <w:szCs w:val="24"/>
        </w:rPr>
        <w:t>estima esta prima en 1.0%.</w:t>
      </w:r>
    </w:p>
    <w:p w14:paraId="4ECA6F45"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Un aspecto fundamental para una adecuada estimación de una tasa de descuento es la utilización de fuentes de información confiables</w:t>
      </w:r>
      <w:r w:rsidR="00911639" w:rsidRPr="00431183">
        <w:rPr>
          <w:rFonts w:ascii="Cambria" w:hAnsi="Cambria" w:cs="Arial"/>
          <w:sz w:val="24"/>
          <w:szCs w:val="24"/>
        </w:rPr>
        <w:t xml:space="preserve"> como</w:t>
      </w:r>
      <w:r w:rsidR="00E635C3">
        <w:rPr>
          <w:rFonts w:ascii="Cambria" w:hAnsi="Cambria" w:cs="Arial"/>
          <w:sz w:val="24"/>
          <w:szCs w:val="24"/>
        </w:rPr>
        <w:t xml:space="preserve"> </w:t>
      </w:r>
      <w:r w:rsidRPr="00431183">
        <w:rPr>
          <w:rFonts w:ascii="Cambria" w:hAnsi="Cambria" w:cs="Arial"/>
          <w:sz w:val="24"/>
          <w:szCs w:val="24"/>
        </w:rPr>
        <w:t>fuentes de acceso público New York University (Damodaran), la página web del Tesoro de los Estados Unidos (treasury.gov), o el Banco Central de Costa Rica (BCCR) pueden emplearse para estimar los componentes citados del (WACC).</w:t>
      </w:r>
    </w:p>
    <w:p w14:paraId="15A3E185" w14:textId="77777777" w:rsidR="003B24C3" w:rsidRPr="00431183" w:rsidRDefault="008A1192" w:rsidP="003B24C3">
      <w:pPr>
        <w:spacing w:line="240" w:lineRule="auto"/>
        <w:ind w:firstLine="708"/>
        <w:jc w:val="both"/>
        <w:rPr>
          <w:rFonts w:ascii="Cambria" w:hAnsi="Cambria" w:cs="Arial"/>
          <w:sz w:val="24"/>
          <w:szCs w:val="24"/>
        </w:rPr>
      </w:pPr>
      <w:r w:rsidRPr="00431183">
        <w:rPr>
          <w:rFonts w:ascii="Cambria" w:hAnsi="Cambria" w:cs="Arial"/>
          <w:sz w:val="24"/>
          <w:szCs w:val="24"/>
        </w:rPr>
        <w:t>La tasa de descuento WACC se estima en 12.59% en colones; representa, a nuestro criterio, un costo de oportunidad razonable que inversionista típico exigiría por una inversión de este tipo. La determinación del costo del patrimonio se realiza mediante el método del CAPM.</w:t>
      </w:r>
      <w:r w:rsidR="003B24C3">
        <w:rPr>
          <w:rFonts w:ascii="Cambria" w:hAnsi="Cambria" w:cs="Arial"/>
          <w:sz w:val="24"/>
          <w:szCs w:val="24"/>
        </w:rPr>
        <w:t xml:space="preserve">  Es común utilizar una prima por riesgo adicional del 1%, lo cual sitúa la tasa de descuento en 13, 59%, a manera de asumir un escenario a un más conservador al momento de descontar los flujos de caja.</w:t>
      </w:r>
    </w:p>
    <w:p w14:paraId="471B76DE" w14:textId="70B973FF" w:rsidR="008A1192" w:rsidRPr="00431183" w:rsidRDefault="008A1192" w:rsidP="00431183">
      <w:pPr>
        <w:spacing w:line="240" w:lineRule="auto"/>
        <w:ind w:firstLine="708"/>
        <w:jc w:val="both"/>
        <w:rPr>
          <w:rFonts w:ascii="Cambria" w:hAnsi="Cambria" w:cs="Arial"/>
          <w:sz w:val="24"/>
          <w:szCs w:val="24"/>
        </w:rPr>
      </w:pPr>
    </w:p>
    <w:p w14:paraId="03AC0376" w14:textId="0CE59C0B" w:rsidR="00241917" w:rsidRPr="00AF1E1D" w:rsidRDefault="006A0328" w:rsidP="00AF1E1D">
      <w:pPr>
        <w:pStyle w:val="Descripcin"/>
        <w:rPr>
          <w:rFonts w:ascii="Cambria" w:hAnsi="Cambria" w:cs="Arial"/>
          <w:b/>
          <w:i w:val="0"/>
          <w:color w:val="auto"/>
          <w:sz w:val="22"/>
          <w:szCs w:val="22"/>
        </w:rPr>
      </w:pPr>
      <w:bookmarkStart w:id="107" w:name="_Toc519692067"/>
      <w:bookmarkStart w:id="108" w:name="_Toc527576367"/>
      <w:r w:rsidRPr="00AF1E1D">
        <w:rPr>
          <w:rFonts w:ascii="Cambria" w:hAnsi="Cambria" w:cs="Arial"/>
          <w:b/>
          <w:i w:val="0"/>
          <w:color w:val="auto"/>
          <w:sz w:val="22"/>
          <w:szCs w:val="22"/>
        </w:rPr>
        <w:t>T</w:t>
      </w:r>
      <w:bookmarkEnd w:id="107"/>
      <w:r w:rsidRPr="00AF1E1D">
        <w:rPr>
          <w:rFonts w:ascii="Cambria" w:hAnsi="Cambria"/>
          <w:b/>
          <w:i w:val="0"/>
          <w:color w:val="auto"/>
          <w:sz w:val="22"/>
          <w:szCs w:val="22"/>
        </w:rPr>
        <w:t xml:space="preserve">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Pr="00AF1E1D">
        <w:rPr>
          <w:rFonts w:ascii="Cambria" w:hAnsi="Cambria"/>
          <w:b/>
          <w:i w:val="0"/>
          <w:noProof/>
          <w:color w:val="auto"/>
          <w:sz w:val="22"/>
          <w:szCs w:val="22"/>
        </w:rPr>
        <w:t>9</w:t>
      </w:r>
      <w:bookmarkEnd w:id="108"/>
      <w:r w:rsidRPr="00AF1E1D">
        <w:rPr>
          <w:rFonts w:ascii="Cambria" w:hAnsi="Cambria"/>
          <w:b/>
          <w:i w:val="0"/>
          <w:color w:val="auto"/>
          <w:sz w:val="22"/>
          <w:szCs w:val="22"/>
        </w:rPr>
        <w:fldChar w:fldCharType="end"/>
      </w:r>
      <w:r w:rsidR="00F74154" w:rsidRPr="00AF1E1D">
        <w:rPr>
          <w:rFonts w:ascii="Cambria" w:hAnsi="Cambria" w:cs="Arial"/>
          <w:b/>
          <w:i w:val="0"/>
          <w:color w:val="auto"/>
          <w:sz w:val="22"/>
          <w:szCs w:val="22"/>
        </w:rPr>
        <w:t xml:space="preserve"> </w:t>
      </w:r>
    </w:p>
    <w:p w14:paraId="7BBF68ED" w14:textId="7747B98E" w:rsidR="00B95D52" w:rsidRPr="00431183" w:rsidRDefault="00E635C3" w:rsidP="00AF1E1D">
      <w:pPr>
        <w:pStyle w:val="Descripcin"/>
        <w:keepNext/>
        <w:jc w:val="both"/>
        <w:rPr>
          <w:rFonts w:cs="Arial"/>
        </w:rPr>
      </w:pPr>
      <w:r w:rsidRPr="00AF1E1D">
        <w:rPr>
          <w:rFonts w:ascii="Cambria" w:hAnsi="Cambria" w:cs="Arial"/>
          <w:b/>
          <w:i w:val="0"/>
          <w:color w:val="000000" w:themeColor="text1"/>
          <w:sz w:val="22"/>
          <w:szCs w:val="22"/>
        </w:rPr>
        <w:t>Estimación Costo de Capital Promedio Ponderado</w:t>
      </w:r>
      <w:r w:rsidR="007D04E3">
        <w:rPr>
          <w:rFonts w:ascii="Cambria" w:hAnsi="Cambria" w:cs="Arial"/>
          <w:b/>
          <w:i w:val="0"/>
          <w:color w:val="000000" w:themeColor="text1"/>
          <w:sz w:val="24"/>
          <w:szCs w:val="24"/>
        </w:rPr>
        <w:t xml:space="preserve">. Denominación de Origen Tarrazu </w:t>
      </w:r>
    </w:p>
    <w:tbl>
      <w:tblPr>
        <w:tblW w:w="8789" w:type="dxa"/>
        <w:tblCellMar>
          <w:left w:w="70" w:type="dxa"/>
          <w:right w:w="70" w:type="dxa"/>
        </w:tblCellMar>
        <w:tblLook w:val="04A0" w:firstRow="1" w:lastRow="0" w:firstColumn="1" w:lastColumn="0" w:noHBand="0" w:noVBand="1"/>
      </w:tblPr>
      <w:tblGrid>
        <w:gridCol w:w="6120"/>
        <w:gridCol w:w="2669"/>
      </w:tblGrid>
      <w:tr w:rsidR="00B95D52" w:rsidRPr="00AF1E1D" w14:paraId="6AA7BE88" w14:textId="77777777" w:rsidTr="00AF1E1D">
        <w:trPr>
          <w:trHeight w:val="288"/>
        </w:trPr>
        <w:tc>
          <w:tcPr>
            <w:tcW w:w="6120" w:type="dxa"/>
            <w:tcBorders>
              <w:top w:val="nil"/>
              <w:left w:val="nil"/>
              <w:bottom w:val="single" w:sz="4" w:space="0" w:color="auto"/>
              <w:right w:val="single" w:sz="4" w:space="0" w:color="auto"/>
            </w:tcBorders>
            <w:shd w:val="clear" w:color="auto" w:fill="auto"/>
            <w:noWrap/>
            <w:vAlign w:val="bottom"/>
            <w:hideMark/>
          </w:tcPr>
          <w:p w14:paraId="79295716" w14:textId="478B0AC3" w:rsidR="00B95D52" w:rsidRPr="00AF1E1D" w:rsidRDefault="003B24C3" w:rsidP="00AF1E1D">
            <w:pPr>
              <w:spacing w:after="0" w:line="240" w:lineRule="auto"/>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Tipología</w:t>
            </w:r>
          </w:p>
        </w:tc>
        <w:tc>
          <w:tcPr>
            <w:tcW w:w="2669" w:type="dxa"/>
            <w:tcBorders>
              <w:top w:val="nil"/>
              <w:left w:val="nil"/>
              <w:bottom w:val="single" w:sz="4" w:space="0" w:color="auto"/>
              <w:right w:val="nil"/>
            </w:tcBorders>
            <w:shd w:val="clear" w:color="auto" w:fill="auto"/>
            <w:noWrap/>
            <w:vAlign w:val="bottom"/>
            <w:hideMark/>
          </w:tcPr>
          <w:p w14:paraId="41FEE519" w14:textId="77777777" w:rsidR="00B95D52" w:rsidRPr="00AF1E1D" w:rsidRDefault="00B95D52" w:rsidP="00B95D52">
            <w:pPr>
              <w:spacing w:after="0" w:line="240" w:lineRule="auto"/>
              <w:jc w:val="center"/>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Resultado</w:t>
            </w:r>
          </w:p>
        </w:tc>
      </w:tr>
      <w:tr w:rsidR="00B95D52" w:rsidRPr="00AF1E1D" w14:paraId="0968EE65"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40454810"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Unlevered Beta</w:t>
            </w:r>
          </w:p>
        </w:tc>
        <w:tc>
          <w:tcPr>
            <w:tcW w:w="2669" w:type="dxa"/>
            <w:tcBorders>
              <w:top w:val="nil"/>
              <w:left w:val="nil"/>
              <w:bottom w:val="nil"/>
              <w:right w:val="nil"/>
            </w:tcBorders>
            <w:shd w:val="clear" w:color="auto" w:fill="auto"/>
            <w:noWrap/>
            <w:vAlign w:val="bottom"/>
            <w:hideMark/>
          </w:tcPr>
          <w:p w14:paraId="3CEA73CA"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0,99</w:t>
            </w:r>
          </w:p>
        </w:tc>
      </w:tr>
      <w:tr w:rsidR="00B95D52" w:rsidRPr="00AF1E1D" w14:paraId="4D8F68D1"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198E3C49"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Debt to Equity</w:t>
            </w:r>
          </w:p>
        </w:tc>
        <w:tc>
          <w:tcPr>
            <w:tcW w:w="2669" w:type="dxa"/>
            <w:tcBorders>
              <w:top w:val="nil"/>
              <w:left w:val="nil"/>
              <w:bottom w:val="nil"/>
              <w:right w:val="nil"/>
            </w:tcBorders>
            <w:shd w:val="clear" w:color="auto" w:fill="auto"/>
            <w:noWrap/>
            <w:vAlign w:val="bottom"/>
            <w:hideMark/>
          </w:tcPr>
          <w:p w14:paraId="00AB7AB7"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37,6%</w:t>
            </w:r>
          </w:p>
        </w:tc>
      </w:tr>
      <w:tr w:rsidR="00B95D52" w:rsidRPr="00AF1E1D" w14:paraId="434A70DC"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11B4E575"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Selected Subject Tax Rate</w:t>
            </w:r>
          </w:p>
        </w:tc>
        <w:tc>
          <w:tcPr>
            <w:tcW w:w="2669" w:type="dxa"/>
            <w:tcBorders>
              <w:top w:val="nil"/>
              <w:left w:val="nil"/>
              <w:bottom w:val="nil"/>
              <w:right w:val="nil"/>
            </w:tcBorders>
            <w:shd w:val="clear" w:color="auto" w:fill="auto"/>
            <w:noWrap/>
            <w:vAlign w:val="bottom"/>
            <w:hideMark/>
          </w:tcPr>
          <w:p w14:paraId="63D37C0A"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30,0%</w:t>
            </w:r>
          </w:p>
        </w:tc>
      </w:tr>
      <w:tr w:rsidR="00B95D52" w:rsidRPr="00AF1E1D" w14:paraId="09F25DCA"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19D890F9"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Relevered Equity Beta</w:t>
            </w:r>
          </w:p>
        </w:tc>
        <w:tc>
          <w:tcPr>
            <w:tcW w:w="2669" w:type="dxa"/>
            <w:tcBorders>
              <w:top w:val="nil"/>
              <w:left w:val="nil"/>
              <w:bottom w:val="nil"/>
              <w:right w:val="nil"/>
            </w:tcBorders>
            <w:shd w:val="clear" w:color="auto" w:fill="auto"/>
            <w:noWrap/>
            <w:vAlign w:val="bottom"/>
            <w:hideMark/>
          </w:tcPr>
          <w:p w14:paraId="243E6D43"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r>
      <w:tr w:rsidR="00B95D52" w:rsidRPr="00AF1E1D" w14:paraId="68B8588A"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3204B592"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Risk-Free Rate</w:t>
            </w:r>
          </w:p>
        </w:tc>
        <w:tc>
          <w:tcPr>
            <w:tcW w:w="2669" w:type="dxa"/>
            <w:tcBorders>
              <w:top w:val="nil"/>
              <w:left w:val="nil"/>
              <w:bottom w:val="nil"/>
              <w:right w:val="nil"/>
            </w:tcBorders>
            <w:shd w:val="clear" w:color="000000" w:fill="FFFFFF"/>
            <w:noWrap/>
            <w:vAlign w:val="bottom"/>
            <w:hideMark/>
          </w:tcPr>
          <w:p w14:paraId="79B67BCD"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1,86%</w:t>
            </w:r>
          </w:p>
        </w:tc>
      </w:tr>
      <w:tr w:rsidR="00B95D52" w:rsidRPr="00AF1E1D" w14:paraId="566C8AEA"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032983B9"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Equity Risk Premium</w:t>
            </w:r>
          </w:p>
        </w:tc>
        <w:tc>
          <w:tcPr>
            <w:tcW w:w="2669" w:type="dxa"/>
            <w:tcBorders>
              <w:top w:val="nil"/>
              <w:left w:val="nil"/>
              <w:bottom w:val="nil"/>
              <w:right w:val="nil"/>
            </w:tcBorders>
            <w:shd w:val="clear" w:color="000000" w:fill="FFFFFF"/>
            <w:noWrap/>
            <w:vAlign w:val="bottom"/>
            <w:hideMark/>
          </w:tcPr>
          <w:p w14:paraId="6AAEFEA9"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6,75%</w:t>
            </w:r>
          </w:p>
        </w:tc>
      </w:tr>
      <w:tr w:rsidR="00B95D52" w:rsidRPr="00AF1E1D" w14:paraId="5B6A5847"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1D1A049B"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Levered Equity Beta</w:t>
            </w:r>
          </w:p>
        </w:tc>
        <w:tc>
          <w:tcPr>
            <w:tcW w:w="2669" w:type="dxa"/>
            <w:tcBorders>
              <w:top w:val="nil"/>
              <w:left w:val="nil"/>
              <w:bottom w:val="nil"/>
              <w:right w:val="nil"/>
            </w:tcBorders>
            <w:shd w:val="clear" w:color="auto" w:fill="auto"/>
            <w:noWrap/>
            <w:vAlign w:val="bottom"/>
            <w:hideMark/>
          </w:tcPr>
          <w:p w14:paraId="0A2F80BC"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r>
      <w:tr w:rsidR="00B95D52" w:rsidRPr="00AF1E1D" w14:paraId="28767631"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19C98D89"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 xml:space="preserve">Cost of Equity </w:t>
            </w:r>
          </w:p>
        </w:tc>
        <w:tc>
          <w:tcPr>
            <w:tcW w:w="2669" w:type="dxa"/>
            <w:tcBorders>
              <w:top w:val="nil"/>
              <w:left w:val="nil"/>
              <w:bottom w:val="nil"/>
              <w:right w:val="nil"/>
            </w:tcBorders>
            <w:shd w:val="clear" w:color="auto" w:fill="auto"/>
            <w:noWrap/>
            <w:vAlign w:val="bottom"/>
            <w:hideMark/>
          </w:tcPr>
          <w:p w14:paraId="64479044"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10,33%</w:t>
            </w:r>
          </w:p>
        </w:tc>
      </w:tr>
      <w:tr w:rsidR="00B95D52" w:rsidRPr="00AF1E1D" w14:paraId="7CCA3322"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63A10872" w14:textId="77777777" w:rsidR="00B95D52" w:rsidRPr="00AF1E1D" w:rsidRDefault="00B95D52" w:rsidP="00B95D52">
            <w:pPr>
              <w:spacing w:after="0" w:line="240" w:lineRule="auto"/>
              <w:rPr>
                <w:rFonts w:ascii="Cambria" w:eastAsia="Times New Roman" w:hAnsi="Cambria" w:cs="Calibri"/>
                <w:i/>
                <w:iCs/>
                <w:color w:val="000000"/>
                <w:lang w:eastAsia="es-CR"/>
              </w:rPr>
            </w:pPr>
            <w:r w:rsidRPr="00AF1E1D">
              <w:rPr>
                <w:rFonts w:ascii="Cambria" w:eastAsia="Times New Roman" w:hAnsi="Cambria" w:cs="Calibri"/>
                <w:i/>
                <w:iCs/>
                <w:color w:val="000000"/>
                <w:lang w:eastAsia="es-CR"/>
              </w:rPr>
              <w:t>Unsystematic Risk Factors</w:t>
            </w:r>
          </w:p>
        </w:tc>
        <w:tc>
          <w:tcPr>
            <w:tcW w:w="2669" w:type="dxa"/>
            <w:tcBorders>
              <w:top w:val="nil"/>
              <w:left w:val="nil"/>
              <w:bottom w:val="nil"/>
              <w:right w:val="nil"/>
            </w:tcBorders>
            <w:shd w:val="clear" w:color="auto" w:fill="auto"/>
            <w:noWrap/>
            <w:vAlign w:val="bottom"/>
            <w:hideMark/>
          </w:tcPr>
          <w:p w14:paraId="33CDE4AB" w14:textId="77777777" w:rsidR="00B95D52" w:rsidRPr="00AF1E1D" w:rsidRDefault="00B95D52" w:rsidP="00B95D52">
            <w:pPr>
              <w:spacing w:after="0" w:line="240" w:lineRule="auto"/>
              <w:rPr>
                <w:rFonts w:ascii="Cambria" w:eastAsia="Times New Roman" w:hAnsi="Cambria" w:cs="Calibri"/>
                <w:i/>
                <w:iCs/>
                <w:color w:val="000000"/>
                <w:lang w:eastAsia="es-CR"/>
              </w:rPr>
            </w:pPr>
          </w:p>
        </w:tc>
      </w:tr>
      <w:tr w:rsidR="00B95D52" w:rsidRPr="00AF1E1D" w14:paraId="0012C8E5"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74189656"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Size Premium</w:t>
            </w:r>
          </w:p>
        </w:tc>
        <w:tc>
          <w:tcPr>
            <w:tcW w:w="2669" w:type="dxa"/>
            <w:tcBorders>
              <w:top w:val="nil"/>
              <w:left w:val="nil"/>
              <w:bottom w:val="nil"/>
              <w:right w:val="nil"/>
            </w:tcBorders>
            <w:shd w:val="clear" w:color="000000" w:fill="FFFFFF"/>
            <w:noWrap/>
            <w:vAlign w:val="bottom"/>
            <w:hideMark/>
          </w:tcPr>
          <w:p w14:paraId="6E4C4C2A"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1,71%</w:t>
            </w:r>
          </w:p>
        </w:tc>
      </w:tr>
      <w:tr w:rsidR="00B95D52" w:rsidRPr="00AF1E1D" w14:paraId="164895DB"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6BB1A060"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Country Risk Premium</w:t>
            </w:r>
          </w:p>
        </w:tc>
        <w:tc>
          <w:tcPr>
            <w:tcW w:w="2669" w:type="dxa"/>
            <w:tcBorders>
              <w:top w:val="nil"/>
              <w:left w:val="nil"/>
              <w:bottom w:val="nil"/>
              <w:right w:val="nil"/>
            </w:tcBorders>
            <w:shd w:val="clear" w:color="000000" w:fill="FFFFFF"/>
            <w:noWrap/>
            <w:vAlign w:val="bottom"/>
            <w:hideMark/>
          </w:tcPr>
          <w:p w14:paraId="18628302"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3,30%</w:t>
            </w:r>
          </w:p>
        </w:tc>
      </w:tr>
      <w:tr w:rsidR="00B95D52" w:rsidRPr="00AF1E1D" w14:paraId="50372C0A"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79A9B9E3"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Cost of Equity Capital</w:t>
            </w:r>
          </w:p>
        </w:tc>
        <w:tc>
          <w:tcPr>
            <w:tcW w:w="2669" w:type="dxa"/>
            <w:tcBorders>
              <w:top w:val="nil"/>
              <w:left w:val="nil"/>
              <w:bottom w:val="nil"/>
              <w:right w:val="nil"/>
            </w:tcBorders>
            <w:shd w:val="clear" w:color="auto" w:fill="auto"/>
            <w:noWrap/>
            <w:vAlign w:val="bottom"/>
            <w:hideMark/>
          </w:tcPr>
          <w:p w14:paraId="7F4D36AB"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15,34%</w:t>
            </w:r>
          </w:p>
        </w:tc>
      </w:tr>
      <w:tr w:rsidR="00B95D52" w:rsidRPr="00AF1E1D" w14:paraId="1BE543CA"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6FA16774"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Subject's Estimated Pre-Tax Cost of Debt Capital</w:t>
            </w:r>
          </w:p>
        </w:tc>
        <w:tc>
          <w:tcPr>
            <w:tcW w:w="2669" w:type="dxa"/>
            <w:tcBorders>
              <w:top w:val="nil"/>
              <w:left w:val="nil"/>
              <w:bottom w:val="nil"/>
              <w:right w:val="nil"/>
            </w:tcBorders>
            <w:shd w:val="clear" w:color="000000" w:fill="FFFFFF"/>
            <w:noWrap/>
            <w:vAlign w:val="bottom"/>
            <w:hideMark/>
          </w:tcPr>
          <w:p w14:paraId="1E0AB598"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7,52%</w:t>
            </w:r>
          </w:p>
        </w:tc>
      </w:tr>
      <w:tr w:rsidR="00B95D52" w:rsidRPr="00AF1E1D" w14:paraId="68324BF9"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45665F5E"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Tax Rate</w:t>
            </w:r>
          </w:p>
        </w:tc>
        <w:tc>
          <w:tcPr>
            <w:tcW w:w="2669" w:type="dxa"/>
            <w:tcBorders>
              <w:top w:val="nil"/>
              <w:left w:val="nil"/>
              <w:bottom w:val="nil"/>
              <w:right w:val="nil"/>
            </w:tcBorders>
            <w:shd w:val="clear" w:color="auto" w:fill="auto"/>
            <w:noWrap/>
            <w:vAlign w:val="bottom"/>
            <w:hideMark/>
          </w:tcPr>
          <w:p w14:paraId="036581D4"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30,0%</w:t>
            </w:r>
          </w:p>
        </w:tc>
      </w:tr>
      <w:tr w:rsidR="00B95D52" w:rsidRPr="00AF1E1D" w14:paraId="6DF18D75"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6C9984DE"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After-Tax Cost of Debt</w:t>
            </w:r>
          </w:p>
        </w:tc>
        <w:tc>
          <w:tcPr>
            <w:tcW w:w="2669" w:type="dxa"/>
            <w:tcBorders>
              <w:top w:val="nil"/>
              <w:left w:val="nil"/>
              <w:bottom w:val="nil"/>
              <w:right w:val="nil"/>
            </w:tcBorders>
            <w:shd w:val="clear" w:color="auto" w:fill="auto"/>
            <w:noWrap/>
            <w:vAlign w:val="bottom"/>
            <w:hideMark/>
          </w:tcPr>
          <w:p w14:paraId="588B2AB0"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5,26%</w:t>
            </w:r>
          </w:p>
        </w:tc>
      </w:tr>
      <w:tr w:rsidR="00B95D52" w:rsidRPr="00AF1E1D" w14:paraId="07FCCE16"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66CCB471"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Debt to Capital</w:t>
            </w:r>
          </w:p>
        </w:tc>
        <w:tc>
          <w:tcPr>
            <w:tcW w:w="2669" w:type="dxa"/>
            <w:tcBorders>
              <w:top w:val="nil"/>
              <w:left w:val="nil"/>
              <w:bottom w:val="nil"/>
              <w:right w:val="nil"/>
            </w:tcBorders>
            <w:shd w:val="clear" w:color="auto" w:fill="auto"/>
            <w:noWrap/>
            <w:vAlign w:val="bottom"/>
            <w:hideMark/>
          </w:tcPr>
          <w:p w14:paraId="56334577"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27,3%</w:t>
            </w:r>
          </w:p>
        </w:tc>
      </w:tr>
      <w:tr w:rsidR="00B95D52" w:rsidRPr="00AF1E1D" w14:paraId="03BFA1DF"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087ACC08"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Equity to Capital</w:t>
            </w:r>
          </w:p>
        </w:tc>
        <w:tc>
          <w:tcPr>
            <w:tcW w:w="2669" w:type="dxa"/>
            <w:tcBorders>
              <w:top w:val="nil"/>
              <w:left w:val="nil"/>
              <w:bottom w:val="nil"/>
              <w:right w:val="nil"/>
            </w:tcBorders>
            <w:shd w:val="clear" w:color="auto" w:fill="auto"/>
            <w:noWrap/>
            <w:vAlign w:val="bottom"/>
            <w:hideMark/>
          </w:tcPr>
          <w:p w14:paraId="69F1FE8F"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72,7%</w:t>
            </w:r>
          </w:p>
        </w:tc>
      </w:tr>
      <w:tr w:rsidR="00B95D52" w:rsidRPr="00AF1E1D" w14:paraId="5912C6E3"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69B1AD65"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Conclusion</w:t>
            </w:r>
          </w:p>
        </w:tc>
        <w:tc>
          <w:tcPr>
            <w:tcW w:w="2669" w:type="dxa"/>
            <w:tcBorders>
              <w:top w:val="nil"/>
              <w:left w:val="nil"/>
              <w:bottom w:val="nil"/>
              <w:right w:val="nil"/>
            </w:tcBorders>
            <w:shd w:val="clear" w:color="auto" w:fill="auto"/>
            <w:noWrap/>
            <w:vAlign w:val="bottom"/>
            <w:hideMark/>
          </w:tcPr>
          <w:p w14:paraId="6055DD2C"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12,59%</w:t>
            </w:r>
          </w:p>
        </w:tc>
      </w:tr>
      <w:tr w:rsidR="00B95D52" w:rsidRPr="00AF1E1D" w14:paraId="28672A5E" w14:textId="77777777" w:rsidTr="00AF1E1D">
        <w:trPr>
          <w:trHeight w:val="324"/>
        </w:trPr>
        <w:tc>
          <w:tcPr>
            <w:tcW w:w="6120" w:type="dxa"/>
            <w:tcBorders>
              <w:top w:val="nil"/>
              <w:left w:val="nil"/>
              <w:bottom w:val="nil"/>
              <w:right w:val="single" w:sz="4" w:space="0" w:color="auto"/>
            </w:tcBorders>
            <w:shd w:val="clear" w:color="auto" w:fill="auto"/>
            <w:noWrap/>
            <w:vAlign w:val="bottom"/>
            <w:hideMark/>
          </w:tcPr>
          <w:p w14:paraId="4064CD81" w14:textId="77777777" w:rsidR="00B95D52" w:rsidRPr="00AF1E1D" w:rsidRDefault="00B95D52" w:rsidP="00B95D5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Intangible asset premium</w:t>
            </w:r>
          </w:p>
        </w:tc>
        <w:tc>
          <w:tcPr>
            <w:tcW w:w="2669" w:type="dxa"/>
            <w:tcBorders>
              <w:top w:val="nil"/>
              <w:left w:val="nil"/>
              <w:bottom w:val="nil"/>
              <w:right w:val="nil"/>
            </w:tcBorders>
            <w:shd w:val="clear" w:color="auto" w:fill="auto"/>
            <w:noWrap/>
            <w:vAlign w:val="bottom"/>
            <w:hideMark/>
          </w:tcPr>
          <w:p w14:paraId="762C9BF0" w14:textId="77777777" w:rsidR="00B95D52" w:rsidRPr="00AF1E1D" w:rsidRDefault="00B95D52" w:rsidP="00B95D5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1,00%</w:t>
            </w:r>
          </w:p>
        </w:tc>
      </w:tr>
      <w:tr w:rsidR="00B95D52" w:rsidRPr="00AF1E1D" w14:paraId="2064F99D" w14:textId="77777777" w:rsidTr="00AF1E1D">
        <w:trPr>
          <w:trHeight w:val="324"/>
        </w:trPr>
        <w:tc>
          <w:tcPr>
            <w:tcW w:w="6120" w:type="dxa"/>
            <w:tcBorders>
              <w:top w:val="nil"/>
              <w:left w:val="nil"/>
              <w:bottom w:val="single" w:sz="4" w:space="0" w:color="auto"/>
              <w:right w:val="single" w:sz="4" w:space="0" w:color="auto"/>
            </w:tcBorders>
            <w:shd w:val="clear" w:color="auto" w:fill="auto"/>
            <w:noWrap/>
            <w:vAlign w:val="bottom"/>
            <w:hideMark/>
          </w:tcPr>
          <w:p w14:paraId="18D12C72" w14:textId="77777777" w:rsidR="00B95D52" w:rsidRPr="00AF1E1D" w:rsidRDefault="00B95D52" w:rsidP="00B95D52">
            <w:pPr>
              <w:spacing w:after="0" w:line="240" w:lineRule="auto"/>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Discount rate for intangible assets</w:t>
            </w:r>
          </w:p>
        </w:tc>
        <w:tc>
          <w:tcPr>
            <w:tcW w:w="2669" w:type="dxa"/>
            <w:tcBorders>
              <w:top w:val="nil"/>
              <w:left w:val="nil"/>
              <w:bottom w:val="single" w:sz="4" w:space="0" w:color="auto"/>
              <w:right w:val="nil"/>
            </w:tcBorders>
            <w:shd w:val="clear" w:color="auto" w:fill="auto"/>
            <w:noWrap/>
            <w:vAlign w:val="bottom"/>
            <w:hideMark/>
          </w:tcPr>
          <w:p w14:paraId="2BA2D227" w14:textId="77777777" w:rsidR="00B95D52" w:rsidRPr="00AF1E1D" w:rsidRDefault="00B95D52" w:rsidP="00B95D52">
            <w:pPr>
              <w:spacing w:after="0" w:line="240" w:lineRule="auto"/>
              <w:jc w:val="center"/>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13,60%</w:t>
            </w:r>
          </w:p>
        </w:tc>
      </w:tr>
    </w:tbl>
    <w:p w14:paraId="6F8AF50C" w14:textId="15A67A78" w:rsidR="008A1192" w:rsidRPr="00431183" w:rsidRDefault="008A1192" w:rsidP="00431183">
      <w:pPr>
        <w:spacing w:line="240" w:lineRule="auto"/>
        <w:rPr>
          <w:rFonts w:ascii="Cambria" w:hAnsi="Cambria" w:cs="Arial"/>
          <w:sz w:val="18"/>
          <w:szCs w:val="18"/>
        </w:rPr>
      </w:pPr>
      <w:r w:rsidRPr="00431183">
        <w:rPr>
          <w:rFonts w:ascii="Cambria" w:hAnsi="Cambria" w:cs="Arial"/>
          <w:sz w:val="18"/>
          <w:szCs w:val="18"/>
        </w:rPr>
        <w:t>Fuente: Elaboración propia con datos</w:t>
      </w:r>
      <w:r w:rsidR="00B95D52">
        <w:rPr>
          <w:rFonts w:ascii="Cambria" w:hAnsi="Cambria" w:cs="Arial"/>
          <w:sz w:val="18"/>
          <w:szCs w:val="18"/>
        </w:rPr>
        <w:t xml:space="preserve"> suministrados por los productores utilizando método </w:t>
      </w:r>
      <w:r w:rsidRPr="00431183">
        <w:rPr>
          <w:rFonts w:ascii="Cambria" w:hAnsi="Cambria" w:cs="Arial"/>
          <w:sz w:val="18"/>
          <w:szCs w:val="18"/>
        </w:rPr>
        <w:t xml:space="preserve"> de Damodaran</w:t>
      </w:r>
      <w:r w:rsidR="00B95D52">
        <w:rPr>
          <w:rFonts w:ascii="Cambria" w:hAnsi="Cambria" w:cs="Arial"/>
          <w:sz w:val="18"/>
          <w:szCs w:val="18"/>
        </w:rPr>
        <w:t>, 2018</w:t>
      </w:r>
    </w:p>
    <w:p w14:paraId="33473597" w14:textId="77777777" w:rsidR="006A0328" w:rsidRDefault="006A0328" w:rsidP="00431183">
      <w:pPr>
        <w:spacing w:line="240" w:lineRule="auto"/>
        <w:rPr>
          <w:rFonts w:ascii="Cambria" w:hAnsi="Cambria" w:cs="Arial"/>
          <w:b/>
          <w:sz w:val="24"/>
          <w:szCs w:val="24"/>
        </w:rPr>
      </w:pPr>
    </w:p>
    <w:p w14:paraId="40E7B8CF" w14:textId="6F629050" w:rsidR="008A1192" w:rsidRPr="00431183" w:rsidRDefault="008A1192" w:rsidP="00431183">
      <w:pPr>
        <w:spacing w:line="240" w:lineRule="auto"/>
        <w:rPr>
          <w:rFonts w:ascii="Cambria" w:hAnsi="Cambria" w:cs="Arial"/>
          <w:b/>
          <w:sz w:val="24"/>
          <w:szCs w:val="24"/>
        </w:rPr>
      </w:pPr>
      <w:r w:rsidRPr="00431183">
        <w:rPr>
          <w:rFonts w:ascii="Cambria" w:hAnsi="Cambria" w:cs="Arial"/>
          <w:b/>
          <w:sz w:val="24"/>
          <w:szCs w:val="24"/>
        </w:rPr>
        <w:lastRenderedPageBreak/>
        <w:t>Valor Asignado Activos Tangibles</w:t>
      </w:r>
    </w:p>
    <w:p w14:paraId="14A9A2F6" w14:textId="77777777" w:rsidR="008A1192" w:rsidRPr="00431183" w:rsidRDefault="00241917" w:rsidP="00431183">
      <w:pPr>
        <w:spacing w:line="240" w:lineRule="auto"/>
        <w:ind w:firstLine="708"/>
        <w:jc w:val="both"/>
        <w:rPr>
          <w:rFonts w:ascii="Cambria" w:hAnsi="Cambria" w:cs="Arial"/>
          <w:sz w:val="24"/>
          <w:szCs w:val="24"/>
        </w:rPr>
      </w:pPr>
      <w:r w:rsidRPr="00431183">
        <w:rPr>
          <w:rFonts w:ascii="Cambria" w:hAnsi="Cambria" w:cs="Arial"/>
          <w:sz w:val="24"/>
          <w:szCs w:val="24"/>
        </w:rPr>
        <w:t>De acuerdo con el</w:t>
      </w:r>
      <w:r w:rsidR="00F74154" w:rsidRPr="00431183">
        <w:rPr>
          <w:rFonts w:ascii="Cambria" w:hAnsi="Cambria" w:cs="Arial"/>
          <w:sz w:val="24"/>
          <w:szCs w:val="24"/>
        </w:rPr>
        <w:t xml:space="preserve"> </w:t>
      </w:r>
      <w:r w:rsidR="008A1192" w:rsidRPr="00431183">
        <w:rPr>
          <w:rFonts w:ascii="Cambria" w:hAnsi="Cambria" w:cs="Arial"/>
          <w:sz w:val="24"/>
          <w:szCs w:val="24"/>
        </w:rPr>
        <w:t xml:space="preserve">Comité de Denominación de Origen, los activos muebles e inmuebles de la Compañía son revaluados de forma periódica. Como resultado, el valor de los activos muebles e inmuebles, han sido tomados a su valor en libros a la Fecha de Valoración. De igual manera, </w:t>
      </w:r>
      <w:r w:rsidR="00E635C3" w:rsidRPr="00431183">
        <w:rPr>
          <w:rFonts w:ascii="Cambria" w:hAnsi="Cambria" w:cs="Arial"/>
          <w:sz w:val="24"/>
          <w:szCs w:val="24"/>
        </w:rPr>
        <w:t xml:space="preserve">de acuerdo con </w:t>
      </w:r>
      <w:r w:rsidR="00E635C3">
        <w:rPr>
          <w:rFonts w:ascii="Cambria" w:hAnsi="Cambria" w:cs="Arial"/>
          <w:sz w:val="24"/>
          <w:szCs w:val="24"/>
        </w:rPr>
        <w:t>el análisis contable</w:t>
      </w:r>
      <w:r w:rsidR="008A1192" w:rsidRPr="00431183">
        <w:rPr>
          <w:rFonts w:ascii="Cambria" w:hAnsi="Cambria" w:cs="Arial"/>
          <w:sz w:val="24"/>
          <w:szCs w:val="24"/>
        </w:rPr>
        <w:t>, el valor de los activos corrientes, reflejan su valor de mercado.</w:t>
      </w:r>
    </w:p>
    <w:p w14:paraId="02FE2DFD" w14:textId="402BC543" w:rsidR="003B24C3" w:rsidRPr="00AF1E1D" w:rsidRDefault="00F74154" w:rsidP="00AF1E1D">
      <w:pPr>
        <w:pStyle w:val="Descripcin"/>
        <w:rPr>
          <w:rFonts w:ascii="Cambria" w:hAnsi="Cambria" w:cs="Arial"/>
          <w:b/>
          <w:i w:val="0"/>
          <w:color w:val="auto"/>
          <w:sz w:val="22"/>
          <w:szCs w:val="22"/>
        </w:rPr>
      </w:pPr>
      <w:bookmarkStart w:id="109" w:name="_Toc527576368"/>
      <w:bookmarkStart w:id="110" w:name="_Toc519692068"/>
      <w:r w:rsidRPr="00AF1E1D">
        <w:rPr>
          <w:rFonts w:ascii="Cambria" w:hAnsi="Cambria" w:cs="Arial"/>
          <w:b/>
          <w:i w:val="0"/>
          <w:color w:val="auto"/>
          <w:sz w:val="22"/>
          <w:szCs w:val="22"/>
        </w:rPr>
        <w:t>T</w:t>
      </w:r>
      <w:r w:rsidR="006A0328" w:rsidRPr="00AF1E1D">
        <w:rPr>
          <w:rFonts w:ascii="Cambria" w:hAnsi="Cambria"/>
          <w:b/>
          <w:i w:val="0"/>
          <w:color w:val="auto"/>
          <w:sz w:val="22"/>
          <w:szCs w:val="22"/>
        </w:rPr>
        <w:t xml:space="preserve">abla </w:t>
      </w:r>
      <w:r w:rsidR="006A0328" w:rsidRPr="00AF1E1D">
        <w:rPr>
          <w:rFonts w:ascii="Cambria" w:hAnsi="Cambria"/>
          <w:b/>
          <w:i w:val="0"/>
          <w:color w:val="auto"/>
          <w:sz w:val="22"/>
          <w:szCs w:val="22"/>
        </w:rPr>
        <w:fldChar w:fldCharType="begin"/>
      </w:r>
      <w:r w:rsidR="006A0328" w:rsidRPr="00AF1E1D">
        <w:rPr>
          <w:rFonts w:ascii="Cambria" w:hAnsi="Cambria"/>
          <w:b/>
          <w:i w:val="0"/>
          <w:color w:val="auto"/>
          <w:sz w:val="22"/>
          <w:szCs w:val="22"/>
        </w:rPr>
        <w:instrText xml:space="preserve"> SEQ Tabla \* ARABIC </w:instrText>
      </w:r>
      <w:r w:rsidR="006A0328" w:rsidRPr="00AF1E1D">
        <w:rPr>
          <w:rFonts w:ascii="Cambria" w:hAnsi="Cambria"/>
          <w:b/>
          <w:i w:val="0"/>
          <w:color w:val="auto"/>
          <w:sz w:val="22"/>
          <w:szCs w:val="22"/>
        </w:rPr>
        <w:fldChar w:fldCharType="separate"/>
      </w:r>
      <w:r w:rsidR="006A0328" w:rsidRPr="00AF1E1D">
        <w:rPr>
          <w:rFonts w:ascii="Cambria" w:hAnsi="Cambria"/>
          <w:b/>
          <w:i w:val="0"/>
          <w:noProof/>
          <w:color w:val="auto"/>
          <w:sz w:val="22"/>
          <w:szCs w:val="22"/>
        </w:rPr>
        <w:t>10</w:t>
      </w:r>
      <w:bookmarkEnd w:id="109"/>
      <w:r w:rsidR="006A0328" w:rsidRPr="00AF1E1D">
        <w:rPr>
          <w:rFonts w:ascii="Cambria" w:hAnsi="Cambria"/>
          <w:b/>
          <w:i w:val="0"/>
          <w:color w:val="auto"/>
          <w:sz w:val="22"/>
          <w:szCs w:val="22"/>
        </w:rPr>
        <w:fldChar w:fldCharType="end"/>
      </w:r>
    </w:p>
    <w:p w14:paraId="4ADD6EF7" w14:textId="0A864995" w:rsidR="00F74154" w:rsidRPr="00AF1E1D" w:rsidRDefault="00F74154" w:rsidP="00AF1E1D">
      <w:pPr>
        <w:pStyle w:val="Descripcin"/>
        <w:keepNext/>
        <w:rPr>
          <w:rFonts w:ascii="Cambria" w:hAnsi="Cambria" w:cs="Arial"/>
          <w:b/>
          <w:i w:val="0"/>
          <w:color w:val="auto"/>
          <w:sz w:val="22"/>
          <w:szCs w:val="22"/>
        </w:rPr>
      </w:pPr>
      <w:r w:rsidRPr="00AF1E1D">
        <w:rPr>
          <w:rFonts w:ascii="Cambria" w:hAnsi="Cambria" w:cs="Arial"/>
          <w:b/>
          <w:i w:val="0"/>
          <w:color w:val="auto"/>
          <w:sz w:val="22"/>
          <w:szCs w:val="22"/>
        </w:rPr>
        <w:t>Valor Asignado a Activos Intangibles.</w:t>
      </w:r>
      <w:r w:rsidR="003B24C3">
        <w:rPr>
          <w:rFonts w:ascii="Cambria" w:hAnsi="Cambria" w:cs="Arial"/>
          <w:b/>
          <w:i w:val="0"/>
          <w:color w:val="auto"/>
          <w:sz w:val="22"/>
          <w:szCs w:val="22"/>
        </w:rPr>
        <w:t xml:space="preserve">  Bienes Muebles e Inmuebles sujetos a la Transacción</w:t>
      </w:r>
      <w:r w:rsidR="007C24B8">
        <w:rPr>
          <w:rFonts w:ascii="Cambria" w:hAnsi="Cambria" w:cs="Arial"/>
          <w:b/>
          <w:i w:val="0"/>
          <w:color w:val="auto"/>
          <w:sz w:val="22"/>
          <w:szCs w:val="22"/>
        </w:rPr>
        <w:t>.</w:t>
      </w:r>
      <w:r w:rsidRPr="00AF1E1D">
        <w:rPr>
          <w:rFonts w:ascii="Cambria" w:hAnsi="Cambria" w:cs="Arial"/>
          <w:b/>
          <w:i w:val="0"/>
          <w:color w:val="auto"/>
          <w:sz w:val="22"/>
          <w:szCs w:val="22"/>
        </w:rPr>
        <w:t xml:space="preserve">  Denominación de Origen Tarrazú</w:t>
      </w:r>
      <w:bookmarkEnd w:id="110"/>
    </w:p>
    <w:tbl>
      <w:tblPr>
        <w:tblW w:w="0" w:type="auto"/>
        <w:tblCellMar>
          <w:left w:w="0" w:type="dxa"/>
          <w:right w:w="0" w:type="dxa"/>
        </w:tblCellMar>
        <w:tblLook w:val="0420" w:firstRow="1" w:lastRow="0" w:firstColumn="0" w:lastColumn="0" w:noHBand="0" w:noVBand="1"/>
      </w:tblPr>
      <w:tblGrid>
        <w:gridCol w:w="3760"/>
        <w:gridCol w:w="5019"/>
      </w:tblGrid>
      <w:tr w:rsidR="003B24C3" w:rsidRPr="00AF1E1D" w14:paraId="35D7A874" w14:textId="49305716" w:rsidTr="00AF1E1D">
        <w:trPr>
          <w:trHeight w:val="370"/>
        </w:trPr>
        <w:tc>
          <w:tcPr>
            <w:tcW w:w="3760" w:type="dxa"/>
            <w:tcBorders>
              <w:top w:val="nil"/>
              <w:left w:val="single" w:sz="8" w:space="0" w:color="F2F2F2"/>
              <w:bottom w:val="single" w:sz="4" w:space="0" w:color="BBBCBC"/>
              <w:right w:val="single" w:sz="4" w:space="0" w:color="auto"/>
            </w:tcBorders>
            <w:shd w:val="clear" w:color="auto" w:fill="auto"/>
            <w:tcMar>
              <w:top w:w="66" w:type="dxa"/>
              <w:left w:w="133" w:type="dxa"/>
              <w:bottom w:w="66" w:type="dxa"/>
              <w:right w:w="133" w:type="dxa"/>
            </w:tcMar>
            <w:vAlign w:val="center"/>
            <w:hideMark/>
          </w:tcPr>
          <w:p w14:paraId="2BF6CB07" w14:textId="6A3B613F" w:rsidR="003B24C3" w:rsidRPr="00AF1E1D" w:rsidRDefault="007C24B8" w:rsidP="00AF1E1D">
            <w:pPr>
              <w:spacing w:after="0" w:line="240" w:lineRule="auto"/>
              <w:rPr>
                <w:rFonts w:ascii="Cambria" w:eastAsia="Times New Roman" w:hAnsi="Cambria" w:cs="Arial"/>
                <w:b/>
              </w:rPr>
            </w:pPr>
            <w:r w:rsidRPr="00AF1E1D">
              <w:rPr>
                <w:rFonts w:ascii="Cambria" w:eastAsia="Verdana" w:hAnsi="Cambria" w:cs="Verdana"/>
                <w:b/>
                <w:bCs/>
                <w:kern w:val="24"/>
              </w:rPr>
              <w:t>Tipo de Bien</w:t>
            </w:r>
          </w:p>
        </w:tc>
        <w:tc>
          <w:tcPr>
            <w:tcW w:w="5019" w:type="dxa"/>
            <w:tcBorders>
              <w:top w:val="nil"/>
              <w:left w:val="single" w:sz="4" w:space="0" w:color="auto"/>
              <w:bottom w:val="single" w:sz="4" w:space="0" w:color="BBBCBC"/>
              <w:right w:val="single" w:sz="8" w:space="0" w:color="F2F2F2"/>
            </w:tcBorders>
            <w:shd w:val="clear" w:color="auto" w:fill="auto"/>
            <w:vAlign w:val="center"/>
          </w:tcPr>
          <w:p w14:paraId="5E89BFA1" w14:textId="747A39C8" w:rsidR="003B24C3" w:rsidRPr="00AF1E1D" w:rsidRDefault="007C24B8" w:rsidP="00AF1E1D">
            <w:pPr>
              <w:spacing w:after="0" w:line="240" w:lineRule="auto"/>
              <w:jc w:val="center"/>
              <w:rPr>
                <w:rFonts w:ascii="Cambria" w:eastAsia="Times New Roman" w:hAnsi="Cambria" w:cs="Arial"/>
                <w:b/>
              </w:rPr>
            </w:pPr>
            <w:r w:rsidRPr="00AF1E1D">
              <w:rPr>
                <w:rFonts w:ascii="Cambria" w:eastAsia="Times New Roman" w:hAnsi="Cambria" w:cs="Arial"/>
                <w:b/>
              </w:rPr>
              <w:t>Valor Asignado</w:t>
            </w:r>
          </w:p>
        </w:tc>
      </w:tr>
      <w:tr w:rsidR="003B24C3" w:rsidRPr="00AF1E1D" w14:paraId="4B96DED4" w14:textId="77777777" w:rsidTr="00AF1E1D">
        <w:trPr>
          <w:trHeight w:val="358"/>
        </w:trPr>
        <w:tc>
          <w:tcPr>
            <w:tcW w:w="0" w:type="auto"/>
            <w:tcBorders>
              <w:top w:val="single" w:sz="4" w:space="0" w:color="auto"/>
              <w:left w:val="single" w:sz="8" w:space="0" w:color="F2F2F2"/>
              <w:bottom w:val="single" w:sz="4" w:space="0" w:color="BBBCBC"/>
              <w:right w:val="single" w:sz="4" w:space="0" w:color="auto"/>
            </w:tcBorders>
            <w:shd w:val="clear" w:color="auto" w:fill="auto"/>
            <w:tcMar>
              <w:top w:w="66" w:type="dxa"/>
              <w:left w:w="133" w:type="dxa"/>
              <w:bottom w:w="66" w:type="dxa"/>
              <w:right w:w="133" w:type="dxa"/>
            </w:tcMar>
            <w:vAlign w:val="center"/>
            <w:hideMark/>
          </w:tcPr>
          <w:p w14:paraId="2D664CF9" w14:textId="77777777" w:rsidR="008A1192" w:rsidRPr="00AF1E1D" w:rsidRDefault="008A1192" w:rsidP="00431183">
            <w:pPr>
              <w:spacing w:after="0" w:line="240" w:lineRule="auto"/>
              <w:rPr>
                <w:rFonts w:ascii="Cambria" w:eastAsia="Times New Roman" w:hAnsi="Cambria" w:cs="Arial"/>
              </w:rPr>
            </w:pPr>
            <w:r w:rsidRPr="00AF1E1D">
              <w:rPr>
                <w:rFonts w:ascii="Cambria" w:eastAsia="Verdana" w:hAnsi="Cambria" w:cs="Verdana"/>
                <w:bCs/>
                <w:kern w:val="24"/>
              </w:rPr>
              <w:t>Activo</w:t>
            </w:r>
          </w:p>
        </w:tc>
        <w:tc>
          <w:tcPr>
            <w:tcW w:w="5019" w:type="dxa"/>
            <w:tcBorders>
              <w:top w:val="single" w:sz="4" w:space="0" w:color="auto"/>
              <w:left w:val="single" w:sz="4" w:space="0" w:color="auto"/>
              <w:bottom w:val="single" w:sz="4" w:space="0" w:color="BBBCBC"/>
              <w:right w:val="single" w:sz="8" w:space="0" w:color="F2F2F2"/>
            </w:tcBorders>
            <w:shd w:val="clear" w:color="auto" w:fill="auto"/>
            <w:tcMar>
              <w:top w:w="66" w:type="dxa"/>
              <w:left w:w="133" w:type="dxa"/>
              <w:bottom w:w="66" w:type="dxa"/>
              <w:right w:w="133" w:type="dxa"/>
            </w:tcMar>
            <w:vAlign w:val="center"/>
            <w:hideMark/>
          </w:tcPr>
          <w:p w14:paraId="48A3B656" w14:textId="030E99CA" w:rsidR="008A1192" w:rsidRPr="00AF1E1D" w:rsidRDefault="008A1192" w:rsidP="00AF1E1D">
            <w:pPr>
              <w:spacing w:after="0" w:line="240" w:lineRule="auto"/>
              <w:jc w:val="center"/>
              <w:rPr>
                <w:rFonts w:ascii="Cambria" w:eastAsia="Times New Roman" w:hAnsi="Cambria" w:cs="Arial"/>
              </w:rPr>
            </w:pPr>
            <w:r w:rsidRPr="00AF1E1D">
              <w:rPr>
                <w:rFonts w:ascii="Cambria" w:eastAsia="Verdana" w:hAnsi="Cambria" w:cs="Verdana"/>
                <w:bCs/>
                <w:kern w:val="24"/>
              </w:rPr>
              <w:t xml:space="preserve">US$ </w:t>
            </w:r>
          </w:p>
        </w:tc>
      </w:tr>
      <w:tr w:rsidR="003B24C3" w:rsidRPr="00AF1E1D" w14:paraId="5E7E9539" w14:textId="77777777" w:rsidTr="00AF1E1D">
        <w:trPr>
          <w:trHeight w:val="370"/>
        </w:trPr>
        <w:tc>
          <w:tcPr>
            <w:tcW w:w="0" w:type="auto"/>
            <w:tcBorders>
              <w:top w:val="single" w:sz="4" w:space="0" w:color="BBBCBC"/>
              <w:left w:val="single" w:sz="8" w:space="0" w:color="F2F2F2"/>
              <w:bottom w:val="single" w:sz="4" w:space="0" w:color="BBBCBC"/>
              <w:right w:val="single" w:sz="4" w:space="0" w:color="auto"/>
            </w:tcBorders>
            <w:shd w:val="clear" w:color="auto" w:fill="auto"/>
            <w:tcMar>
              <w:top w:w="66" w:type="dxa"/>
              <w:left w:w="133" w:type="dxa"/>
              <w:bottom w:w="66" w:type="dxa"/>
              <w:right w:w="133" w:type="dxa"/>
            </w:tcMar>
            <w:vAlign w:val="center"/>
            <w:hideMark/>
          </w:tcPr>
          <w:p w14:paraId="75EF3FD5" w14:textId="77777777" w:rsidR="008A1192" w:rsidRPr="00AF1E1D" w:rsidRDefault="008A1192" w:rsidP="00431183">
            <w:pPr>
              <w:spacing w:after="0" w:line="240" w:lineRule="auto"/>
              <w:rPr>
                <w:rFonts w:ascii="Cambria" w:eastAsia="Times New Roman" w:hAnsi="Cambria" w:cs="Arial"/>
              </w:rPr>
            </w:pPr>
            <w:r w:rsidRPr="00AF1E1D">
              <w:rPr>
                <w:rFonts w:ascii="Cambria" w:eastAsia="Verdana" w:hAnsi="Cambria" w:cs="Verdana"/>
                <w:kern w:val="24"/>
              </w:rPr>
              <w:t>Caja</w:t>
            </w:r>
          </w:p>
        </w:tc>
        <w:tc>
          <w:tcPr>
            <w:tcW w:w="5019" w:type="dxa"/>
            <w:tcBorders>
              <w:top w:val="single" w:sz="4" w:space="0" w:color="BBBCBC"/>
              <w:left w:val="single" w:sz="4" w:space="0" w:color="auto"/>
              <w:bottom w:val="single" w:sz="4" w:space="0" w:color="BBBCBC"/>
              <w:right w:val="single" w:sz="8" w:space="0" w:color="F2F2F2"/>
            </w:tcBorders>
            <w:shd w:val="clear" w:color="auto" w:fill="auto"/>
            <w:tcMar>
              <w:top w:w="66" w:type="dxa"/>
              <w:left w:w="133" w:type="dxa"/>
              <w:bottom w:w="66" w:type="dxa"/>
              <w:right w:w="133" w:type="dxa"/>
            </w:tcMar>
            <w:vAlign w:val="center"/>
            <w:hideMark/>
          </w:tcPr>
          <w:p w14:paraId="7670BFE4" w14:textId="77777777" w:rsidR="008A1192" w:rsidRPr="00AF1E1D" w:rsidRDefault="008A1192" w:rsidP="00AF1E1D">
            <w:pPr>
              <w:spacing w:after="0" w:line="240" w:lineRule="auto"/>
              <w:jc w:val="center"/>
              <w:rPr>
                <w:rFonts w:ascii="Cambria" w:eastAsia="Times New Roman" w:hAnsi="Cambria" w:cs="Arial"/>
              </w:rPr>
            </w:pPr>
            <w:r w:rsidRPr="00AF1E1D">
              <w:rPr>
                <w:rFonts w:ascii="Cambria" w:eastAsia="Verdana" w:hAnsi="Cambria" w:cs="Verdana"/>
                <w:kern w:val="24"/>
              </w:rPr>
              <w:t>306</w:t>
            </w:r>
          </w:p>
        </w:tc>
      </w:tr>
      <w:tr w:rsidR="003B24C3" w:rsidRPr="00AF1E1D" w14:paraId="2918BF1D" w14:textId="77777777" w:rsidTr="00AF1E1D">
        <w:trPr>
          <w:trHeight w:val="370"/>
        </w:trPr>
        <w:tc>
          <w:tcPr>
            <w:tcW w:w="0" w:type="auto"/>
            <w:tcBorders>
              <w:top w:val="single" w:sz="4" w:space="0" w:color="BBBCBC"/>
              <w:left w:val="single" w:sz="8" w:space="0" w:color="F2F2F2"/>
              <w:bottom w:val="single" w:sz="4" w:space="0" w:color="BBBCBC"/>
              <w:right w:val="single" w:sz="4" w:space="0" w:color="auto"/>
            </w:tcBorders>
            <w:shd w:val="clear" w:color="auto" w:fill="auto"/>
            <w:tcMar>
              <w:top w:w="66" w:type="dxa"/>
              <w:left w:w="133" w:type="dxa"/>
              <w:bottom w:w="66" w:type="dxa"/>
              <w:right w:w="133" w:type="dxa"/>
            </w:tcMar>
            <w:vAlign w:val="center"/>
            <w:hideMark/>
          </w:tcPr>
          <w:p w14:paraId="392F8E3D" w14:textId="77777777" w:rsidR="008A1192" w:rsidRPr="00AF1E1D" w:rsidRDefault="008A1192" w:rsidP="00431183">
            <w:pPr>
              <w:spacing w:after="0" w:line="240" w:lineRule="auto"/>
              <w:rPr>
                <w:rFonts w:ascii="Cambria" w:eastAsia="Times New Roman" w:hAnsi="Cambria" w:cs="Arial"/>
              </w:rPr>
            </w:pPr>
            <w:r w:rsidRPr="00AF1E1D">
              <w:rPr>
                <w:rFonts w:ascii="Cambria" w:eastAsia="Verdana" w:hAnsi="Cambria" w:cs="Verdana"/>
                <w:kern w:val="24"/>
              </w:rPr>
              <w:t>Inventarios</w:t>
            </w:r>
          </w:p>
        </w:tc>
        <w:tc>
          <w:tcPr>
            <w:tcW w:w="5019" w:type="dxa"/>
            <w:tcBorders>
              <w:top w:val="single" w:sz="4" w:space="0" w:color="BBBCBC"/>
              <w:left w:val="single" w:sz="4" w:space="0" w:color="auto"/>
              <w:bottom w:val="single" w:sz="4" w:space="0" w:color="BBBCBC"/>
              <w:right w:val="single" w:sz="8" w:space="0" w:color="F2F2F2"/>
            </w:tcBorders>
            <w:shd w:val="clear" w:color="auto" w:fill="auto"/>
            <w:tcMar>
              <w:top w:w="66" w:type="dxa"/>
              <w:left w:w="133" w:type="dxa"/>
              <w:bottom w:w="66" w:type="dxa"/>
              <w:right w:w="133" w:type="dxa"/>
            </w:tcMar>
            <w:vAlign w:val="center"/>
            <w:hideMark/>
          </w:tcPr>
          <w:p w14:paraId="70708E87" w14:textId="77777777" w:rsidR="008A1192" w:rsidRPr="00AF1E1D" w:rsidRDefault="008A1192" w:rsidP="00AF1E1D">
            <w:pPr>
              <w:spacing w:after="0" w:line="240" w:lineRule="auto"/>
              <w:jc w:val="center"/>
              <w:rPr>
                <w:rFonts w:ascii="Cambria" w:eastAsia="Times New Roman" w:hAnsi="Cambria" w:cs="Arial"/>
              </w:rPr>
            </w:pPr>
            <w:r w:rsidRPr="00AF1E1D">
              <w:rPr>
                <w:rFonts w:ascii="Cambria" w:eastAsia="Verdana" w:hAnsi="Cambria" w:cs="Verdana"/>
                <w:kern w:val="24"/>
              </w:rPr>
              <w:t>4,577</w:t>
            </w:r>
          </w:p>
        </w:tc>
      </w:tr>
      <w:tr w:rsidR="003B24C3" w:rsidRPr="00AF1E1D" w14:paraId="423222A7" w14:textId="77777777" w:rsidTr="00AF1E1D">
        <w:trPr>
          <w:trHeight w:val="370"/>
        </w:trPr>
        <w:tc>
          <w:tcPr>
            <w:tcW w:w="0" w:type="auto"/>
            <w:tcBorders>
              <w:top w:val="single" w:sz="4" w:space="0" w:color="BBBCBC"/>
              <w:left w:val="single" w:sz="8" w:space="0" w:color="F2F2F2"/>
              <w:bottom w:val="single" w:sz="4" w:space="0" w:color="BBBCBC"/>
              <w:right w:val="single" w:sz="4" w:space="0" w:color="auto"/>
            </w:tcBorders>
            <w:shd w:val="clear" w:color="auto" w:fill="auto"/>
            <w:tcMar>
              <w:top w:w="66" w:type="dxa"/>
              <w:left w:w="133" w:type="dxa"/>
              <w:bottom w:w="66" w:type="dxa"/>
              <w:right w:w="133" w:type="dxa"/>
            </w:tcMar>
            <w:vAlign w:val="center"/>
            <w:hideMark/>
          </w:tcPr>
          <w:p w14:paraId="35688EEE" w14:textId="77777777" w:rsidR="008A1192" w:rsidRPr="00AF1E1D" w:rsidRDefault="008A1192" w:rsidP="00431183">
            <w:pPr>
              <w:spacing w:after="0" w:line="240" w:lineRule="auto"/>
              <w:rPr>
                <w:rFonts w:ascii="Cambria" w:eastAsia="Times New Roman" w:hAnsi="Cambria" w:cs="Arial"/>
              </w:rPr>
            </w:pPr>
            <w:r w:rsidRPr="00AF1E1D">
              <w:rPr>
                <w:rFonts w:ascii="Cambria" w:eastAsia="Verdana" w:hAnsi="Cambria" w:cs="Verdana"/>
                <w:kern w:val="24"/>
              </w:rPr>
              <w:t>Propiedad, Planta y Equipo</w:t>
            </w:r>
          </w:p>
        </w:tc>
        <w:tc>
          <w:tcPr>
            <w:tcW w:w="5019" w:type="dxa"/>
            <w:tcBorders>
              <w:top w:val="single" w:sz="4" w:space="0" w:color="BBBCBC"/>
              <w:left w:val="single" w:sz="4" w:space="0" w:color="auto"/>
              <w:bottom w:val="single" w:sz="4" w:space="0" w:color="BBBCBC"/>
              <w:right w:val="single" w:sz="8" w:space="0" w:color="F2F2F2"/>
            </w:tcBorders>
            <w:shd w:val="clear" w:color="auto" w:fill="auto"/>
            <w:tcMar>
              <w:top w:w="66" w:type="dxa"/>
              <w:left w:w="133" w:type="dxa"/>
              <w:bottom w:w="66" w:type="dxa"/>
              <w:right w:w="133" w:type="dxa"/>
            </w:tcMar>
            <w:vAlign w:val="center"/>
            <w:hideMark/>
          </w:tcPr>
          <w:p w14:paraId="074020AC" w14:textId="77777777" w:rsidR="008A1192" w:rsidRPr="00AF1E1D" w:rsidRDefault="008A1192" w:rsidP="00AF1E1D">
            <w:pPr>
              <w:spacing w:after="0" w:line="240" w:lineRule="auto"/>
              <w:jc w:val="center"/>
              <w:rPr>
                <w:rFonts w:ascii="Cambria" w:eastAsia="Times New Roman" w:hAnsi="Cambria" w:cs="Arial"/>
              </w:rPr>
            </w:pPr>
            <w:r w:rsidRPr="00AF1E1D">
              <w:rPr>
                <w:rFonts w:ascii="Cambria" w:eastAsia="Verdana" w:hAnsi="Cambria" w:cs="Verdana"/>
                <w:kern w:val="24"/>
              </w:rPr>
              <w:t>8,546</w:t>
            </w:r>
          </w:p>
        </w:tc>
      </w:tr>
      <w:tr w:rsidR="003B24C3" w:rsidRPr="00AF1E1D" w14:paraId="31C644ED" w14:textId="77777777" w:rsidTr="00AF1E1D">
        <w:trPr>
          <w:trHeight w:val="20"/>
        </w:trPr>
        <w:tc>
          <w:tcPr>
            <w:tcW w:w="0" w:type="auto"/>
            <w:tcBorders>
              <w:top w:val="single" w:sz="4" w:space="0" w:color="BBBCBC"/>
              <w:left w:val="single" w:sz="8" w:space="0" w:color="F2F2F2"/>
              <w:bottom w:val="single" w:sz="4" w:space="0" w:color="BBBCBC"/>
              <w:right w:val="single" w:sz="4" w:space="0" w:color="auto"/>
            </w:tcBorders>
            <w:shd w:val="clear" w:color="auto" w:fill="auto"/>
            <w:tcMar>
              <w:top w:w="66" w:type="dxa"/>
              <w:left w:w="133" w:type="dxa"/>
              <w:bottom w:w="66" w:type="dxa"/>
              <w:right w:w="133" w:type="dxa"/>
            </w:tcMar>
            <w:vAlign w:val="center"/>
            <w:hideMark/>
          </w:tcPr>
          <w:p w14:paraId="1868350A" w14:textId="77777777" w:rsidR="008A1192" w:rsidRPr="00AF1E1D" w:rsidRDefault="008A1192" w:rsidP="00431183">
            <w:pPr>
              <w:spacing w:after="0" w:line="240" w:lineRule="auto"/>
              <w:rPr>
                <w:rFonts w:ascii="Cambria" w:eastAsia="Times New Roman" w:hAnsi="Cambria" w:cs="Arial"/>
              </w:rPr>
            </w:pPr>
            <w:r w:rsidRPr="00AF1E1D">
              <w:rPr>
                <w:rFonts w:ascii="Cambria" w:eastAsia="Verdana" w:hAnsi="Cambria" w:cs="Verdana"/>
                <w:kern w:val="24"/>
              </w:rPr>
              <w:t>Otros Activos de Largo Plazo</w:t>
            </w:r>
          </w:p>
        </w:tc>
        <w:tc>
          <w:tcPr>
            <w:tcW w:w="5019" w:type="dxa"/>
            <w:tcBorders>
              <w:top w:val="single" w:sz="4" w:space="0" w:color="BBBCBC"/>
              <w:left w:val="single" w:sz="4" w:space="0" w:color="auto"/>
              <w:bottom w:val="single" w:sz="4" w:space="0" w:color="BBBCBC"/>
              <w:right w:val="single" w:sz="8" w:space="0" w:color="F2F2F2"/>
            </w:tcBorders>
            <w:shd w:val="clear" w:color="auto" w:fill="auto"/>
            <w:tcMar>
              <w:top w:w="66" w:type="dxa"/>
              <w:left w:w="133" w:type="dxa"/>
              <w:bottom w:w="66" w:type="dxa"/>
              <w:right w:w="133" w:type="dxa"/>
            </w:tcMar>
            <w:vAlign w:val="center"/>
            <w:hideMark/>
          </w:tcPr>
          <w:p w14:paraId="70C78856" w14:textId="77777777" w:rsidR="008A1192" w:rsidRPr="00AF1E1D" w:rsidRDefault="008A1192" w:rsidP="00AF1E1D">
            <w:pPr>
              <w:spacing w:after="0" w:line="240" w:lineRule="auto"/>
              <w:jc w:val="center"/>
              <w:rPr>
                <w:rFonts w:ascii="Cambria" w:eastAsia="Times New Roman" w:hAnsi="Cambria" w:cs="Arial"/>
              </w:rPr>
            </w:pPr>
            <w:r w:rsidRPr="00AF1E1D">
              <w:rPr>
                <w:rFonts w:ascii="Cambria" w:eastAsia="Verdana" w:hAnsi="Cambria" w:cs="Verdana"/>
                <w:kern w:val="24"/>
              </w:rPr>
              <w:t>240</w:t>
            </w:r>
          </w:p>
        </w:tc>
      </w:tr>
      <w:tr w:rsidR="003B24C3" w:rsidRPr="00AF1E1D" w14:paraId="22048330" w14:textId="77777777" w:rsidTr="00AF1E1D">
        <w:trPr>
          <w:trHeight w:val="361"/>
        </w:trPr>
        <w:tc>
          <w:tcPr>
            <w:tcW w:w="0" w:type="auto"/>
            <w:tcBorders>
              <w:top w:val="single" w:sz="4" w:space="0" w:color="BBBCBC"/>
              <w:left w:val="single" w:sz="8" w:space="0" w:color="F2F2F2"/>
              <w:bottom w:val="single" w:sz="4" w:space="0" w:color="auto"/>
              <w:right w:val="single" w:sz="4" w:space="0" w:color="auto"/>
            </w:tcBorders>
            <w:shd w:val="clear" w:color="auto" w:fill="auto"/>
            <w:tcMar>
              <w:top w:w="66" w:type="dxa"/>
              <w:left w:w="133" w:type="dxa"/>
              <w:bottom w:w="66" w:type="dxa"/>
              <w:right w:w="133" w:type="dxa"/>
            </w:tcMar>
            <w:vAlign w:val="center"/>
            <w:hideMark/>
          </w:tcPr>
          <w:p w14:paraId="1E4F1157" w14:textId="77777777" w:rsidR="008A1192" w:rsidRPr="00AF1E1D" w:rsidRDefault="008A1192" w:rsidP="00431183">
            <w:pPr>
              <w:spacing w:after="0" w:line="240" w:lineRule="auto"/>
              <w:rPr>
                <w:rFonts w:ascii="Cambria" w:eastAsia="Times New Roman" w:hAnsi="Cambria" w:cs="Arial"/>
                <w:b/>
              </w:rPr>
            </w:pPr>
            <w:r w:rsidRPr="00AF1E1D">
              <w:rPr>
                <w:rFonts w:ascii="Cambria" w:eastAsia="Verdana" w:hAnsi="Cambria" w:cs="Verdana"/>
                <w:b/>
                <w:bCs/>
                <w:kern w:val="24"/>
              </w:rPr>
              <w:t>Total</w:t>
            </w:r>
          </w:p>
        </w:tc>
        <w:tc>
          <w:tcPr>
            <w:tcW w:w="5019" w:type="dxa"/>
            <w:tcBorders>
              <w:top w:val="single" w:sz="4" w:space="0" w:color="BBBCBC"/>
              <w:left w:val="single" w:sz="4" w:space="0" w:color="auto"/>
              <w:bottom w:val="single" w:sz="4" w:space="0" w:color="auto"/>
              <w:right w:val="single" w:sz="8" w:space="0" w:color="F2F2F2"/>
            </w:tcBorders>
            <w:shd w:val="clear" w:color="auto" w:fill="auto"/>
            <w:tcMar>
              <w:top w:w="66" w:type="dxa"/>
              <w:left w:w="133" w:type="dxa"/>
              <w:bottom w:w="66" w:type="dxa"/>
              <w:right w:w="133" w:type="dxa"/>
            </w:tcMar>
            <w:vAlign w:val="center"/>
            <w:hideMark/>
          </w:tcPr>
          <w:p w14:paraId="5A58F6E5" w14:textId="77777777" w:rsidR="008A1192" w:rsidRPr="00AF1E1D" w:rsidRDefault="008A1192" w:rsidP="00AF1E1D">
            <w:pPr>
              <w:spacing w:after="0" w:line="240" w:lineRule="auto"/>
              <w:jc w:val="center"/>
              <w:rPr>
                <w:rFonts w:ascii="Cambria" w:eastAsia="Times New Roman" w:hAnsi="Cambria" w:cs="Arial"/>
                <w:b/>
              </w:rPr>
            </w:pPr>
            <w:r w:rsidRPr="00AF1E1D">
              <w:rPr>
                <w:rFonts w:ascii="Cambria" w:eastAsia="Verdana" w:hAnsi="Cambria" w:cs="Verdana"/>
                <w:b/>
                <w:bCs/>
                <w:kern w:val="24"/>
              </w:rPr>
              <w:t>13,669</w:t>
            </w:r>
          </w:p>
        </w:tc>
      </w:tr>
    </w:tbl>
    <w:p w14:paraId="200BA6C2" w14:textId="77777777" w:rsidR="007C24B8" w:rsidRDefault="007C24B8" w:rsidP="00431183">
      <w:pPr>
        <w:spacing w:line="240" w:lineRule="auto"/>
        <w:rPr>
          <w:rFonts w:ascii="Cambria" w:hAnsi="Cambria" w:cs="Arial"/>
          <w:sz w:val="18"/>
          <w:szCs w:val="18"/>
        </w:rPr>
      </w:pPr>
    </w:p>
    <w:p w14:paraId="222993AB" w14:textId="622E7D13" w:rsidR="005656D7" w:rsidRPr="00431183" w:rsidRDefault="008A1192" w:rsidP="00431183">
      <w:pPr>
        <w:spacing w:line="240" w:lineRule="auto"/>
        <w:rPr>
          <w:rFonts w:ascii="Cambria" w:hAnsi="Cambria" w:cs="Arial"/>
          <w:b/>
          <w:sz w:val="24"/>
          <w:szCs w:val="24"/>
        </w:rPr>
      </w:pPr>
      <w:r w:rsidRPr="00431183">
        <w:rPr>
          <w:rFonts w:ascii="Cambria" w:hAnsi="Cambria" w:cs="Arial"/>
          <w:sz w:val="18"/>
          <w:szCs w:val="18"/>
        </w:rPr>
        <w:t>Fuente: Elaboración propia</w:t>
      </w:r>
      <w:r w:rsidR="00F74154" w:rsidRPr="00431183">
        <w:rPr>
          <w:rFonts w:ascii="Cambria" w:hAnsi="Cambria" w:cs="Arial"/>
          <w:sz w:val="18"/>
          <w:szCs w:val="18"/>
        </w:rPr>
        <w:t xml:space="preserve"> con datos </w:t>
      </w:r>
      <w:r w:rsidR="007C24B8">
        <w:rPr>
          <w:rFonts w:ascii="Cambria" w:hAnsi="Cambria" w:cs="Arial"/>
          <w:sz w:val="18"/>
          <w:szCs w:val="18"/>
        </w:rPr>
        <w:t>suministrados por los</w:t>
      </w:r>
      <w:r w:rsidR="00F74154" w:rsidRPr="00431183">
        <w:rPr>
          <w:rFonts w:ascii="Cambria" w:hAnsi="Cambria" w:cs="Arial"/>
          <w:sz w:val="18"/>
          <w:szCs w:val="18"/>
        </w:rPr>
        <w:t xml:space="preserve"> productores de</w:t>
      </w:r>
      <w:r w:rsidR="007C24B8">
        <w:rPr>
          <w:rFonts w:ascii="Cambria" w:hAnsi="Cambria" w:cs="Arial"/>
          <w:sz w:val="18"/>
          <w:szCs w:val="18"/>
        </w:rPr>
        <w:t xml:space="preserve"> la muestra seleccionada de</w:t>
      </w:r>
      <w:r w:rsidR="00F74154" w:rsidRPr="00431183">
        <w:rPr>
          <w:rFonts w:ascii="Cambria" w:hAnsi="Cambria" w:cs="Arial"/>
          <w:sz w:val="18"/>
          <w:szCs w:val="18"/>
        </w:rPr>
        <w:t xml:space="preserve"> la Zona de los Santo</w:t>
      </w:r>
      <w:r w:rsidR="007C24B8">
        <w:rPr>
          <w:rFonts w:ascii="Cambria" w:hAnsi="Cambria" w:cs="Arial"/>
          <w:sz w:val="18"/>
          <w:szCs w:val="18"/>
        </w:rPr>
        <w:t>s, 2018</w:t>
      </w:r>
    </w:p>
    <w:p w14:paraId="5BA9B8F0" w14:textId="2C811F91" w:rsidR="00E635C3" w:rsidRDefault="00E635C3" w:rsidP="00431183">
      <w:pPr>
        <w:spacing w:line="240" w:lineRule="auto"/>
        <w:rPr>
          <w:rFonts w:ascii="Cambria" w:hAnsi="Cambria" w:cs="Arial"/>
          <w:b/>
          <w:sz w:val="24"/>
          <w:szCs w:val="24"/>
        </w:rPr>
      </w:pPr>
      <w:r w:rsidRPr="00E635C3">
        <w:rPr>
          <w:rFonts w:ascii="Cambria" w:hAnsi="Cambria" w:cs="Arial"/>
          <w:sz w:val="24"/>
          <w:szCs w:val="24"/>
        </w:rPr>
        <w:t xml:space="preserve">De acuerdo a lo anterior el </w:t>
      </w:r>
      <w:r w:rsidRPr="00E635C3">
        <w:t>Valor</w:t>
      </w:r>
      <w:r w:rsidRPr="00E635C3">
        <w:rPr>
          <w:rFonts w:ascii="Cambria" w:hAnsi="Cambria" w:cs="Arial"/>
          <w:sz w:val="24"/>
          <w:szCs w:val="24"/>
        </w:rPr>
        <w:t xml:space="preserve"> Asignado a Activos Intangibles de la denominación de Origen del café de Tarrazú se estima en</w:t>
      </w:r>
      <w:r>
        <w:rPr>
          <w:rFonts w:ascii="Cambria" w:hAnsi="Cambria" w:cs="Arial"/>
          <w:sz w:val="24"/>
          <w:szCs w:val="24"/>
        </w:rPr>
        <w:t xml:space="preserve"> USD13,669</w:t>
      </w:r>
      <w:r w:rsidRPr="00E635C3">
        <w:rPr>
          <w:rFonts w:ascii="Cambria" w:hAnsi="Cambria" w:cs="Arial"/>
          <w:sz w:val="24"/>
          <w:szCs w:val="24"/>
        </w:rPr>
        <w:t xml:space="preserve"> miles de dólares</w:t>
      </w:r>
      <w:r>
        <w:rPr>
          <w:rFonts w:ascii="Cambria" w:hAnsi="Cambria" w:cs="Arial"/>
          <w:sz w:val="24"/>
          <w:szCs w:val="24"/>
        </w:rPr>
        <w:t>.</w:t>
      </w:r>
    </w:p>
    <w:p w14:paraId="6DA6F613" w14:textId="77777777" w:rsidR="007C24B8" w:rsidRDefault="007C24B8" w:rsidP="00431183">
      <w:pPr>
        <w:spacing w:line="240" w:lineRule="auto"/>
        <w:rPr>
          <w:rFonts w:ascii="Cambria" w:hAnsi="Cambria" w:cs="Arial"/>
          <w:b/>
          <w:sz w:val="24"/>
          <w:szCs w:val="24"/>
        </w:rPr>
      </w:pPr>
    </w:p>
    <w:p w14:paraId="2D0917CD" w14:textId="77777777" w:rsidR="007C24B8" w:rsidRDefault="007C24B8" w:rsidP="00431183">
      <w:pPr>
        <w:spacing w:line="240" w:lineRule="auto"/>
        <w:rPr>
          <w:rFonts w:ascii="Cambria" w:hAnsi="Cambria" w:cs="Arial"/>
          <w:b/>
          <w:sz w:val="24"/>
          <w:szCs w:val="24"/>
        </w:rPr>
      </w:pPr>
    </w:p>
    <w:p w14:paraId="2858BA0B" w14:textId="77777777" w:rsidR="007C24B8" w:rsidRDefault="007C24B8" w:rsidP="00431183">
      <w:pPr>
        <w:spacing w:line="240" w:lineRule="auto"/>
        <w:rPr>
          <w:rFonts w:ascii="Cambria" w:hAnsi="Cambria" w:cs="Arial"/>
          <w:b/>
          <w:sz w:val="24"/>
          <w:szCs w:val="24"/>
        </w:rPr>
      </w:pPr>
    </w:p>
    <w:p w14:paraId="09FC7F4A" w14:textId="77777777" w:rsidR="007C24B8" w:rsidRDefault="007C24B8" w:rsidP="00431183">
      <w:pPr>
        <w:spacing w:line="240" w:lineRule="auto"/>
        <w:rPr>
          <w:rFonts w:ascii="Cambria" w:hAnsi="Cambria" w:cs="Arial"/>
          <w:b/>
          <w:sz w:val="24"/>
          <w:szCs w:val="24"/>
        </w:rPr>
      </w:pPr>
    </w:p>
    <w:p w14:paraId="7EB79D54" w14:textId="77777777" w:rsidR="007C24B8" w:rsidRDefault="007C24B8" w:rsidP="00431183">
      <w:pPr>
        <w:spacing w:line="240" w:lineRule="auto"/>
        <w:rPr>
          <w:rFonts w:ascii="Cambria" w:hAnsi="Cambria" w:cs="Arial"/>
          <w:b/>
          <w:sz w:val="24"/>
          <w:szCs w:val="24"/>
        </w:rPr>
      </w:pPr>
    </w:p>
    <w:p w14:paraId="7043E228" w14:textId="77777777" w:rsidR="007C24B8" w:rsidRDefault="007C24B8" w:rsidP="00431183">
      <w:pPr>
        <w:spacing w:line="240" w:lineRule="auto"/>
        <w:rPr>
          <w:rFonts w:ascii="Cambria" w:hAnsi="Cambria" w:cs="Arial"/>
          <w:b/>
          <w:sz w:val="24"/>
          <w:szCs w:val="24"/>
        </w:rPr>
      </w:pPr>
    </w:p>
    <w:p w14:paraId="21F2AC9A" w14:textId="77777777" w:rsidR="007C24B8" w:rsidRDefault="007C24B8" w:rsidP="00431183">
      <w:pPr>
        <w:spacing w:line="240" w:lineRule="auto"/>
        <w:rPr>
          <w:rFonts w:ascii="Cambria" w:hAnsi="Cambria" w:cs="Arial"/>
          <w:b/>
          <w:sz w:val="24"/>
          <w:szCs w:val="24"/>
        </w:rPr>
      </w:pPr>
    </w:p>
    <w:p w14:paraId="6FB4A3A8" w14:textId="77777777" w:rsidR="007C24B8" w:rsidRDefault="007C24B8" w:rsidP="00431183">
      <w:pPr>
        <w:spacing w:line="240" w:lineRule="auto"/>
        <w:rPr>
          <w:rFonts w:ascii="Cambria" w:hAnsi="Cambria" w:cs="Arial"/>
          <w:b/>
          <w:sz w:val="24"/>
          <w:szCs w:val="24"/>
        </w:rPr>
      </w:pPr>
    </w:p>
    <w:p w14:paraId="630D81CD" w14:textId="622F8A8F" w:rsidR="007C24B8" w:rsidRDefault="007C24B8" w:rsidP="00431183">
      <w:pPr>
        <w:spacing w:line="240" w:lineRule="auto"/>
        <w:rPr>
          <w:rFonts w:ascii="Cambria" w:hAnsi="Cambria" w:cs="Arial"/>
          <w:b/>
          <w:sz w:val="24"/>
          <w:szCs w:val="24"/>
        </w:rPr>
      </w:pPr>
    </w:p>
    <w:p w14:paraId="54E37267" w14:textId="77777777" w:rsidR="006A0328" w:rsidRDefault="006A0328" w:rsidP="00431183">
      <w:pPr>
        <w:spacing w:line="240" w:lineRule="auto"/>
        <w:rPr>
          <w:rFonts w:ascii="Cambria" w:hAnsi="Cambria" w:cs="Arial"/>
          <w:b/>
          <w:sz w:val="24"/>
          <w:szCs w:val="24"/>
        </w:rPr>
      </w:pPr>
    </w:p>
    <w:p w14:paraId="1928C773" w14:textId="4AD4DC20" w:rsidR="008A1192" w:rsidRPr="00431183" w:rsidRDefault="008A1192" w:rsidP="00431183">
      <w:pPr>
        <w:spacing w:line="240" w:lineRule="auto"/>
        <w:rPr>
          <w:rFonts w:ascii="Cambria" w:hAnsi="Cambria" w:cs="Arial"/>
          <w:b/>
          <w:sz w:val="24"/>
          <w:szCs w:val="24"/>
        </w:rPr>
      </w:pPr>
      <w:r w:rsidRPr="00431183">
        <w:rPr>
          <w:rFonts w:ascii="Cambria" w:hAnsi="Cambria" w:cs="Arial"/>
          <w:b/>
          <w:sz w:val="24"/>
          <w:szCs w:val="24"/>
        </w:rPr>
        <w:lastRenderedPageBreak/>
        <w:t>Valoración Compañía</w:t>
      </w:r>
      <w:r w:rsidR="00F74154" w:rsidRPr="00431183">
        <w:rPr>
          <w:rFonts w:ascii="Cambria" w:hAnsi="Cambria" w:cs="Arial"/>
          <w:b/>
          <w:sz w:val="24"/>
          <w:szCs w:val="24"/>
        </w:rPr>
        <w:t>: Global</w:t>
      </w:r>
    </w:p>
    <w:p w14:paraId="4C784EB5" w14:textId="1A119C68" w:rsidR="008A1192" w:rsidRDefault="008A1192" w:rsidP="00431183">
      <w:pPr>
        <w:spacing w:line="240" w:lineRule="auto"/>
        <w:rPr>
          <w:rFonts w:ascii="Cambria" w:hAnsi="Cambria" w:cs="Arial"/>
          <w:sz w:val="24"/>
          <w:szCs w:val="24"/>
        </w:rPr>
      </w:pPr>
      <w:r w:rsidRPr="00431183">
        <w:rPr>
          <w:rFonts w:ascii="Cambria" w:hAnsi="Cambria" w:cs="Arial"/>
          <w:sz w:val="24"/>
          <w:szCs w:val="24"/>
        </w:rPr>
        <w:t xml:space="preserve">La valoración de los Estados Financieros Consolidados de los entes que Integran la Denominación de Origen del café de Tarrazú es de </w:t>
      </w:r>
      <w:r w:rsidR="00E635C3">
        <w:rPr>
          <w:rFonts w:ascii="Cambria" w:hAnsi="Cambria" w:cs="Arial"/>
          <w:sz w:val="24"/>
          <w:szCs w:val="24"/>
        </w:rPr>
        <w:t>USD</w:t>
      </w:r>
      <w:r w:rsidRPr="00431183">
        <w:rPr>
          <w:rFonts w:ascii="Cambria" w:hAnsi="Cambria" w:cs="Arial"/>
          <w:sz w:val="24"/>
          <w:szCs w:val="24"/>
        </w:rPr>
        <w:t xml:space="preserve">73,404 </w:t>
      </w:r>
      <w:r w:rsidR="00E635C3">
        <w:rPr>
          <w:rFonts w:ascii="Cambria" w:hAnsi="Cambria" w:cs="Arial"/>
          <w:sz w:val="24"/>
          <w:szCs w:val="24"/>
        </w:rPr>
        <w:t>miles de dólares</w:t>
      </w:r>
      <w:r w:rsidRPr="00431183">
        <w:rPr>
          <w:rFonts w:ascii="Cambria" w:hAnsi="Cambria" w:cs="Arial"/>
          <w:sz w:val="24"/>
          <w:szCs w:val="24"/>
        </w:rPr>
        <w:t>.</w:t>
      </w:r>
    </w:p>
    <w:p w14:paraId="629C8ACF" w14:textId="43101E48" w:rsidR="000257F9" w:rsidRPr="00AF1E1D" w:rsidRDefault="006A0328" w:rsidP="00AF1E1D">
      <w:pPr>
        <w:pStyle w:val="Descripcin"/>
        <w:rPr>
          <w:rFonts w:ascii="Cambria" w:hAnsi="Cambria"/>
          <w:b/>
          <w:i w:val="0"/>
          <w:color w:val="auto"/>
          <w:sz w:val="22"/>
          <w:szCs w:val="22"/>
        </w:rPr>
      </w:pPr>
      <w:bookmarkStart w:id="111" w:name="_Toc527576369"/>
      <w:r w:rsidRPr="00AF1E1D">
        <w:rPr>
          <w:rFonts w:ascii="Cambria" w:hAnsi="Cambria"/>
          <w:b/>
          <w:i w:val="0"/>
          <w:color w:val="auto"/>
          <w:sz w:val="22"/>
          <w:szCs w:val="22"/>
        </w:rPr>
        <w:t xml:space="preserve">Tabla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Pr="00AF1E1D">
        <w:rPr>
          <w:rFonts w:ascii="Cambria" w:hAnsi="Cambria"/>
          <w:b/>
          <w:i w:val="0"/>
          <w:noProof/>
          <w:color w:val="auto"/>
          <w:sz w:val="22"/>
          <w:szCs w:val="22"/>
        </w:rPr>
        <w:t>11</w:t>
      </w:r>
      <w:bookmarkEnd w:id="111"/>
      <w:r w:rsidRPr="00AF1E1D">
        <w:rPr>
          <w:rFonts w:ascii="Cambria" w:hAnsi="Cambria"/>
          <w:b/>
          <w:i w:val="0"/>
          <w:color w:val="auto"/>
          <w:sz w:val="22"/>
          <w:szCs w:val="22"/>
        </w:rPr>
        <w:fldChar w:fldCharType="end"/>
      </w:r>
      <w:r w:rsidR="000257F9" w:rsidRPr="00AF1E1D">
        <w:rPr>
          <w:rFonts w:ascii="Cambria" w:hAnsi="Cambria"/>
          <w:b/>
          <w:i w:val="0"/>
          <w:color w:val="auto"/>
          <w:sz w:val="22"/>
          <w:szCs w:val="22"/>
        </w:rPr>
        <w:t xml:space="preserve"> </w:t>
      </w:r>
    </w:p>
    <w:p w14:paraId="78E3DA7B" w14:textId="7CEA2BC5" w:rsidR="000257F9" w:rsidRPr="00AF1E1D" w:rsidRDefault="000257F9" w:rsidP="00AF1E1D">
      <w:pPr>
        <w:pStyle w:val="Descripcin"/>
        <w:rPr>
          <w:rFonts w:cs="Arial"/>
          <w:sz w:val="24"/>
          <w:szCs w:val="24"/>
        </w:rPr>
      </w:pPr>
      <w:r w:rsidRPr="00AF1E1D">
        <w:rPr>
          <w:rFonts w:ascii="Cambria" w:hAnsi="Cambria" w:cs="Arial"/>
          <w:b/>
          <w:i w:val="0"/>
          <w:color w:val="auto"/>
          <w:sz w:val="22"/>
          <w:szCs w:val="22"/>
        </w:rPr>
        <w:t>Valoración General de la Denominación de Origen Tarrazú</w:t>
      </w:r>
      <w:r w:rsidRPr="00431183">
        <w:rPr>
          <w:noProof/>
          <w:lang w:eastAsia="es-CR"/>
        </w:rPr>
        <w:drawing>
          <wp:anchor distT="0" distB="0" distL="114300" distR="114300" simplePos="0" relativeHeight="251662336" behindDoc="0" locked="0" layoutInCell="1" allowOverlap="1" wp14:anchorId="131CE3D8" wp14:editId="1C3241D2">
            <wp:simplePos x="0" y="0"/>
            <wp:positionH relativeFrom="column">
              <wp:posOffset>-669502</wp:posOffset>
            </wp:positionH>
            <wp:positionV relativeFrom="paragraph">
              <wp:posOffset>295063</wp:posOffset>
            </wp:positionV>
            <wp:extent cx="7218045" cy="3363595"/>
            <wp:effectExtent l="0" t="0" r="1905" b="8255"/>
            <wp:wrapTopAndBottom/>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7218045" cy="3363595"/>
                    </a:xfrm>
                    <a:prstGeom prst="rect">
                      <a:avLst/>
                    </a:prstGeom>
                    <a:noFill/>
                    <a:ln>
                      <a:noFill/>
                    </a:ln>
                  </pic:spPr>
                </pic:pic>
              </a:graphicData>
            </a:graphic>
          </wp:anchor>
        </w:drawing>
      </w:r>
    </w:p>
    <w:p w14:paraId="3E705DFB" w14:textId="3E9E2D29" w:rsidR="008A1192" w:rsidRPr="00431183" w:rsidRDefault="005E63D4" w:rsidP="00431183">
      <w:pPr>
        <w:spacing w:line="240" w:lineRule="auto"/>
        <w:jc w:val="both"/>
        <w:rPr>
          <w:rFonts w:ascii="Cambria" w:hAnsi="Cambria" w:cs="Arial"/>
          <w:sz w:val="24"/>
          <w:szCs w:val="24"/>
        </w:rPr>
      </w:pPr>
      <w:r w:rsidRPr="00431183">
        <w:rPr>
          <w:rFonts w:ascii="Cambria" w:hAnsi="Cambria" w:cs="Arial"/>
          <w:sz w:val="18"/>
          <w:szCs w:val="18"/>
        </w:rPr>
        <w:t>Fuente: Elaboración propia con datos de los productores de la Zona de los Santos y datos suministrados por el comité de Denominación de Origen</w:t>
      </w:r>
      <w:r w:rsidR="001D2CD9">
        <w:rPr>
          <w:rFonts w:ascii="Cambria" w:hAnsi="Cambria" w:cs="Arial"/>
          <w:sz w:val="18"/>
          <w:szCs w:val="18"/>
        </w:rPr>
        <w:t xml:space="preserve"> para el año</w:t>
      </w:r>
      <w:r w:rsidRPr="00431183">
        <w:rPr>
          <w:rFonts w:ascii="Cambria" w:hAnsi="Cambria" w:cs="Arial"/>
          <w:sz w:val="18"/>
          <w:szCs w:val="18"/>
        </w:rPr>
        <w:t xml:space="preserve"> 2016</w:t>
      </w:r>
      <w:r w:rsidRPr="00431183">
        <w:rPr>
          <w:rFonts w:ascii="Cambria" w:hAnsi="Cambria" w:cs="Arial"/>
          <w:sz w:val="24"/>
          <w:szCs w:val="24"/>
        </w:rPr>
        <w:t>.</w:t>
      </w:r>
    </w:p>
    <w:p w14:paraId="77D2330F" w14:textId="77777777" w:rsidR="008A1192" w:rsidRPr="00431183" w:rsidRDefault="002B6B7F" w:rsidP="00431183">
      <w:pPr>
        <w:spacing w:line="240" w:lineRule="auto"/>
        <w:ind w:firstLine="708"/>
        <w:jc w:val="both"/>
        <w:rPr>
          <w:rFonts w:ascii="Cambria" w:hAnsi="Cambria" w:cs="Arial"/>
          <w:sz w:val="24"/>
          <w:szCs w:val="24"/>
        </w:rPr>
      </w:pPr>
      <w:r w:rsidRPr="00431183">
        <w:rPr>
          <w:rFonts w:ascii="Cambria" w:hAnsi="Cambria" w:cs="Arial"/>
          <w:sz w:val="24"/>
          <w:szCs w:val="24"/>
        </w:rPr>
        <w:t>Según la NIC 38,</w:t>
      </w:r>
      <w:r w:rsidR="008A1192" w:rsidRPr="00431183">
        <w:rPr>
          <w:rFonts w:ascii="Cambria" w:hAnsi="Cambria" w:cs="Arial"/>
          <w:sz w:val="24"/>
          <w:szCs w:val="24"/>
        </w:rPr>
        <w:t xml:space="preserve"> “el reconocimiento de una partida como activo intangible exige, para la entidad, demostrar que el elemento en cuestión cumple la definición de activo intangible y los criterios para su reconocimiento”.</w:t>
      </w:r>
    </w:p>
    <w:p w14:paraId="55FDAE39" w14:textId="77777777" w:rsidR="008A1192" w:rsidRPr="00431183" w:rsidRDefault="008A1192" w:rsidP="00431183">
      <w:pPr>
        <w:spacing w:line="240" w:lineRule="auto"/>
        <w:jc w:val="both"/>
        <w:rPr>
          <w:rFonts w:ascii="Cambria" w:hAnsi="Cambria" w:cs="Arial"/>
          <w:b/>
          <w:sz w:val="24"/>
          <w:szCs w:val="24"/>
        </w:rPr>
      </w:pPr>
      <w:r w:rsidRPr="00431183">
        <w:rPr>
          <w:rFonts w:ascii="Cambria" w:hAnsi="Cambria" w:cs="Arial"/>
          <w:b/>
          <w:sz w:val="24"/>
          <w:szCs w:val="24"/>
        </w:rPr>
        <w:t>Criterio para determinar un Activo Intangible</w:t>
      </w:r>
    </w:p>
    <w:p w14:paraId="0011B094"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Los Activos Intangibles fueron identificados utilizando los criterios de la NIIF 3 (Combinación de Negocios), basándose en la definición y criterios de reconocimiento descritos en la NIC 38. La NIIF 3 defina un Activo Intangible como activo identificable, de carácter no monetario y sin sustancia física. </w:t>
      </w:r>
    </w:p>
    <w:p w14:paraId="41AFD882"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 xml:space="preserve">La norma NIC 38 indica que un Activo Intangible es identificable si se cumplen dos aspectos: </w:t>
      </w:r>
    </w:p>
    <w:p w14:paraId="1211DCA8"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Es “separable, es decir, es susceptible de ser separado o escindido de la entidad y vendido, transferido, dado en explotación, arrendado o intercambiado, ya sea individualmente o junto con un contrato, activo identificable o pasivo con los que guarde relación, independientemente de que la entidad tenga la intención de llevar a cabo la separación”.</w:t>
      </w:r>
    </w:p>
    <w:p w14:paraId="524AC996"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lastRenderedPageBreak/>
        <w:t>“Surge de derechos contractuales o de otros derechos de tipo legal, con independencia de que sus derechos sean transferibles o separables de la entidad o de otros derechos y obligaciones”.</w:t>
      </w:r>
    </w:p>
    <w:p w14:paraId="1A244DF2"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La NIC 38 (en el párrafo 9) menciona algunos recursos intangibles tales como los siguientes:</w:t>
      </w:r>
    </w:p>
    <w:p w14:paraId="7DCEF734"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El conocimiento tecnológico, diseño e implementación de nuevos procesos o sistemas, licencias o concesiones, propiedad intelectual, conocimientos comerciales o marcas, programas informáticos, patentes, derechos de autor,</w:t>
      </w:r>
      <w:r w:rsidR="002A3F2D">
        <w:rPr>
          <w:rFonts w:ascii="Cambria" w:hAnsi="Cambria" w:cs="Arial"/>
          <w:sz w:val="24"/>
          <w:szCs w:val="24"/>
        </w:rPr>
        <w:t xml:space="preserve"> </w:t>
      </w:r>
      <w:r w:rsidRPr="00431183">
        <w:rPr>
          <w:rFonts w:ascii="Cambria" w:hAnsi="Cambria" w:cs="Arial"/>
          <w:sz w:val="24"/>
          <w:szCs w:val="24"/>
        </w:rPr>
        <w:t>listas de clientes, derechos por servicios hipotecarios, franquicias, relaciones comerciales con clientes o proveedores, lealtad de los clientes, entre otros.</w:t>
      </w:r>
    </w:p>
    <w:p w14:paraId="07EE923C" w14:textId="55C71802" w:rsidR="008A1192" w:rsidRPr="002A3F2D" w:rsidRDefault="00F77929" w:rsidP="00AF1E1D">
      <w:pPr>
        <w:spacing w:line="240" w:lineRule="auto"/>
        <w:ind w:firstLine="708"/>
        <w:jc w:val="both"/>
        <w:rPr>
          <w:rFonts w:ascii="Cambria" w:hAnsi="Cambria" w:cs="Arial"/>
          <w:color w:val="000000" w:themeColor="text1"/>
          <w:sz w:val="24"/>
          <w:szCs w:val="24"/>
        </w:rPr>
      </w:pPr>
      <w:r w:rsidRPr="00431183">
        <w:rPr>
          <w:rFonts w:ascii="Cambria" w:hAnsi="Cambria" w:cs="Arial"/>
          <w:sz w:val="24"/>
          <w:szCs w:val="24"/>
        </w:rPr>
        <w:t>El WARA</w:t>
      </w:r>
      <w:r>
        <w:rPr>
          <w:rFonts w:ascii="Cambria" w:hAnsi="Cambria" w:cs="Arial"/>
          <w:sz w:val="24"/>
          <w:szCs w:val="24"/>
        </w:rPr>
        <w:t xml:space="preserve"> (en inglés, </w:t>
      </w:r>
      <w:r>
        <w:t>Weighted Average Return on Assets</w:t>
      </w:r>
      <w:r>
        <w:rPr>
          <w:rFonts w:ascii="Cambria" w:hAnsi="Cambria" w:cs="Arial"/>
          <w:sz w:val="24"/>
          <w:szCs w:val="24"/>
        </w:rPr>
        <w:t>)</w:t>
      </w:r>
      <w:r w:rsidRPr="00431183">
        <w:rPr>
          <w:rFonts w:ascii="Cambria" w:hAnsi="Cambria" w:cs="Arial"/>
          <w:sz w:val="24"/>
          <w:szCs w:val="24"/>
        </w:rPr>
        <w:t xml:space="preserve"> se define como la suma de las distintas tasas de retorno requeridas por el capital de trabajo, activos fijos y activos intangibles ponderados por el valor proporcional de cada activo dentro del valor total de la empresa.</w:t>
      </w:r>
      <w:r>
        <w:rPr>
          <w:rFonts w:ascii="Cambria" w:hAnsi="Cambria" w:cs="Arial"/>
          <w:sz w:val="24"/>
          <w:szCs w:val="24"/>
        </w:rPr>
        <w:t xml:space="preserve"> </w:t>
      </w:r>
      <w:r w:rsidRPr="002A3F2D">
        <w:rPr>
          <w:rFonts w:ascii="Cambria" w:hAnsi="Cambria" w:cs="Arial"/>
          <w:sz w:val="24"/>
          <w:szCs w:val="24"/>
        </w:rPr>
        <w:t xml:space="preserve">Recordemos que </w:t>
      </w:r>
      <w:r w:rsidRPr="002A3F2D">
        <w:rPr>
          <w:rFonts w:ascii="Cambria" w:hAnsi="Cambria"/>
          <w:color w:val="333333"/>
          <w:sz w:val="24"/>
          <w:szCs w:val="24"/>
          <w:shd w:val="clear" w:color="auto" w:fill="FFFFFF"/>
        </w:rPr>
        <w:t>la </w:t>
      </w:r>
      <w:r w:rsidRPr="002A3F2D">
        <w:rPr>
          <w:rStyle w:val="Textoennegrita"/>
          <w:rFonts w:ascii="Cambria" w:hAnsi="Cambria"/>
          <w:color w:val="000000" w:themeColor="text1"/>
          <w:sz w:val="24"/>
          <w:szCs w:val="24"/>
          <w:shd w:val="clear" w:color="auto" w:fill="FFFFFF"/>
        </w:rPr>
        <w:t>Tasa Interna de Retorno</w:t>
      </w:r>
      <w:r w:rsidRPr="002A3F2D">
        <w:rPr>
          <w:rFonts w:ascii="Cambria" w:hAnsi="Cambria"/>
          <w:color w:val="000000" w:themeColor="text1"/>
          <w:sz w:val="24"/>
          <w:szCs w:val="24"/>
          <w:shd w:val="clear" w:color="auto" w:fill="FFFFFF"/>
        </w:rPr>
        <w:t xml:space="preserve"> es un indicador </w:t>
      </w:r>
      <w:r>
        <w:rPr>
          <w:rFonts w:ascii="Cambria" w:hAnsi="Cambria"/>
          <w:color w:val="000000" w:themeColor="text1"/>
          <w:sz w:val="24"/>
          <w:szCs w:val="24"/>
          <w:shd w:val="clear" w:color="auto" w:fill="FFFFFF"/>
        </w:rPr>
        <w:t>que muestra la</w:t>
      </w:r>
      <w:r w:rsidRPr="002A3F2D">
        <w:rPr>
          <w:rFonts w:ascii="Cambria" w:hAnsi="Cambria"/>
          <w:color w:val="000000" w:themeColor="text1"/>
          <w:sz w:val="24"/>
          <w:szCs w:val="24"/>
          <w:shd w:val="clear" w:color="auto" w:fill="FFFFFF"/>
        </w:rPr>
        <w:t xml:space="preserve"> rentabilidad de un proyecto</w:t>
      </w:r>
      <w:r>
        <w:rPr>
          <w:rFonts w:ascii="Cambria" w:hAnsi="Cambria"/>
          <w:color w:val="000000" w:themeColor="text1"/>
          <w:sz w:val="24"/>
          <w:szCs w:val="24"/>
          <w:shd w:val="clear" w:color="auto" w:fill="FFFFFF"/>
        </w:rPr>
        <w:t>; entendiendo que a</w:t>
      </w:r>
      <w:r w:rsidRPr="002A3F2D">
        <w:rPr>
          <w:rFonts w:ascii="Cambria" w:hAnsi="Cambria"/>
          <w:color w:val="000000" w:themeColor="text1"/>
          <w:sz w:val="24"/>
          <w:szCs w:val="24"/>
          <w:shd w:val="clear" w:color="auto" w:fill="FFFFFF"/>
        </w:rPr>
        <w:t xml:space="preserve"> </w:t>
      </w:r>
      <w:r w:rsidRPr="002A3F2D">
        <w:rPr>
          <w:rStyle w:val="Textoennegrita"/>
          <w:rFonts w:ascii="Cambria" w:hAnsi="Cambria"/>
          <w:color w:val="000000" w:themeColor="text1"/>
          <w:sz w:val="24"/>
          <w:szCs w:val="24"/>
          <w:shd w:val="clear" w:color="auto" w:fill="FFFFFF"/>
        </w:rPr>
        <w:t xml:space="preserve">mayor TIR, </w:t>
      </w:r>
      <w:r>
        <w:rPr>
          <w:rStyle w:val="Textoennegrita"/>
          <w:rFonts w:ascii="Cambria" w:hAnsi="Cambria"/>
          <w:color w:val="000000" w:themeColor="text1"/>
          <w:sz w:val="24"/>
          <w:szCs w:val="24"/>
          <w:shd w:val="clear" w:color="auto" w:fill="FFFFFF"/>
        </w:rPr>
        <w:t>en esa misma proporción irá su rentabilidad</w:t>
      </w:r>
      <w:r>
        <w:rPr>
          <w:rFonts w:ascii="Cambria" w:hAnsi="Cambria"/>
          <w:b/>
          <w:color w:val="000000" w:themeColor="text1"/>
          <w:sz w:val="24"/>
          <w:szCs w:val="24"/>
          <w:shd w:val="clear" w:color="auto" w:fill="FFFFFF"/>
        </w:rPr>
        <w:t xml:space="preserve">; </w:t>
      </w:r>
      <w:r w:rsidRPr="002A3F2D">
        <w:rPr>
          <w:rFonts w:ascii="Cambria" w:hAnsi="Cambria"/>
          <w:color w:val="000000" w:themeColor="text1"/>
          <w:sz w:val="24"/>
          <w:szCs w:val="24"/>
          <w:shd w:val="clear" w:color="auto" w:fill="FFFFFF"/>
        </w:rPr>
        <w:t>es</w:t>
      </w:r>
      <w:r>
        <w:rPr>
          <w:rFonts w:ascii="Cambria" w:hAnsi="Cambria"/>
          <w:b/>
          <w:color w:val="000000" w:themeColor="text1"/>
          <w:sz w:val="24"/>
          <w:szCs w:val="24"/>
          <w:shd w:val="clear" w:color="auto" w:fill="FFFFFF"/>
        </w:rPr>
        <w:t xml:space="preserve"> </w:t>
      </w:r>
      <w:r>
        <w:rPr>
          <w:rFonts w:ascii="Cambria" w:hAnsi="Cambria"/>
          <w:color w:val="000000" w:themeColor="text1"/>
          <w:sz w:val="24"/>
          <w:szCs w:val="24"/>
          <w:shd w:val="clear" w:color="auto" w:fill="FFFFFF"/>
        </w:rPr>
        <w:t>utilizado</w:t>
      </w:r>
      <w:r w:rsidRPr="002A3F2D">
        <w:rPr>
          <w:rFonts w:ascii="Cambria" w:hAnsi="Cambria"/>
          <w:color w:val="000000" w:themeColor="text1"/>
          <w:sz w:val="24"/>
          <w:szCs w:val="24"/>
          <w:shd w:val="clear" w:color="auto" w:fill="FFFFFF"/>
        </w:rPr>
        <w:t xml:space="preserve"> para decidir sobre la aceptación o rechazo de un </w:t>
      </w:r>
      <w:hyperlink r:id="rId25" w:tgtFrame="_blank" w:history="1">
        <w:r w:rsidRPr="002A3F2D">
          <w:rPr>
            <w:rStyle w:val="Textoennegrita"/>
            <w:rFonts w:ascii="Cambria" w:hAnsi="Cambria"/>
            <w:color w:val="000000" w:themeColor="text1"/>
            <w:sz w:val="24"/>
            <w:szCs w:val="24"/>
            <w:shd w:val="clear" w:color="auto" w:fill="FFFFFF"/>
          </w:rPr>
          <w:t>proyecto de inversión</w:t>
        </w:r>
      </w:hyperlink>
      <w:r w:rsidRPr="002A3F2D">
        <w:rPr>
          <w:rFonts w:ascii="Cambria" w:hAnsi="Cambria"/>
          <w:b/>
          <w:color w:val="000000" w:themeColor="text1"/>
          <w:sz w:val="24"/>
          <w:szCs w:val="24"/>
          <w:shd w:val="clear" w:color="auto" w:fill="FFFFFF"/>
        </w:rPr>
        <w:t>.</w:t>
      </w:r>
      <w:r>
        <w:rPr>
          <w:rFonts w:ascii="Cambria" w:hAnsi="Cambria"/>
          <w:b/>
          <w:color w:val="000000" w:themeColor="text1"/>
          <w:sz w:val="24"/>
          <w:szCs w:val="24"/>
          <w:shd w:val="clear" w:color="auto" w:fill="FFFFFF"/>
        </w:rPr>
        <w:t xml:space="preserve"> </w:t>
      </w:r>
      <w:r w:rsidRPr="002A3F2D">
        <w:rPr>
          <w:rFonts w:ascii="Cambria" w:hAnsi="Cambria"/>
          <w:color w:val="000000" w:themeColor="text1"/>
          <w:sz w:val="24"/>
          <w:szCs w:val="24"/>
          <w:shd w:val="clear" w:color="auto" w:fill="FFFFFF"/>
        </w:rPr>
        <w:t>En este caso el TIR es igual a la tasa de descuento por lo que el proyecto cuenta con la rentabilidad necesaria para ser aceptado.</w:t>
      </w:r>
    </w:p>
    <w:p w14:paraId="666CC383" w14:textId="77777777" w:rsidR="008A1192" w:rsidRPr="00431183" w:rsidRDefault="008A1192" w:rsidP="00431183">
      <w:pPr>
        <w:spacing w:line="240" w:lineRule="auto"/>
        <w:ind w:firstLine="708"/>
        <w:jc w:val="both"/>
        <w:rPr>
          <w:rFonts w:ascii="Cambria" w:hAnsi="Cambria" w:cs="Arial"/>
          <w:sz w:val="24"/>
          <w:szCs w:val="24"/>
        </w:rPr>
      </w:pPr>
      <w:r w:rsidRPr="00431183">
        <w:rPr>
          <w:rFonts w:ascii="Cambria" w:hAnsi="Cambria" w:cs="Arial"/>
          <w:sz w:val="24"/>
          <w:szCs w:val="24"/>
        </w:rPr>
        <w:t>Es así como el WARA</w:t>
      </w:r>
      <w:r w:rsidR="001D2CD9">
        <w:rPr>
          <w:rFonts w:ascii="Cambria" w:hAnsi="Cambria" w:cs="Arial"/>
          <w:sz w:val="24"/>
          <w:szCs w:val="24"/>
        </w:rPr>
        <w:t xml:space="preserve"> (en inglés, </w:t>
      </w:r>
      <w:r w:rsidR="001D2CD9">
        <w:t>Weighted Average Return on Assets</w:t>
      </w:r>
      <w:r w:rsidR="001D2CD9">
        <w:rPr>
          <w:rFonts w:ascii="Cambria" w:hAnsi="Cambria" w:cs="Arial"/>
          <w:sz w:val="24"/>
          <w:szCs w:val="24"/>
        </w:rPr>
        <w:t>)</w:t>
      </w:r>
      <w:r w:rsidRPr="00431183">
        <w:rPr>
          <w:rFonts w:ascii="Cambria" w:hAnsi="Cambria" w:cs="Arial"/>
          <w:sz w:val="24"/>
          <w:szCs w:val="24"/>
        </w:rPr>
        <w:t xml:space="preserve"> es la tasa que mejor representa la combinación de rendimientos requeridos para adquirir cada activo de la empresa. Tanto el WARA, como la tasa de descuento y el TIR implícito de la transacción deben estar conciliados (en este caso por el orden de 12.59%).</w:t>
      </w:r>
      <w:r w:rsidR="002A3F2D">
        <w:rPr>
          <w:rFonts w:ascii="Cambria" w:hAnsi="Cambria" w:cs="Arial"/>
          <w:sz w:val="24"/>
          <w:szCs w:val="24"/>
        </w:rPr>
        <w:t xml:space="preserve"> Como se muestra a continuación;</w:t>
      </w:r>
    </w:p>
    <w:p w14:paraId="763BE02E" w14:textId="77777777" w:rsidR="007A7C22" w:rsidRDefault="007A7C22" w:rsidP="00FC2D87">
      <w:pPr>
        <w:pStyle w:val="Descripcin"/>
        <w:keepNext/>
        <w:jc w:val="both"/>
        <w:rPr>
          <w:rFonts w:ascii="Cambria" w:hAnsi="Cambria" w:cs="Arial"/>
          <w:b/>
          <w:i w:val="0"/>
          <w:color w:val="auto"/>
          <w:sz w:val="22"/>
          <w:szCs w:val="22"/>
        </w:rPr>
      </w:pPr>
      <w:bookmarkStart w:id="112" w:name="_Toc519692070"/>
    </w:p>
    <w:p w14:paraId="0AD062EF" w14:textId="77777777" w:rsidR="007A7C22" w:rsidRDefault="007A7C22" w:rsidP="00FC2D87">
      <w:pPr>
        <w:pStyle w:val="Descripcin"/>
        <w:keepNext/>
        <w:jc w:val="both"/>
        <w:rPr>
          <w:rFonts w:ascii="Cambria" w:hAnsi="Cambria" w:cs="Arial"/>
          <w:b/>
          <w:i w:val="0"/>
          <w:color w:val="auto"/>
          <w:sz w:val="22"/>
          <w:szCs w:val="22"/>
        </w:rPr>
      </w:pPr>
    </w:p>
    <w:p w14:paraId="233042AE" w14:textId="77777777" w:rsidR="007A7C22" w:rsidRDefault="007A7C22" w:rsidP="00FC2D87">
      <w:pPr>
        <w:pStyle w:val="Descripcin"/>
        <w:keepNext/>
        <w:jc w:val="both"/>
        <w:rPr>
          <w:rFonts w:ascii="Cambria" w:hAnsi="Cambria" w:cs="Arial"/>
          <w:b/>
          <w:i w:val="0"/>
          <w:color w:val="auto"/>
          <w:sz w:val="22"/>
          <w:szCs w:val="22"/>
        </w:rPr>
      </w:pPr>
    </w:p>
    <w:p w14:paraId="3E243939" w14:textId="77777777" w:rsidR="007A7C22" w:rsidRDefault="007A7C22" w:rsidP="00FC2D87">
      <w:pPr>
        <w:pStyle w:val="Descripcin"/>
        <w:keepNext/>
        <w:jc w:val="both"/>
        <w:rPr>
          <w:rFonts w:ascii="Cambria" w:hAnsi="Cambria" w:cs="Arial"/>
          <w:b/>
          <w:i w:val="0"/>
          <w:color w:val="auto"/>
          <w:sz w:val="22"/>
          <w:szCs w:val="22"/>
        </w:rPr>
      </w:pPr>
    </w:p>
    <w:p w14:paraId="2F251772" w14:textId="77777777" w:rsidR="007A7C22" w:rsidRDefault="007A7C22" w:rsidP="00FC2D87">
      <w:pPr>
        <w:pStyle w:val="Descripcin"/>
        <w:keepNext/>
        <w:jc w:val="both"/>
        <w:rPr>
          <w:rFonts w:ascii="Cambria" w:hAnsi="Cambria" w:cs="Arial"/>
          <w:b/>
          <w:i w:val="0"/>
          <w:color w:val="auto"/>
          <w:sz w:val="22"/>
          <w:szCs w:val="22"/>
        </w:rPr>
      </w:pPr>
    </w:p>
    <w:p w14:paraId="0DBE2F7D" w14:textId="54309631" w:rsidR="007A7C22" w:rsidRDefault="007A7C22" w:rsidP="00FC2D87">
      <w:pPr>
        <w:pStyle w:val="Descripcin"/>
        <w:keepNext/>
        <w:jc w:val="both"/>
        <w:rPr>
          <w:rFonts w:ascii="Cambria" w:hAnsi="Cambria" w:cs="Arial"/>
          <w:b/>
          <w:i w:val="0"/>
          <w:color w:val="auto"/>
          <w:sz w:val="22"/>
          <w:szCs w:val="22"/>
        </w:rPr>
      </w:pPr>
    </w:p>
    <w:p w14:paraId="66FEB016" w14:textId="53B63779" w:rsidR="007A7C22" w:rsidRDefault="007A7C22" w:rsidP="007A7C22"/>
    <w:p w14:paraId="107B03FD" w14:textId="5A54AB05" w:rsidR="007A7C22" w:rsidRDefault="007A7C22" w:rsidP="007A7C22"/>
    <w:p w14:paraId="7D31BBCD" w14:textId="77777777" w:rsidR="007A7C22" w:rsidRPr="00AF1E1D" w:rsidRDefault="007A7C22" w:rsidP="00AF1E1D"/>
    <w:p w14:paraId="5BB100F1" w14:textId="77777777" w:rsidR="006A0328" w:rsidRDefault="006A0328" w:rsidP="006A0328">
      <w:pPr>
        <w:pStyle w:val="Descripcin"/>
        <w:rPr>
          <w:rFonts w:ascii="Cambria" w:hAnsi="Cambria" w:cs="Arial"/>
          <w:b/>
          <w:i w:val="0"/>
          <w:color w:val="auto"/>
          <w:sz w:val="22"/>
          <w:szCs w:val="22"/>
        </w:rPr>
      </w:pPr>
    </w:p>
    <w:p w14:paraId="6B660A8D" w14:textId="77777777" w:rsidR="006A0328" w:rsidRDefault="006A0328" w:rsidP="006A0328">
      <w:pPr>
        <w:pStyle w:val="Descripcin"/>
        <w:rPr>
          <w:rFonts w:ascii="Cambria" w:hAnsi="Cambria" w:cs="Arial"/>
          <w:b/>
          <w:i w:val="0"/>
          <w:color w:val="auto"/>
          <w:sz w:val="22"/>
          <w:szCs w:val="22"/>
        </w:rPr>
      </w:pPr>
    </w:p>
    <w:p w14:paraId="21C16E32" w14:textId="77777777" w:rsidR="006A0328" w:rsidRDefault="006A0328" w:rsidP="006A0328">
      <w:pPr>
        <w:pStyle w:val="Descripcin"/>
        <w:rPr>
          <w:rFonts w:ascii="Cambria" w:hAnsi="Cambria" w:cs="Arial"/>
          <w:b/>
          <w:i w:val="0"/>
          <w:color w:val="auto"/>
          <w:sz w:val="22"/>
          <w:szCs w:val="22"/>
        </w:rPr>
      </w:pPr>
    </w:p>
    <w:p w14:paraId="571AB398" w14:textId="77777777" w:rsidR="006A0328" w:rsidRPr="00AF1E1D" w:rsidRDefault="006A0328" w:rsidP="006A0328">
      <w:pPr>
        <w:pStyle w:val="Descripcin"/>
        <w:rPr>
          <w:rFonts w:ascii="Cambria" w:hAnsi="Cambria" w:cs="Arial"/>
          <w:b/>
          <w:i w:val="0"/>
          <w:color w:val="auto"/>
          <w:sz w:val="22"/>
          <w:szCs w:val="22"/>
        </w:rPr>
      </w:pPr>
    </w:p>
    <w:p w14:paraId="75956FDF" w14:textId="6F1AEC51" w:rsidR="00241917" w:rsidRPr="00AF1E1D" w:rsidRDefault="006A0328" w:rsidP="00AF1E1D">
      <w:pPr>
        <w:pStyle w:val="Descripcin"/>
        <w:rPr>
          <w:rFonts w:ascii="Cambria" w:hAnsi="Cambria" w:cs="Arial"/>
          <w:b/>
          <w:i w:val="0"/>
          <w:color w:val="auto"/>
          <w:sz w:val="22"/>
          <w:szCs w:val="22"/>
        </w:rPr>
      </w:pPr>
      <w:bookmarkStart w:id="113" w:name="_Toc527576370"/>
      <w:bookmarkEnd w:id="112"/>
      <w:r w:rsidRPr="00AF1E1D">
        <w:rPr>
          <w:rFonts w:ascii="Cambria" w:hAnsi="Cambria"/>
          <w:b/>
          <w:i w:val="0"/>
          <w:color w:val="auto"/>
          <w:sz w:val="22"/>
          <w:szCs w:val="22"/>
        </w:rPr>
        <w:t xml:space="preserve">Tabla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Pr="00AF1E1D">
        <w:rPr>
          <w:rFonts w:ascii="Cambria" w:hAnsi="Cambria"/>
          <w:b/>
          <w:i w:val="0"/>
          <w:noProof/>
          <w:color w:val="auto"/>
          <w:sz w:val="22"/>
          <w:szCs w:val="22"/>
        </w:rPr>
        <w:t>12</w:t>
      </w:r>
      <w:bookmarkEnd w:id="113"/>
      <w:r w:rsidRPr="00AF1E1D">
        <w:rPr>
          <w:rFonts w:ascii="Cambria" w:hAnsi="Cambria"/>
          <w:b/>
          <w:i w:val="0"/>
          <w:color w:val="auto"/>
          <w:sz w:val="22"/>
          <w:szCs w:val="22"/>
        </w:rPr>
        <w:fldChar w:fldCharType="end"/>
      </w:r>
    </w:p>
    <w:p w14:paraId="00F1C4D0" w14:textId="2D48D5F9" w:rsidR="002B6B7F" w:rsidRPr="00AF1E1D" w:rsidRDefault="001D2CD9" w:rsidP="00431183">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Retorno en Activos Promedio Ponderado. Denominación de Origen</w:t>
      </w:r>
      <w:r w:rsidR="0045794D" w:rsidRPr="00AF1E1D">
        <w:rPr>
          <w:rFonts w:ascii="Cambria" w:hAnsi="Cambria" w:cs="Arial"/>
          <w:b/>
          <w:i w:val="0"/>
          <w:color w:val="auto"/>
          <w:sz w:val="22"/>
          <w:szCs w:val="22"/>
        </w:rPr>
        <w:t xml:space="preserve"> Tarrazu </w:t>
      </w:r>
    </w:p>
    <w:tbl>
      <w:tblPr>
        <w:tblW w:w="8300" w:type="dxa"/>
        <w:tblCellMar>
          <w:left w:w="70" w:type="dxa"/>
          <w:right w:w="70" w:type="dxa"/>
        </w:tblCellMar>
        <w:tblLook w:val="04A0" w:firstRow="1" w:lastRow="0" w:firstColumn="1" w:lastColumn="0" w:noHBand="0" w:noVBand="1"/>
      </w:tblPr>
      <w:tblGrid>
        <w:gridCol w:w="3740"/>
        <w:gridCol w:w="1180"/>
        <w:gridCol w:w="1236"/>
        <w:gridCol w:w="1200"/>
        <w:gridCol w:w="1258"/>
      </w:tblGrid>
      <w:tr w:rsidR="007A7C22" w:rsidRPr="00AF1E1D" w14:paraId="55A33AC2" w14:textId="77777777" w:rsidTr="007A7C22">
        <w:trPr>
          <w:trHeight w:val="864"/>
        </w:trPr>
        <w:tc>
          <w:tcPr>
            <w:tcW w:w="3740" w:type="dxa"/>
            <w:tcBorders>
              <w:top w:val="nil"/>
              <w:left w:val="nil"/>
              <w:bottom w:val="single" w:sz="4" w:space="0" w:color="auto"/>
              <w:right w:val="single" w:sz="4" w:space="0" w:color="auto"/>
            </w:tcBorders>
            <w:shd w:val="clear" w:color="auto" w:fill="auto"/>
            <w:noWrap/>
            <w:vAlign w:val="center"/>
            <w:hideMark/>
          </w:tcPr>
          <w:p w14:paraId="6A351E72" w14:textId="77777777" w:rsidR="007A7C22" w:rsidRPr="00AF1E1D" w:rsidRDefault="007A7C22" w:rsidP="007A7C22">
            <w:pPr>
              <w:spacing w:after="0" w:line="240" w:lineRule="auto"/>
              <w:jc w:val="center"/>
              <w:rPr>
                <w:rFonts w:ascii="Cambria" w:eastAsia="Times New Roman" w:hAnsi="Cambria" w:cs="Calibri"/>
                <w:b/>
                <w:color w:val="000000"/>
                <w:lang w:eastAsia="es-CR"/>
              </w:rPr>
            </w:pPr>
            <w:r w:rsidRPr="00AF1E1D">
              <w:rPr>
                <w:rFonts w:ascii="Cambria" w:eastAsia="Times New Roman" w:hAnsi="Cambria" w:cs="Calibri"/>
                <w:b/>
                <w:color w:val="000000"/>
                <w:lang w:eastAsia="es-CR"/>
              </w:rPr>
              <w:t xml:space="preserve">Descripción </w:t>
            </w:r>
          </w:p>
        </w:tc>
        <w:tc>
          <w:tcPr>
            <w:tcW w:w="1180" w:type="dxa"/>
            <w:tcBorders>
              <w:top w:val="nil"/>
              <w:left w:val="single" w:sz="4" w:space="0" w:color="auto"/>
              <w:bottom w:val="single" w:sz="4" w:space="0" w:color="auto"/>
              <w:right w:val="nil"/>
            </w:tcBorders>
            <w:shd w:val="clear" w:color="auto" w:fill="auto"/>
            <w:noWrap/>
            <w:vAlign w:val="center"/>
            <w:hideMark/>
          </w:tcPr>
          <w:p w14:paraId="12DDDB8D" w14:textId="77777777" w:rsidR="007A7C22" w:rsidRPr="00AF1E1D" w:rsidRDefault="007A7C22" w:rsidP="007A7C22">
            <w:pPr>
              <w:spacing w:after="0" w:line="240" w:lineRule="auto"/>
              <w:jc w:val="center"/>
              <w:rPr>
                <w:rFonts w:ascii="Cambria" w:eastAsia="Times New Roman" w:hAnsi="Cambria" w:cs="Calibri"/>
                <w:b/>
                <w:color w:val="000000"/>
                <w:lang w:eastAsia="es-CR"/>
              </w:rPr>
            </w:pPr>
            <w:r w:rsidRPr="00AF1E1D">
              <w:rPr>
                <w:rFonts w:ascii="Cambria" w:eastAsia="Times New Roman" w:hAnsi="Cambria" w:cs="Calibri"/>
                <w:b/>
                <w:color w:val="000000"/>
                <w:lang w:eastAsia="es-CR"/>
              </w:rPr>
              <w:t xml:space="preserve"> Valor de Activos </w:t>
            </w:r>
          </w:p>
        </w:tc>
        <w:tc>
          <w:tcPr>
            <w:tcW w:w="1221" w:type="dxa"/>
            <w:tcBorders>
              <w:top w:val="nil"/>
              <w:left w:val="nil"/>
              <w:bottom w:val="single" w:sz="4" w:space="0" w:color="auto"/>
              <w:right w:val="nil"/>
            </w:tcBorders>
            <w:shd w:val="clear" w:color="auto" w:fill="auto"/>
            <w:vAlign w:val="center"/>
            <w:hideMark/>
          </w:tcPr>
          <w:p w14:paraId="643C656B" w14:textId="77777777" w:rsidR="007A7C22" w:rsidRPr="00AF1E1D" w:rsidRDefault="007A7C22" w:rsidP="007A7C22">
            <w:pPr>
              <w:spacing w:after="0" w:line="240" w:lineRule="auto"/>
              <w:jc w:val="center"/>
              <w:rPr>
                <w:rFonts w:ascii="Cambria" w:eastAsia="Times New Roman" w:hAnsi="Cambria" w:cs="Calibri"/>
                <w:b/>
                <w:color w:val="000000"/>
                <w:lang w:eastAsia="es-CR"/>
              </w:rPr>
            </w:pPr>
            <w:r w:rsidRPr="00AF1E1D">
              <w:rPr>
                <w:rFonts w:ascii="Cambria" w:eastAsia="Times New Roman" w:hAnsi="Cambria" w:cs="Calibri"/>
                <w:b/>
                <w:color w:val="000000"/>
                <w:lang w:eastAsia="es-CR"/>
              </w:rPr>
              <w:t xml:space="preserve"> Porcentaje de Valor Total </w:t>
            </w:r>
          </w:p>
        </w:tc>
        <w:tc>
          <w:tcPr>
            <w:tcW w:w="1145" w:type="dxa"/>
            <w:tcBorders>
              <w:top w:val="nil"/>
              <w:left w:val="nil"/>
              <w:bottom w:val="single" w:sz="4" w:space="0" w:color="auto"/>
              <w:right w:val="nil"/>
            </w:tcBorders>
            <w:shd w:val="clear" w:color="auto" w:fill="auto"/>
            <w:vAlign w:val="center"/>
            <w:hideMark/>
          </w:tcPr>
          <w:p w14:paraId="7C0BB8B9" w14:textId="72008A90" w:rsidR="007A7C22" w:rsidRPr="00AF1E1D" w:rsidRDefault="007A7C22" w:rsidP="007A7C22">
            <w:pPr>
              <w:spacing w:after="0" w:line="240" w:lineRule="auto"/>
              <w:jc w:val="center"/>
              <w:rPr>
                <w:rFonts w:ascii="Cambria" w:eastAsia="Times New Roman" w:hAnsi="Cambria" w:cs="Calibri"/>
                <w:b/>
                <w:color w:val="000000"/>
                <w:lang w:eastAsia="es-CR"/>
              </w:rPr>
            </w:pPr>
            <w:r w:rsidRPr="00AF1E1D">
              <w:rPr>
                <w:rFonts w:ascii="Cambria" w:eastAsia="Times New Roman" w:hAnsi="Cambria" w:cs="Calibri"/>
                <w:b/>
                <w:color w:val="000000"/>
                <w:lang w:eastAsia="es-CR"/>
              </w:rPr>
              <w:t xml:space="preserve"> Tasa de Retorno después de Impuestos </w:t>
            </w:r>
          </w:p>
        </w:tc>
        <w:tc>
          <w:tcPr>
            <w:tcW w:w="1014" w:type="dxa"/>
            <w:tcBorders>
              <w:top w:val="nil"/>
              <w:left w:val="nil"/>
              <w:bottom w:val="single" w:sz="4" w:space="0" w:color="auto"/>
              <w:right w:val="nil"/>
            </w:tcBorders>
            <w:shd w:val="clear" w:color="auto" w:fill="auto"/>
            <w:vAlign w:val="center"/>
            <w:hideMark/>
          </w:tcPr>
          <w:p w14:paraId="68BA7EE6" w14:textId="77777777" w:rsidR="007A7C22" w:rsidRPr="00AF1E1D" w:rsidRDefault="007A7C22" w:rsidP="007A7C22">
            <w:pPr>
              <w:spacing w:after="0" w:line="240" w:lineRule="auto"/>
              <w:jc w:val="center"/>
              <w:rPr>
                <w:rFonts w:ascii="Cambria" w:eastAsia="Times New Roman" w:hAnsi="Cambria" w:cs="Calibri"/>
                <w:b/>
                <w:color w:val="000000"/>
                <w:lang w:eastAsia="es-CR"/>
              </w:rPr>
            </w:pPr>
            <w:r w:rsidRPr="00AF1E1D">
              <w:rPr>
                <w:rFonts w:ascii="Cambria" w:eastAsia="Times New Roman" w:hAnsi="Cambria" w:cs="Calibri"/>
                <w:b/>
                <w:color w:val="000000"/>
                <w:lang w:eastAsia="es-CR"/>
              </w:rPr>
              <w:t xml:space="preserve"> Retorno Ponderado </w:t>
            </w:r>
          </w:p>
        </w:tc>
      </w:tr>
      <w:tr w:rsidR="007A7C22" w:rsidRPr="00AF1E1D" w14:paraId="20C9FA4B" w14:textId="77777777" w:rsidTr="007A7C22">
        <w:trPr>
          <w:trHeight w:val="288"/>
        </w:trPr>
        <w:tc>
          <w:tcPr>
            <w:tcW w:w="3740" w:type="dxa"/>
            <w:tcBorders>
              <w:top w:val="single" w:sz="4" w:space="0" w:color="auto"/>
              <w:left w:val="nil"/>
              <w:bottom w:val="nil"/>
              <w:right w:val="single" w:sz="4" w:space="0" w:color="auto"/>
            </w:tcBorders>
            <w:shd w:val="clear" w:color="auto" w:fill="auto"/>
            <w:noWrap/>
            <w:vAlign w:val="bottom"/>
            <w:hideMark/>
          </w:tcPr>
          <w:p w14:paraId="72121252"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Capital de Trabajo</w:t>
            </w:r>
          </w:p>
        </w:tc>
        <w:tc>
          <w:tcPr>
            <w:tcW w:w="1180" w:type="dxa"/>
            <w:tcBorders>
              <w:top w:val="single" w:sz="4" w:space="0" w:color="auto"/>
              <w:left w:val="single" w:sz="4" w:space="0" w:color="auto"/>
              <w:bottom w:val="nil"/>
              <w:right w:val="nil"/>
            </w:tcBorders>
            <w:shd w:val="clear" w:color="auto" w:fill="auto"/>
            <w:noWrap/>
            <w:vAlign w:val="bottom"/>
            <w:hideMark/>
          </w:tcPr>
          <w:p w14:paraId="3A55B891"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$4 883</w:t>
            </w:r>
          </w:p>
        </w:tc>
        <w:tc>
          <w:tcPr>
            <w:tcW w:w="1221" w:type="dxa"/>
            <w:tcBorders>
              <w:top w:val="single" w:sz="4" w:space="0" w:color="auto"/>
              <w:left w:val="nil"/>
              <w:bottom w:val="nil"/>
              <w:right w:val="nil"/>
            </w:tcBorders>
            <w:shd w:val="clear" w:color="auto" w:fill="auto"/>
            <w:noWrap/>
            <w:vAlign w:val="bottom"/>
            <w:hideMark/>
          </w:tcPr>
          <w:p w14:paraId="0596785B"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6,7%</w:t>
            </w:r>
          </w:p>
        </w:tc>
        <w:tc>
          <w:tcPr>
            <w:tcW w:w="1145" w:type="dxa"/>
            <w:tcBorders>
              <w:top w:val="single" w:sz="4" w:space="0" w:color="auto"/>
              <w:left w:val="nil"/>
              <w:bottom w:val="nil"/>
              <w:right w:val="nil"/>
            </w:tcBorders>
            <w:shd w:val="clear" w:color="auto" w:fill="auto"/>
            <w:noWrap/>
            <w:vAlign w:val="bottom"/>
            <w:hideMark/>
          </w:tcPr>
          <w:p w14:paraId="78940130"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7,2%</w:t>
            </w:r>
          </w:p>
        </w:tc>
        <w:tc>
          <w:tcPr>
            <w:tcW w:w="1014" w:type="dxa"/>
            <w:tcBorders>
              <w:top w:val="single" w:sz="4" w:space="0" w:color="auto"/>
              <w:left w:val="nil"/>
              <w:bottom w:val="nil"/>
              <w:right w:val="nil"/>
            </w:tcBorders>
            <w:shd w:val="clear" w:color="auto" w:fill="auto"/>
            <w:noWrap/>
            <w:vAlign w:val="bottom"/>
            <w:hideMark/>
          </w:tcPr>
          <w:p w14:paraId="60FE8F3D"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0,5%</w:t>
            </w:r>
          </w:p>
        </w:tc>
      </w:tr>
      <w:tr w:rsidR="007A7C22" w:rsidRPr="00AF1E1D" w14:paraId="49B4F4AD"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7F93CEA2"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Bienes y Propiedad Personal</w:t>
            </w:r>
          </w:p>
        </w:tc>
        <w:tc>
          <w:tcPr>
            <w:tcW w:w="1180" w:type="dxa"/>
            <w:tcBorders>
              <w:top w:val="nil"/>
              <w:left w:val="single" w:sz="4" w:space="0" w:color="auto"/>
              <w:bottom w:val="nil"/>
              <w:right w:val="nil"/>
            </w:tcBorders>
            <w:shd w:val="clear" w:color="auto" w:fill="auto"/>
            <w:noWrap/>
            <w:vAlign w:val="bottom"/>
            <w:hideMark/>
          </w:tcPr>
          <w:p w14:paraId="646B1050"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$8 546</w:t>
            </w:r>
          </w:p>
        </w:tc>
        <w:tc>
          <w:tcPr>
            <w:tcW w:w="1221" w:type="dxa"/>
            <w:tcBorders>
              <w:top w:val="nil"/>
              <w:left w:val="nil"/>
              <w:bottom w:val="nil"/>
              <w:right w:val="nil"/>
            </w:tcBorders>
            <w:shd w:val="clear" w:color="auto" w:fill="auto"/>
            <w:noWrap/>
            <w:vAlign w:val="bottom"/>
            <w:hideMark/>
          </w:tcPr>
          <w:p w14:paraId="7A5DC9D1"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11,7%</w:t>
            </w:r>
          </w:p>
        </w:tc>
        <w:tc>
          <w:tcPr>
            <w:tcW w:w="1145" w:type="dxa"/>
            <w:tcBorders>
              <w:top w:val="nil"/>
              <w:left w:val="nil"/>
              <w:bottom w:val="nil"/>
              <w:right w:val="nil"/>
            </w:tcBorders>
            <w:shd w:val="clear" w:color="auto" w:fill="auto"/>
            <w:noWrap/>
            <w:vAlign w:val="bottom"/>
            <w:hideMark/>
          </w:tcPr>
          <w:p w14:paraId="7B144152"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9,3%</w:t>
            </w:r>
          </w:p>
        </w:tc>
        <w:tc>
          <w:tcPr>
            <w:tcW w:w="1014" w:type="dxa"/>
            <w:tcBorders>
              <w:top w:val="nil"/>
              <w:left w:val="nil"/>
              <w:bottom w:val="nil"/>
              <w:right w:val="nil"/>
            </w:tcBorders>
            <w:shd w:val="clear" w:color="auto" w:fill="auto"/>
            <w:noWrap/>
            <w:vAlign w:val="bottom"/>
            <w:hideMark/>
          </w:tcPr>
          <w:p w14:paraId="531AE44B"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1,1%</w:t>
            </w:r>
          </w:p>
        </w:tc>
      </w:tr>
      <w:tr w:rsidR="007A7C22" w:rsidRPr="00AF1E1D" w14:paraId="124DF12B"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3E1B6C1C"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Total de Activos Tangibles</w:t>
            </w:r>
          </w:p>
        </w:tc>
        <w:tc>
          <w:tcPr>
            <w:tcW w:w="1180" w:type="dxa"/>
            <w:tcBorders>
              <w:top w:val="nil"/>
              <w:left w:val="single" w:sz="4" w:space="0" w:color="auto"/>
              <w:bottom w:val="nil"/>
              <w:right w:val="nil"/>
            </w:tcBorders>
            <w:shd w:val="clear" w:color="auto" w:fill="auto"/>
            <w:noWrap/>
            <w:vAlign w:val="bottom"/>
            <w:hideMark/>
          </w:tcPr>
          <w:p w14:paraId="3D0F5127"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$13 429</w:t>
            </w:r>
          </w:p>
        </w:tc>
        <w:tc>
          <w:tcPr>
            <w:tcW w:w="1221" w:type="dxa"/>
            <w:tcBorders>
              <w:top w:val="nil"/>
              <w:left w:val="nil"/>
              <w:bottom w:val="nil"/>
              <w:right w:val="nil"/>
            </w:tcBorders>
            <w:shd w:val="clear" w:color="auto" w:fill="auto"/>
            <w:noWrap/>
            <w:vAlign w:val="bottom"/>
            <w:hideMark/>
          </w:tcPr>
          <w:p w14:paraId="0FA91CFD"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18,4%</w:t>
            </w:r>
          </w:p>
        </w:tc>
        <w:tc>
          <w:tcPr>
            <w:tcW w:w="1145" w:type="dxa"/>
            <w:tcBorders>
              <w:top w:val="nil"/>
              <w:left w:val="nil"/>
              <w:bottom w:val="nil"/>
              <w:right w:val="nil"/>
            </w:tcBorders>
            <w:shd w:val="clear" w:color="auto" w:fill="auto"/>
            <w:noWrap/>
            <w:vAlign w:val="bottom"/>
            <w:hideMark/>
          </w:tcPr>
          <w:p w14:paraId="65C9C4E3" w14:textId="77777777" w:rsidR="007A7C22" w:rsidRPr="00AF1E1D" w:rsidRDefault="007A7C22" w:rsidP="007A7C22">
            <w:pPr>
              <w:spacing w:after="0" w:line="240" w:lineRule="auto"/>
              <w:jc w:val="center"/>
              <w:rPr>
                <w:rFonts w:ascii="Cambria" w:eastAsia="Times New Roman" w:hAnsi="Cambria" w:cs="Calibri"/>
                <w:color w:val="000000"/>
                <w:lang w:eastAsia="es-CR"/>
              </w:rPr>
            </w:pPr>
          </w:p>
        </w:tc>
        <w:tc>
          <w:tcPr>
            <w:tcW w:w="1014" w:type="dxa"/>
            <w:tcBorders>
              <w:top w:val="nil"/>
              <w:left w:val="nil"/>
              <w:bottom w:val="nil"/>
              <w:right w:val="nil"/>
            </w:tcBorders>
            <w:shd w:val="clear" w:color="auto" w:fill="auto"/>
            <w:noWrap/>
            <w:vAlign w:val="bottom"/>
            <w:hideMark/>
          </w:tcPr>
          <w:p w14:paraId="08933466" w14:textId="77777777" w:rsidR="007A7C22" w:rsidRPr="00AF1E1D" w:rsidRDefault="007A7C22" w:rsidP="007A7C22">
            <w:pPr>
              <w:spacing w:after="0" w:line="240" w:lineRule="auto"/>
              <w:jc w:val="center"/>
              <w:rPr>
                <w:rFonts w:ascii="Cambria" w:eastAsia="Times New Roman" w:hAnsi="Cambria" w:cs="Times New Roman"/>
                <w:lang w:eastAsia="es-CR"/>
              </w:rPr>
            </w:pPr>
          </w:p>
        </w:tc>
      </w:tr>
      <w:tr w:rsidR="007A7C22" w:rsidRPr="00AF1E1D" w14:paraId="01F5901E"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5329B65E"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Relaciones con Clientes</w:t>
            </w:r>
          </w:p>
        </w:tc>
        <w:tc>
          <w:tcPr>
            <w:tcW w:w="1180" w:type="dxa"/>
            <w:tcBorders>
              <w:top w:val="nil"/>
              <w:left w:val="single" w:sz="4" w:space="0" w:color="auto"/>
              <w:bottom w:val="nil"/>
              <w:right w:val="nil"/>
            </w:tcBorders>
            <w:shd w:val="clear" w:color="auto" w:fill="auto"/>
            <w:noWrap/>
            <w:vAlign w:val="bottom"/>
            <w:hideMark/>
          </w:tcPr>
          <w:p w14:paraId="02461363" w14:textId="77777777" w:rsidR="007A7C22" w:rsidRPr="00AF1E1D" w:rsidRDefault="007A7C22" w:rsidP="007A7C22">
            <w:pPr>
              <w:spacing w:after="0" w:line="240" w:lineRule="auto"/>
              <w:rPr>
                <w:rFonts w:ascii="Cambria" w:eastAsia="Times New Roman" w:hAnsi="Cambria" w:cs="Calibri"/>
                <w:color w:val="000000"/>
                <w:lang w:eastAsia="es-CR"/>
              </w:rPr>
            </w:pPr>
          </w:p>
        </w:tc>
        <w:tc>
          <w:tcPr>
            <w:tcW w:w="1221" w:type="dxa"/>
            <w:tcBorders>
              <w:top w:val="nil"/>
              <w:left w:val="nil"/>
              <w:bottom w:val="nil"/>
              <w:right w:val="nil"/>
            </w:tcBorders>
            <w:shd w:val="clear" w:color="auto" w:fill="auto"/>
            <w:noWrap/>
            <w:vAlign w:val="bottom"/>
            <w:hideMark/>
          </w:tcPr>
          <w:p w14:paraId="55626B45" w14:textId="77777777" w:rsidR="007A7C22" w:rsidRPr="00AF1E1D" w:rsidRDefault="007A7C22" w:rsidP="007A7C22">
            <w:pPr>
              <w:spacing w:after="0" w:line="240" w:lineRule="auto"/>
              <w:jc w:val="center"/>
              <w:rPr>
                <w:rFonts w:ascii="Cambria" w:eastAsia="Times New Roman" w:hAnsi="Cambria" w:cs="Times New Roman"/>
                <w:lang w:eastAsia="es-CR"/>
              </w:rPr>
            </w:pPr>
          </w:p>
        </w:tc>
        <w:tc>
          <w:tcPr>
            <w:tcW w:w="1145" w:type="dxa"/>
            <w:tcBorders>
              <w:top w:val="nil"/>
              <w:left w:val="nil"/>
              <w:bottom w:val="nil"/>
              <w:right w:val="nil"/>
            </w:tcBorders>
            <w:shd w:val="clear" w:color="auto" w:fill="auto"/>
            <w:noWrap/>
            <w:vAlign w:val="bottom"/>
            <w:hideMark/>
          </w:tcPr>
          <w:p w14:paraId="3BBA19A6"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c>
          <w:tcPr>
            <w:tcW w:w="1014" w:type="dxa"/>
            <w:tcBorders>
              <w:top w:val="nil"/>
              <w:left w:val="nil"/>
              <w:bottom w:val="nil"/>
              <w:right w:val="nil"/>
            </w:tcBorders>
            <w:shd w:val="clear" w:color="auto" w:fill="auto"/>
            <w:noWrap/>
            <w:vAlign w:val="bottom"/>
            <w:hideMark/>
          </w:tcPr>
          <w:p w14:paraId="6D76CF24"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r>
      <w:tr w:rsidR="007A7C22" w:rsidRPr="00AF1E1D" w14:paraId="036C4A82"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44A68213"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Reserva</w:t>
            </w:r>
          </w:p>
        </w:tc>
        <w:tc>
          <w:tcPr>
            <w:tcW w:w="1180" w:type="dxa"/>
            <w:tcBorders>
              <w:top w:val="nil"/>
              <w:left w:val="single" w:sz="4" w:space="0" w:color="auto"/>
              <w:bottom w:val="nil"/>
              <w:right w:val="nil"/>
            </w:tcBorders>
            <w:shd w:val="clear" w:color="auto" w:fill="auto"/>
            <w:noWrap/>
            <w:vAlign w:val="bottom"/>
            <w:hideMark/>
          </w:tcPr>
          <w:p w14:paraId="42D8EF11" w14:textId="77777777" w:rsidR="007A7C22" w:rsidRPr="00AF1E1D" w:rsidRDefault="007A7C22" w:rsidP="007A7C22">
            <w:pPr>
              <w:spacing w:after="0" w:line="240" w:lineRule="auto"/>
              <w:rPr>
                <w:rFonts w:ascii="Cambria" w:eastAsia="Times New Roman" w:hAnsi="Cambria" w:cs="Calibri"/>
                <w:color w:val="000000"/>
                <w:lang w:eastAsia="es-CR"/>
              </w:rPr>
            </w:pPr>
          </w:p>
        </w:tc>
        <w:tc>
          <w:tcPr>
            <w:tcW w:w="1221" w:type="dxa"/>
            <w:tcBorders>
              <w:top w:val="nil"/>
              <w:left w:val="nil"/>
              <w:bottom w:val="nil"/>
              <w:right w:val="nil"/>
            </w:tcBorders>
            <w:shd w:val="clear" w:color="auto" w:fill="auto"/>
            <w:noWrap/>
            <w:vAlign w:val="bottom"/>
            <w:hideMark/>
          </w:tcPr>
          <w:p w14:paraId="175839B1" w14:textId="77777777" w:rsidR="007A7C22" w:rsidRPr="00AF1E1D" w:rsidRDefault="007A7C22" w:rsidP="007A7C22">
            <w:pPr>
              <w:spacing w:after="0" w:line="240" w:lineRule="auto"/>
              <w:jc w:val="center"/>
              <w:rPr>
                <w:rFonts w:ascii="Cambria" w:eastAsia="Times New Roman" w:hAnsi="Cambria" w:cs="Times New Roman"/>
                <w:lang w:eastAsia="es-CR"/>
              </w:rPr>
            </w:pPr>
          </w:p>
        </w:tc>
        <w:tc>
          <w:tcPr>
            <w:tcW w:w="1145" w:type="dxa"/>
            <w:tcBorders>
              <w:top w:val="nil"/>
              <w:left w:val="nil"/>
              <w:bottom w:val="nil"/>
              <w:right w:val="nil"/>
            </w:tcBorders>
            <w:shd w:val="clear" w:color="auto" w:fill="auto"/>
            <w:noWrap/>
            <w:vAlign w:val="bottom"/>
            <w:hideMark/>
          </w:tcPr>
          <w:p w14:paraId="2EA9FEF6"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c>
          <w:tcPr>
            <w:tcW w:w="1014" w:type="dxa"/>
            <w:tcBorders>
              <w:top w:val="nil"/>
              <w:left w:val="nil"/>
              <w:bottom w:val="nil"/>
              <w:right w:val="nil"/>
            </w:tcBorders>
            <w:shd w:val="clear" w:color="auto" w:fill="auto"/>
            <w:noWrap/>
            <w:vAlign w:val="bottom"/>
            <w:hideMark/>
          </w:tcPr>
          <w:p w14:paraId="4AA6FE08"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r>
      <w:tr w:rsidR="007A7C22" w:rsidRPr="00AF1E1D" w14:paraId="563F0C1C"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6C730948"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Marca/Nombre Comercial</w:t>
            </w:r>
          </w:p>
        </w:tc>
        <w:tc>
          <w:tcPr>
            <w:tcW w:w="1180" w:type="dxa"/>
            <w:tcBorders>
              <w:top w:val="nil"/>
              <w:left w:val="single" w:sz="4" w:space="0" w:color="auto"/>
              <w:bottom w:val="nil"/>
              <w:right w:val="nil"/>
            </w:tcBorders>
            <w:shd w:val="clear" w:color="auto" w:fill="auto"/>
            <w:noWrap/>
            <w:vAlign w:val="bottom"/>
            <w:hideMark/>
          </w:tcPr>
          <w:p w14:paraId="143807DE"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$12 120</w:t>
            </w:r>
          </w:p>
        </w:tc>
        <w:tc>
          <w:tcPr>
            <w:tcW w:w="1221" w:type="dxa"/>
            <w:tcBorders>
              <w:top w:val="nil"/>
              <w:left w:val="nil"/>
              <w:bottom w:val="nil"/>
              <w:right w:val="nil"/>
            </w:tcBorders>
            <w:shd w:val="clear" w:color="auto" w:fill="auto"/>
            <w:noWrap/>
            <w:vAlign w:val="bottom"/>
            <w:hideMark/>
          </w:tcPr>
          <w:p w14:paraId="44929B1A"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16,6%</w:t>
            </w:r>
          </w:p>
        </w:tc>
        <w:tc>
          <w:tcPr>
            <w:tcW w:w="1145" w:type="dxa"/>
            <w:tcBorders>
              <w:top w:val="nil"/>
              <w:left w:val="nil"/>
              <w:bottom w:val="nil"/>
              <w:right w:val="nil"/>
            </w:tcBorders>
            <w:shd w:val="clear" w:color="auto" w:fill="auto"/>
            <w:noWrap/>
            <w:vAlign w:val="bottom"/>
            <w:hideMark/>
          </w:tcPr>
          <w:p w14:paraId="47550AEA"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13,6%</w:t>
            </w:r>
          </w:p>
        </w:tc>
        <w:tc>
          <w:tcPr>
            <w:tcW w:w="1014" w:type="dxa"/>
            <w:tcBorders>
              <w:top w:val="nil"/>
              <w:left w:val="nil"/>
              <w:bottom w:val="nil"/>
              <w:right w:val="nil"/>
            </w:tcBorders>
            <w:shd w:val="clear" w:color="auto" w:fill="auto"/>
            <w:noWrap/>
            <w:vAlign w:val="bottom"/>
            <w:hideMark/>
          </w:tcPr>
          <w:p w14:paraId="24907E03"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2,3%</w:t>
            </w:r>
          </w:p>
        </w:tc>
      </w:tr>
      <w:tr w:rsidR="007A7C22" w:rsidRPr="00AF1E1D" w14:paraId="14A2F36F"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4BC071E7"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Tecnología Desarrollada</w:t>
            </w:r>
          </w:p>
        </w:tc>
        <w:tc>
          <w:tcPr>
            <w:tcW w:w="1180" w:type="dxa"/>
            <w:tcBorders>
              <w:top w:val="nil"/>
              <w:left w:val="single" w:sz="4" w:space="0" w:color="auto"/>
              <w:bottom w:val="nil"/>
              <w:right w:val="nil"/>
            </w:tcBorders>
            <w:shd w:val="clear" w:color="auto" w:fill="auto"/>
            <w:noWrap/>
            <w:vAlign w:val="bottom"/>
            <w:hideMark/>
          </w:tcPr>
          <w:p w14:paraId="30DE7BB1" w14:textId="77777777" w:rsidR="007A7C22" w:rsidRPr="00AF1E1D" w:rsidRDefault="007A7C22" w:rsidP="007A7C22">
            <w:pPr>
              <w:spacing w:after="0" w:line="240" w:lineRule="auto"/>
              <w:rPr>
                <w:rFonts w:ascii="Cambria" w:eastAsia="Times New Roman" w:hAnsi="Cambria" w:cs="Calibri"/>
                <w:color w:val="000000"/>
                <w:lang w:eastAsia="es-CR"/>
              </w:rPr>
            </w:pPr>
          </w:p>
        </w:tc>
        <w:tc>
          <w:tcPr>
            <w:tcW w:w="1221" w:type="dxa"/>
            <w:tcBorders>
              <w:top w:val="nil"/>
              <w:left w:val="nil"/>
              <w:bottom w:val="nil"/>
              <w:right w:val="nil"/>
            </w:tcBorders>
            <w:shd w:val="clear" w:color="auto" w:fill="auto"/>
            <w:noWrap/>
            <w:vAlign w:val="bottom"/>
            <w:hideMark/>
          </w:tcPr>
          <w:p w14:paraId="623C07CC" w14:textId="77777777" w:rsidR="007A7C22" w:rsidRPr="00AF1E1D" w:rsidRDefault="007A7C22" w:rsidP="007A7C22">
            <w:pPr>
              <w:spacing w:after="0" w:line="240" w:lineRule="auto"/>
              <w:jc w:val="center"/>
              <w:rPr>
                <w:rFonts w:ascii="Cambria" w:eastAsia="Times New Roman" w:hAnsi="Cambria" w:cs="Times New Roman"/>
                <w:lang w:eastAsia="es-CR"/>
              </w:rPr>
            </w:pPr>
          </w:p>
        </w:tc>
        <w:tc>
          <w:tcPr>
            <w:tcW w:w="1145" w:type="dxa"/>
            <w:tcBorders>
              <w:top w:val="nil"/>
              <w:left w:val="nil"/>
              <w:bottom w:val="nil"/>
              <w:right w:val="nil"/>
            </w:tcBorders>
            <w:shd w:val="clear" w:color="auto" w:fill="auto"/>
            <w:noWrap/>
            <w:vAlign w:val="bottom"/>
            <w:hideMark/>
          </w:tcPr>
          <w:p w14:paraId="3403F66D"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c>
          <w:tcPr>
            <w:tcW w:w="1014" w:type="dxa"/>
            <w:tcBorders>
              <w:top w:val="nil"/>
              <w:left w:val="nil"/>
              <w:bottom w:val="nil"/>
              <w:right w:val="nil"/>
            </w:tcBorders>
            <w:shd w:val="clear" w:color="auto" w:fill="auto"/>
            <w:noWrap/>
            <w:vAlign w:val="bottom"/>
            <w:hideMark/>
          </w:tcPr>
          <w:p w14:paraId="17117ADB"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r>
      <w:tr w:rsidR="007A7C22" w:rsidRPr="00AF1E1D" w14:paraId="19DC9268"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4A61B4ED"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IPR&amp;D</w:t>
            </w:r>
          </w:p>
        </w:tc>
        <w:tc>
          <w:tcPr>
            <w:tcW w:w="1180" w:type="dxa"/>
            <w:tcBorders>
              <w:top w:val="nil"/>
              <w:left w:val="single" w:sz="4" w:space="0" w:color="auto"/>
              <w:bottom w:val="nil"/>
              <w:right w:val="nil"/>
            </w:tcBorders>
            <w:shd w:val="clear" w:color="auto" w:fill="auto"/>
            <w:noWrap/>
            <w:vAlign w:val="bottom"/>
            <w:hideMark/>
          </w:tcPr>
          <w:p w14:paraId="2166CC81"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w:t>
            </w:r>
          </w:p>
        </w:tc>
        <w:tc>
          <w:tcPr>
            <w:tcW w:w="1221" w:type="dxa"/>
            <w:tcBorders>
              <w:top w:val="nil"/>
              <w:left w:val="nil"/>
              <w:bottom w:val="nil"/>
              <w:right w:val="nil"/>
            </w:tcBorders>
            <w:shd w:val="clear" w:color="auto" w:fill="auto"/>
            <w:noWrap/>
            <w:vAlign w:val="bottom"/>
            <w:hideMark/>
          </w:tcPr>
          <w:p w14:paraId="7FC0339F"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c>
          <w:tcPr>
            <w:tcW w:w="1145" w:type="dxa"/>
            <w:tcBorders>
              <w:top w:val="nil"/>
              <w:left w:val="nil"/>
              <w:bottom w:val="nil"/>
              <w:right w:val="nil"/>
            </w:tcBorders>
            <w:shd w:val="clear" w:color="auto" w:fill="auto"/>
            <w:noWrap/>
            <w:vAlign w:val="bottom"/>
            <w:hideMark/>
          </w:tcPr>
          <w:p w14:paraId="0B8954E6"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c>
          <w:tcPr>
            <w:tcW w:w="1014" w:type="dxa"/>
            <w:tcBorders>
              <w:top w:val="nil"/>
              <w:left w:val="nil"/>
              <w:bottom w:val="nil"/>
              <w:right w:val="nil"/>
            </w:tcBorders>
            <w:shd w:val="clear" w:color="auto" w:fill="auto"/>
            <w:noWrap/>
            <w:vAlign w:val="bottom"/>
            <w:hideMark/>
          </w:tcPr>
          <w:p w14:paraId="2E8AB207"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r>
      <w:tr w:rsidR="007A7C22" w:rsidRPr="00AF1E1D" w14:paraId="7DC705FC"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3DE96DC8"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Contratos Favorables</w:t>
            </w:r>
          </w:p>
        </w:tc>
        <w:tc>
          <w:tcPr>
            <w:tcW w:w="1180" w:type="dxa"/>
            <w:tcBorders>
              <w:top w:val="nil"/>
              <w:left w:val="single" w:sz="4" w:space="0" w:color="auto"/>
              <w:bottom w:val="nil"/>
              <w:right w:val="nil"/>
            </w:tcBorders>
            <w:shd w:val="clear" w:color="auto" w:fill="auto"/>
            <w:noWrap/>
            <w:vAlign w:val="bottom"/>
            <w:hideMark/>
          </w:tcPr>
          <w:p w14:paraId="3F256EDE" w14:textId="77777777" w:rsidR="007A7C22" w:rsidRPr="00AF1E1D" w:rsidRDefault="007A7C22" w:rsidP="007A7C22">
            <w:pPr>
              <w:spacing w:after="0" w:line="240" w:lineRule="auto"/>
              <w:rPr>
                <w:rFonts w:ascii="Cambria" w:eastAsia="Times New Roman" w:hAnsi="Cambria" w:cs="Calibri"/>
                <w:color w:val="000000"/>
                <w:lang w:eastAsia="es-CR"/>
              </w:rPr>
            </w:pPr>
          </w:p>
        </w:tc>
        <w:tc>
          <w:tcPr>
            <w:tcW w:w="1221" w:type="dxa"/>
            <w:tcBorders>
              <w:top w:val="nil"/>
              <w:left w:val="nil"/>
              <w:bottom w:val="nil"/>
              <w:right w:val="nil"/>
            </w:tcBorders>
            <w:shd w:val="clear" w:color="auto" w:fill="auto"/>
            <w:noWrap/>
            <w:vAlign w:val="bottom"/>
            <w:hideMark/>
          </w:tcPr>
          <w:p w14:paraId="1A1B12FE" w14:textId="77777777" w:rsidR="007A7C22" w:rsidRPr="00AF1E1D" w:rsidRDefault="007A7C22" w:rsidP="007A7C22">
            <w:pPr>
              <w:spacing w:after="0" w:line="240" w:lineRule="auto"/>
              <w:jc w:val="center"/>
              <w:rPr>
                <w:rFonts w:ascii="Cambria" w:eastAsia="Times New Roman" w:hAnsi="Cambria" w:cs="Times New Roman"/>
                <w:lang w:eastAsia="es-CR"/>
              </w:rPr>
            </w:pPr>
          </w:p>
        </w:tc>
        <w:tc>
          <w:tcPr>
            <w:tcW w:w="1145" w:type="dxa"/>
            <w:tcBorders>
              <w:top w:val="nil"/>
              <w:left w:val="nil"/>
              <w:bottom w:val="nil"/>
              <w:right w:val="nil"/>
            </w:tcBorders>
            <w:shd w:val="clear" w:color="auto" w:fill="auto"/>
            <w:noWrap/>
            <w:vAlign w:val="bottom"/>
            <w:hideMark/>
          </w:tcPr>
          <w:p w14:paraId="1BB453AC"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c>
          <w:tcPr>
            <w:tcW w:w="1014" w:type="dxa"/>
            <w:tcBorders>
              <w:top w:val="nil"/>
              <w:left w:val="nil"/>
              <w:bottom w:val="nil"/>
              <w:right w:val="nil"/>
            </w:tcBorders>
            <w:shd w:val="clear" w:color="auto" w:fill="auto"/>
            <w:noWrap/>
            <w:vAlign w:val="bottom"/>
            <w:hideMark/>
          </w:tcPr>
          <w:p w14:paraId="6FFAA634"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r>
      <w:tr w:rsidR="007A7C22" w:rsidRPr="00AF1E1D" w14:paraId="2BA23F5B"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573D805E"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Contratos</w:t>
            </w:r>
          </w:p>
        </w:tc>
        <w:tc>
          <w:tcPr>
            <w:tcW w:w="1180" w:type="dxa"/>
            <w:tcBorders>
              <w:top w:val="nil"/>
              <w:left w:val="single" w:sz="4" w:space="0" w:color="auto"/>
              <w:bottom w:val="nil"/>
              <w:right w:val="nil"/>
            </w:tcBorders>
            <w:shd w:val="clear" w:color="auto" w:fill="auto"/>
            <w:noWrap/>
            <w:vAlign w:val="bottom"/>
            <w:hideMark/>
          </w:tcPr>
          <w:p w14:paraId="6D727EAC"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$13 650</w:t>
            </w:r>
          </w:p>
        </w:tc>
        <w:tc>
          <w:tcPr>
            <w:tcW w:w="1221" w:type="dxa"/>
            <w:tcBorders>
              <w:top w:val="nil"/>
              <w:left w:val="nil"/>
              <w:bottom w:val="nil"/>
              <w:right w:val="nil"/>
            </w:tcBorders>
            <w:shd w:val="clear" w:color="auto" w:fill="auto"/>
            <w:noWrap/>
            <w:vAlign w:val="bottom"/>
            <w:hideMark/>
          </w:tcPr>
          <w:p w14:paraId="5C72753C"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18,7%</w:t>
            </w:r>
          </w:p>
        </w:tc>
        <w:tc>
          <w:tcPr>
            <w:tcW w:w="1145" w:type="dxa"/>
            <w:tcBorders>
              <w:top w:val="nil"/>
              <w:left w:val="nil"/>
              <w:bottom w:val="nil"/>
              <w:right w:val="nil"/>
            </w:tcBorders>
            <w:shd w:val="clear" w:color="auto" w:fill="auto"/>
            <w:noWrap/>
            <w:vAlign w:val="bottom"/>
            <w:hideMark/>
          </w:tcPr>
          <w:p w14:paraId="2E08563D"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13,6%</w:t>
            </w:r>
          </w:p>
        </w:tc>
        <w:tc>
          <w:tcPr>
            <w:tcW w:w="1014" w:type="dxa"/>
            <w:tcBorders>
              <w:top w:val="nil"/>
              <w:left w:val="nil"/>
              <w:bottom w:val="nil"/>
              <w:right w:val="nil"/>
            </w:tcBorders>
            <w:shd w:val="clear" w:color="auto" w:fill="auto"/>
            <w:noWrap/>
            <w:vAlign w:val="bottom"/>
            <w:hideMark/>
          </w:tcPr>
          <w:p w14:paraId="10E13B07"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2,5%</w:t>
            </w:r>
          </w:p>
        </w:tc>
      </w:tr>
      <w:tr w:rsidR="007A7C22" w:rsidRPr="00AF1E1D" w14:paraId="6E225167"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0A65484C"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Uso Interno de Software</w:t>
            </w:r>
          </w:p>
        </w:tc>
        <w:tc>
          <w:tcPr>
            <w:tcW w:w="1180" w:type="dxa"/>
            <w:tcBorders>
              <w:top w:val="nil"/>
              <w:left w:val="single" w:sz="4" w:space="0" w:color="auto"/>
              <w:bottom w:val="nil"/>
              <w:right w:val="nil"/>
            </w:tcBorders>
            <w:shd w:val="clear" w:color="auto" w:fill="auto"/>
            <w:noWrap/>
            <w:vAlign w:val="bottom"/>
            <w:hideMark/>
          </w:tcPr>
          <w:p w14:paraId="6A9354F6"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w:t>
            </w:r>
          </w:p>
        </w:tc>
        <w:tc>
          <w:tcPr>
            <w:tcW w:w="1221" w:type="dxa"/>
            <w:tcBorders>
              <w:top w:val="nil"/>
              <w:left w:val="nil"/>
              <w:bottom w:val="nil"/>
              <w:right w:val="nil"/>
            </w:tcBorders>
            <w:shd w:val="clear" w:color="auto" w:fill="auto"/>
            <w:noWrap/>
            <w:vAlign w:val="bottom"/>
            <w:hideMark/>
          </w:tcPr>
          <w:p w14:paraId="312F5AE7"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c>
          <w:tcPr>
            <w:tcW w:w="1145" w:type="dxa"/>
            <w:tcBorders>
              <w:top w:val="nil"/>
              <w:left w:val="nil"/>
              <w:bottom w:val="nil"/>
              <w:right w:val="nil"/>
            </w:tcBorders>
            <w:shd w:val="clear" w:color="auto" w:fill="auto"/>
            <w:noWrap/>
            <w:vAlign w:val="bottom"/>
            <w:hideMark/>
          </w:tcPr>
          <w:p w14:paraId="00BF1B3A"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c>
          <w:tcPr>
            <w:tcW w:w="1014" w:type="dxa"/>
            <w:tcBorders>
              <w:top w:val="nil"/>
              <w:left w:val="nil"/>
              <w:bottom w:val="nil"/>
              <w:right w:val="nil"/>
            </w:tcBorders>
            <w:shd w:val="clear" w:color="auto" w:fill="auto"/>
            <w:noWrap/>
            <w:vAlign w:val="bottom"/>
            <w:hideMark/>
          </w:tcPr>
          <w:p w14:paraId="3E84223D"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r>
      <w:tr w:rsidR="007A7C22" w:rsidRPr="00AF1E1D" w14:paraId="65D73AA3"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3599E084"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Otros Activos Intaginbles Identidicados</w:t>
            </w:r>
          </w:p>
        </w:tc>
        <w:tc>
          <w:tcPr>
            <w:tcW w:w="1180" w:type="dxa"/>
            <w:tcBorders>
              <w:top w:val="nil"/>
              <w:left w:val="single" w:sz="4" w:space="0" w:color="auto"/>
              <w:bottom w:val="nil"/>
              <w:right w:val="nil"/>
            </w:tcBorders>
            <w:shd w:val="clear" w:color="auto" w:fill="auto"/>
            <w:noWrap/>
            <w:vAlign w:val="bottom"/>
            <w:hideMark/>
          </w:tcPr>
          <w:p w14:paraId="6B470AC8"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w:t>
            </w:r>
          </w:p>
        </w:tc>
        <w:tc>
          <w:tcPr>
            <w:tcW w:w="1221" w:type="dxa"/>
            <w:tcBorders>
              <w:top w:val="nil"/>
              <w:left w:val="nil"/>
              <w:bottom w:val="nil"/>
              <w:right w:val="nil"/>
            </w:tcBorders>
            <w:shd w:val="clear" w:color="auto" w:fill="auto"/>
            <w:noWrap/>
            <w:vAlign w:val="bottom"/>
            <w:hideMark/>
          </w:tcPr>
          <w:p w14:paraId="1F758AE7"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c>
          <w:tcPr>
            <w:tcW w:w="1145" w:type="dxa"/>
            <w:tcBorders>
              <w:top w:val="nil"/>
              <w:left w:val="nil"/>
              <w:bottom w:val="nil"/>
              <w:right w:val="nil"/>
            </w:tcBorders>
            <w:shd w:val="clear" w:color="auto" w:fill="auto"/>
            <w:noWrap/>
            <w:vAlign w:val="bottom"/>
            <w:hideMark/>
          </w:tcPr>
          <w:p w14:paraId="7B5E7749"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c>
          <w:tcPr>
            <w:tcW w:w="1014" w:type="dxa"/>
            <w:tcBorders>
              <w:top w:val="nil"/>
              <w:left w:val="nil"/>
              <w:bottom w:val="nil"/>
              <w:right w:val="nil"/>
            </w:tcBorders>
            <w:shd w:val="clear" w:color="auto" w:fill="auto"/>
            <w:noWrap/>
            <w:vAlign w:val="bottom"/>
            <w:hideMark/>
          </w:tcPr>
          <w:p w14:paraId="721334A3"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r>
      <w:tr w:rsidR="007A7C22" w:rsidRPr="00AF1E1D" w14:paraId="4059FFB9"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0CF16EF0"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Total de Activos Intangibles Identificados</w:t>
            </w:r>
          </w:p>
        </w:tc>
        <w:tc>
          <w:tcPr>
            <w:tcW w:w="1180" w:type="dxa"/>
            <w:tcBorders>
              <w:top w:val="nil"/>
              <w:left w:val="single" w:sz="4" w:space="0" w:color="auto"/>
              <w:bottom w:val="nil"/>
              <w:right w:val="nil"/>
            </w:tcBorders>
            <w:shd w:val="clear" w:color="auto" w:fill="auto"/>
            <w:noWrap/>
            <w:vAlign w:val="bottom"/>
            <w:hideMark/>
          </w:tcPr>
          <w:p w14:paraId="253999FF"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$25 770</w:t>
            </w:r>
          </w:p>
        </w:tc>
        <w:tc>
          <w:tcPr>
            <w:tcW w:w="1221" w:type="dxa"/>
            <w:tcBorders>
              <w:top w:val="nil"/>
              <w:left w:val="nil"/>
              <w:bottom w:val="nil"/>
              <w:right w:val="nil"/>
            </w:tcBorders>
            <w:shd w:val="clear" w:color="auto" w:fill="auto"/>
            <w:noWrap/>
            <w:vAlign w:val="bottom"/>
            <w:hideMark/>
          </w:tcPr>
          <w:p w14:paraId="2DD596F1"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35,2%</w:t>
            </w:r>
          </w:p>
        </w:tc>
        <w:tc>
          <w:tcPr>
            <w:tcW w:w="1145" w:type="dxa"/>
            <w:tcBorders>
              <w:top w:val="nil"/>
              <w:left w:val="nil"/>
              <w:bottom w:val="nil"/>
              <w:right w:val="nil"/>
            </w:tcBorders>
            <w:shd w:val="clear" w:color="auto" w:fill="auto"/>
            <w:noWrap/>
            <w:vAlign w:val="bottom"/>
            <w:hideMark/>
          </w:tcPr>
          <w:p w14:paraId="760C6414" w14:textId="77777777" w:rsidR="007A7C22" w:rsidRPr="00AF1E1D" w:rsidRDefault="007A7C22" w:rsidP="007A7C22">
            <w:pPr>
              <w:spacing w:after="0" w:line="240" w:lineRule="auto"/>
              <w:jc w:val="center"/>
              <w:rPr>
                <w:rFonts w:ascii="Cambria" w:eastAsia="Times New Roman" w:hAnsi="Cambria" w:cs="Calibri"/>
                <w:color w:val="000000"/>
                <w:lang w:eastAsia="es-CR"/>
              </w:rPr>
            </w:pPr>
          </w:p>
        </w:tc>
        <w:tc>
          <w:tcPr>
            <w:tcW w:w="1014" w:type="dxa"/>
            <w:tcBorders>
              <w:top w:val="nil"/>
              <w:left w:val="nil"/>
              <w:bottom w:val="nil"/>
              <w:right w:val="nil"/>
            </w:tcBorders>
            <w:shd w:val="clear" w:color="auto" w:fill="auto"/>
            <w:noWrap/>
            <w:vAlign w:val="bottom"/>
            <w:hideMark/>
          </w:tcPr>
          <w:p w14:paraId="54684CE0" w14:textId="77777777" w:rsidR="007A7C22" w:rsidRPr="00AF1E1D" w:rsidRDefault="007A7C22" w:rsidP="007A7C22">
            <w:pPr>
              <w:spacing w:after="0" w:line="240" w:lineRule="auto"/>
              <w:jc w:val="center"/>
              <w:rPr>
                <w:rFonts w:ascii="Cambria" w:eastAsia="Times New Roman" w:hAnsi="Cambria" w:cs="Times New Roman"/>
                <w:lang w:eastAsia="es-CR"/>
              </w:rPr>
            </w:pPr>
          </w:p>
        </w:tc>
      </w:tr>
      <w:tr w:rsidR="007A7C22" w:rsidRPr="00AF1E1D" w14:paraId="19F25D53"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57B42795"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Fuerza Laboral Organizada</w:t>
            </w:r>
          </w:p>
        </w:tc>
        <w:tc>
          <w:tcPr>
            <w:tcW w:w="1180" w:type="dxa"/>
            <w:tcBorders>
              <w:top w:val="nil"/>
              <w:left w:val="single" w:sz="4" w:space="0" w:color="auto"/>
              <w:bottom w:val="nil"/>
              <w:right w:val="nil"/>
            </w:tcBorders>
            <w:shd w:val="clear" w:color="auto" w:fill="auto"/>
            <w:noWrap/>
            <w:vAlign w:val="bottom"/>
            <w:hideMark/>
          </w:tcPr>
          <w:p w14:paraId="355F74FE"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w:t>
            </w:r>
          </w:p>
        </w:tc>
        <w:tc>
          <w:tcPr>
            <w:tcW w:w="1221" w:type="dxa"/>
            <w:tcBorders>
              <w:top w:val="nil"/>
              <w:left w:val="nil"/>
              <w:bottom w:val="nil"/>
              <w:right w:val="nil"/>
            </w:tcBorders>
            <w:shd w:val="clear" w:color="auto" w:fill="auto"/>
            <w:noWrap/>
            <w:vAlign w:val="bottom"/>
            <w:hideMark/>
          </w:tcPr>
          <w:p w14:paraId="2A180366"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c>
          <w:tcPr>
            <w:tcW w:w="1145" w:type="dxa"/>
            <w:tcBorders>
              <w:top w:val="nil"/>
              <w:left w:val="nil"/>
              <w:bottom w:val="nil"/>
              <w:right w:val="nil"/>
            </w:tcBorders>
            <w:shd w:val="clear" w:color="auto" w:fill="auto"/>
            <w:noWrap/>
            <w:vAlign w:val="bottom"/>
            <w:hideMark/>
          </w:tcPr>
          <w:p w14:paraId="764732B3"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12,6%</w:t>
            </w:r>
          </w:p>
        </w:tc>
        <w:tc>
          <w:tcPr>
            <w:tcW w:w="1014" w:type="dxa"/>
            <w:tcBorders>
              <w:top w:val="nil"/>
              <w:left w:val="nil"/>
              <w:bottom w:val="nil"/>
              <w:right w:val="nil"/>
            </w:tcBorders>
            <w:shd w:val="clear" w:color="auto" w:fill="auto"/>
            <w:noWrap/>
            <w:vAlign w:val="bottom"/>
            <w:hideMark/>
          </w:tcPr>
          <w:p w14:paraId="2470E448"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0,0%</w:t>
            </w:r>
          </w:p>
        </w:tc>
      </w:tr>
      <w:tr w:rsidR="007A7C22" w:rsidRPr="00AF1E1D" w14:paraId="5710B598"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01F2F15A"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Goodwill excluyendo Fuerza Laboral</w:t>
            </w:r>
          </w:p>
        </w:tc>
        <w:tc>
          <w:tcPr>
            <w:tcW w:w="1180" w:type="dxa"/>
            <w:tcBorders>
              <w:top w:val="nil"/>
              <w:left w:val="single" w:sz="4" w:space="0" w:color="auto"/>
              <w:bottom w:val="nil"/>
              <w:right w:val="nil"/>
            </w:tcBorders>
            <w:shd w:val="clear" w:color="auto" w:fill="auto"/>
            <w:noWrap/>
            <w:vAlign w:val="bottom"/>
            <w:hideMark/>
          </w:tcPr>
          <w:p w14:paraId="6021C603"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$33 965</w:t>
            </w:r>
          </w:p>
        </w:tc>
        <w:tc>
          <w:tcPr>
            <w:tcW w:w="1221" w:type="dxa"/>
            <w:tcBorders>
              <w:top w:val="nil"/>
              <w:left w:val="nil"/>
              <w:bottom w:val="nil"/>
              <w:right w:val="nil"/>
            </w:tcBorders>
            <w:shd w:val="clear" w:color="auto" w:fill="auto"/>
            <w:noWrap/>
            <w:vAlign w:val="bottom"/>
            <w:hideMark/>
          </w:tcPr>
          <w:p w14:paraId="0AB64367"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46,4%</w:t>
            </w:r>
          </w:p>
        </w:tc>
        <w:tc>
          <w:tcPr>
            <w:tcW w:w="1145" w:type="dxa"/>
            <w:tcBorders>
              <w:top w:val="nil"/>
              <w:left w:val="nil"/>
              <w:bottom w:val="nil"/>
              <w:right w:val="nil"/>
            </w:tcBorders>
            <w:shd w:val="clear" w:color="auto" w:fill="auto"/>
            <w:noWrap/>
            <w:vAlign w:val="bottom"/>
            <w:hideMark/>
          </w:tcPr>
          <w:p w14:paraId="0D447686"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13,4%</w:t>
            </w:r>
          </w:p>
        </w:tc>
        <w:tc>
          <w:tcPr>
            <w:tcW w:w="1014" w:type="dxa"/>
            <w:tcBorders>
              <w:top w:val="nil"/>
              <w:left w:val="nil"/>
              <w:bottom w:val="nil"/>
              <w:right w:val="nil"/>
            </w:tcBorders>
            <w:shd w:val="clear" w:color="auto" w:fill="auto"/>
            <w:noWrap/>
            <w:vAlign w:val="bottom"/>
            <w:hideMark/>
          </w:tcPr>
          <w:p w14:paraId="1683BDB0"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6,2%</w:t>
            </w:r>
          </w:p>
        </w:tc>
      </w:tr>
      <w:tr w:rsidR="007A7C22" w:rsidRPr="00AF1E1D" w14:paraId="4E83AA6E"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37136BF3"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Goodwill incluyendo Fuerza Laboral</w:t>
            </w:r>
          </w:p>
        </w:tc>
        <w:tc>
          <w:tcPr>
            <w:tcW w:w="1180" w:type="dxa"/>
            <w:tcBorders>
              <w:top w:val="nil"/>
              <w:left w:val="single" w:sz="4" w:space="0" w:color="auto"/>
              <w:bottom w:val="nil"/>
              <w:right w:val="nil"/>
            </w:tcBorders>
            <w:shd w:val="clear" w:color="auto" w:fill="auto"/>
            <w:noWrap/>
            <w:vAlign w:val="bottom"/>
            <w:hideMark/>
          </w:tcPr>
          <w:p w14:paraId="7F211A0C"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$33 965</w:t>
            </w:r>
          </w:p>
        </w:tc>
        <w:tc>
          <w:tcPr>
            <w:tcW w:w="1221" w:type="dxa"/>
            <w:tcBorders>
              <w:top w:val="nil"/>
              <w:left w:val="nil"/>
              <w:bottom w:val="nil"/>
              <w:right w:val="nil"/>
            </w:tcBorders>
            <w:shd w:val="clear" w:color="auto" w:fill="auto"/>
            <w:noWrap/>
            <w:vAlign w:val="bottom"/>
            <w:hideMark/>
          </w:tcPr>
          <w:p w14:paraId="33F13738"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46,4%</w:t>
            </w:r>
          </w:p>
        </w:tc>
        <w:tc>
          <w:tcPr>
            <w:tcW w:w="1145" w:type="dxa"/>
            <w:tcBorders>
              <w:top w:val="nil"/>
              <w:left w:val="nil"/>
              <w:bottom w:val="nil"/>
              <w:right w:val="nil"/>
            </w:tcBorders>
            <w:shd w:val="clear" w:color="auto" w:fill="auto"/>
            <w:noWrap/>
            <w:vAlign w:val="bottom"/>
            <w:hideMark/>
          </w:tcPr>
          <w:p w14:paraId="47E038BC" w14:textId="77777777" w:rsidR="007A7C22" w:rsidRPr="00AF1E1D" w:rsidRDefault="007A7C22" w:rsidP="007A7C22">
            <w:pPr>
              <w:spacing w:after="0" w:line="240" w:lineRule="auto"/>
              <w:jc w:val="center"/>
              <w:rPr>
                <w:rFonts w:ascii="Cambria" w:eastAsia="Times New Roman" w:hAnsi="Cambria" w:cs="Calibri"/>
                <w:color w:val="000000"/>
                <w:lang w:eastAsia="es-CR"/>
              </w:rPr>
            </w:pPr>
          </w:p>
        </w:tc>
        <w:tc>
          <w:tcPr>
            <w:tcW w:w="1014" w:type="dxa"/>
            <w:tcBorders>
              <w:top w:val="nil"/>
              <w:left w:val="nil"/>
              <w:bottom w:val="nil"/>
              <w:right w:val="nil"/>
            </w:tcBorders>
            <w:shd w:val="clear" w:color="auto" w:fill="auto"/>
            <w:noWrap/>
            <w:vAlign w:val="bottom"/>
            <w:hideMark/>
          </w:tcPr>
          <w:p w14:paraId="7FED5285" w14:textId="77777777" w:rsidR="007A7C22" w:rsidRPr="00AF1E1D" w:rsidRDefault="007A7C22" w:rsidP="007A7C22">
            <w:pPr>
              <w:spacing w:after="0" w:line="240" w:lineRule="auto"/>
              <w:jc w:val="center"/>
              <w:rPr>
                <w:rFonts w:ascii="Cambria" w:eastAsia="Times New Roman" w:hAnsi="Cambria" w:cs="Times New Roman"/>
                <w:lang w:eastAsia="es-CR"/>
              </w:rPr>
            </w:pPr>
          </w:p>
        </w:tc>
      </w:tr>
      <w:tr w:rsidR="007A7C22" w:rsidRPr="00AF1E1D" w14:paraId="1E50BB67"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2C2E3061"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Total</w:t>
            </w:r>
          </w:p>
        </w:tc>
        <w:tc>
          <w:tcPr>
            <w:tcW w:w="1180" w:type="dxa"/>
            <w:tcBorders>
              <w:top w:val="nil"/>
              <w:left w:val="single" w:sz="4" w:space="0" w:color="auto"/>
              <w:bottom w:val="nil"/>
              <w:right w:val="nil"/>
            </w:tcBorders>
            <w:shd w:val="clear" w:color="auto" w:fill="auto"/>
            <w:noWrap/>
            <w:vAlign w:val="bottom"/>
            <w:hideMark/>
          </w:tcPr>
          <w:p w14:paraId="0302BABB"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$73 164</w:t>
            </w:r>
          </w:p>
        </w:tc>
        <w:tc>
          <w:tcPr>
            <w:tcW w:w="1221" w:type="dxa"/>
            <w:tcBorders>
              <w:top w:val="nil"/>
              <w:left w:val="nil"/>
              <w:bottom w:val="nil"/>
              <w:right w:val="nil"/>
            </w:tcBorders>
            <w:shd w:val="clear" w:color="auto" w:fill="auto"/>
            <w:noWrap/>
            <w:vAlign w:val="bottom"/>
            <w:hideMark/>
          </w:tcPr>
          <w:p w14:paraId="1AC241F9"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100,0%</w:t>
            </w:r>
          </w:p>
        </w:tc>
        <w:tc>
          <w:tcPr>
            <w:tcW w:w="1145" w:type="dxa"/>
            <w:tcBorders>
              <w:top w:val="nil"/>
              <w:left w:val="nil"/>
              <w:bottom w:val="nil"/>
              <w:right w:val="nil"/>
            </w:tcBorders>
            <w:shd w:val="clear" w:color="auto" w:fill="auto"/>
            <w:noWrap/>
            <w:vAlign w:val="bottom"/>
            <w:hideMark/>
          </w:tcPr>
          <w:p w14:paraId="29699D1E" w14:textId="77777777" w:rsidR="007A7C22" w:rsidRPr="00AF1E1D" w:rsidRDefault="007A7C22" w:rsidP="007A7C22">
            <w:pPr>
              <w:spacing w:after="0" w:line="240" w:lineRule="auto"/>
              <w:jc w:val="center"/>
              <w:rPr>
                <w:rFonts w:ascii="Cambria" w:eastAsia="Times New Roman" w:hAnsi="Cambria" w:cs="Calibri"/>
                <w:color w:val="000000"/>
                <w:lang w:eastAsia="es-CR"/>
              </w:rPr>
            </w:pPr>
          </w:p>
        </w:tc>
        <w:tc>
          <w:tcPr>
            <w:tcW w:w="1014" w:type="dxa"/>
            <w:tcBorders>
              <w:top w:val="nil"/>
              <w:left w:val="nil"/>
              <w:bottom w:val="nil"/>
              <w:right w:val="nil"/>
            </w:tcBorders>
            <w:shd w:val="clear" w:color="auto" w:fill="auto"/>
            <w:noWrap/>
            <w:vAlign w:val="bottom"/>
            <w:hideMark/>
          </w:tcPr>
          <w:p w14:paraId="53BD4018"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12,59%</w:t>
            </w:r>
          </w:p>
        </w:tc>
      </w:tr>
      <w:tr w:rsidR="007A7C22" w:rsidRPr="00AF1E1D" w14:paraId="26A43A70" w14:textId="77777777" w:rsidTr="007A7C22">
        <w:trPr>
          <w:trHeight w:val="288"/>
        </w:trPr>
        <w:tc>
          <w:tcPr>
            <w:tcW w:w="3740" w:type="dxa"/>
            <w:tcBorders>
              <w:top w:val="nil"/>
              <w:left w:val="nil"/>
              <w:bottom w:val="nil"/>
              <w:right w:val="single" w:sz="4" w:space="0" w:color="auto"/>
            </w:tcBorders>
            <w:shd w:val="clear" w:color="auto" w:fill="auto"/>
            <w:noWrap/>
            <w:vAlign w:val="bottom"/>
            <w:hideMark/>
          </w:tcPr>
          <w:p w14:paraId="1A321A5D"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WACC Calculado</w:t>
            </w:r>
          </w:p>
        </w:tc>
        <w:tc>
          <w:tcPr>
            <w:tcW w:w="1180" w:type="dxa"/>
            <w:tcBorders>
              <w:top w:val="nil"/>
              <w:left w:val="single" w:sz="4" w:space="0" w:color="auto"/>
              <w:bottom w:val="nil"/>
              <w:right w:val="nil"/>
            </w:tcBorders>
            <w:shd w:val="clear" w:color="auto" w:fill="auto"/>
            <w:noWrap/>
            <w:vAlign w:val="bottom"/>
            <w:hideMark/>
          </w:tcPr>
          <w:p w14:paraId="0F2A2141" w14:textId="77777777" w:rsidR="007A7C22" w:rsidRPr="00AF1E1D" w:rsidRDefault="007A7C22" w:rsidP="007A7C22">
            <w:pPr>
              <w:spacing w:after="0" w:line="240" w:lineRule="auto"/>
              <w:rPr>
                <w:rFonts w:ascii="Cambria" w:eastAsia="Times New Roman" w:hAnsi="Cambria" w:cs="Calibri"/>
                <w:color w:val="000000"/>
                <w:lang w:eastAsia="es-CR"/>
              </w:rPr>
            </w:pPr>
          </w:p>
        </w:tc>
        <w:tc>
          <w:tcPr>
            <w:tcW w:w="1221" w:type="dxa"/>
            <w:tcBorders>
              <w:top w:val="nil"/>
              <w:left w:val="nil"/>
              <w:bottom w:val="nil"/>
              <w:right w:val="nil"/>
            </w:tcBorders>
            <w:shd w:val="clear" w:color="auto" w:fill="auto"/>
            <w:noWrap/>
            <w:vAlign w:val="bottom"/>
            <w:hideMark/>
          </w:tcPr>
          <w:p w14:paraId="5E4A6851" w14:textId="77777777" w:rsidR="007A7C22" w:rsidRPr="00AF1E1D" w:rsidRDefault="007A7C22" w:rsidP="007A7C22">
            <w:pPr>
              <w:spacing w:after="0" w:line="240" w:lineRule="auto"/>
              <w:jc w:val="center"/>
              <w:rPr>
                <w:rFonts w:ascii="Cambria" w:eastAsia="Times New Roman" w:hAnsi="Cambria" w:cs="Times New Roman"/>
                <w:lang w:eastAsia="es-CR"/>
              </w:rPr>
            </w:pPr>
          </w:p>
        </w:tc>
        <w:tc>
          <w:tcPr>
            <w:tcW w:w="1145" w:type="dxa"/>
            <w:tcBorders>
              <w:top w:val="nil"/>
              <w:left w:val="nil"/>
              <w:bottom w:val="nil"/>
              <w:right w:val="nil"/>
            </w:tcBorders>
            <w:shd w:val="clear" w:color="auto" w:fill="auto"/>
            <w:noWrap/>
            <w:vAlign w:val="bottom"/>
            <w:hideMark/>
          </w:tcPr>
          <w:p w14:paraId="6790E3FC" w14:textId="77777777" w:rsidR="007A7C22" w:rsidRPr="00AF1E1D" w:rsidRDefault="007A7C22" w:rsidP="007A7C22">
            <w:pPr>
              <w:spacing w:after="0" w:line="240" w:lineRule="auto"/>
              <w:jc w:val="center"/>
              <w:rPr>
                <w:rFonts w:ascii="Cambria" w:eastAsia="Times New Roman" w:hAnsi="Cambria" w:cs="Times New Roman"/>
                <w:lang w:eastAsia="es-CR"/>
              </w:rPr>
            </w:pPr>
          </w:p>
        </w:tc>
        <w:tc>
          <w:tcPr>
            <w:tcW w:w="1014" w:type="dxa"/>
            <w:tcBorders>
              <w:top w:val="nil"/>
              <w:left w:val="nil"/>
              <w:bottom w:val="nil"/>
              <w:right w:val="nil"/>
            </w:tcBorders>
            <w:shd w:val="clear" w:color="auto" w:fill="auto"/>
            <w:noWrap/>
            <w:vAlign w:val="bottom"/>
            <w:hideMark/>
          </w:tcPr>
          <w:p w14:paraId="3C871E5A" w14:textId="77777777" w:rsidR="007A7C22" w:rsidRPr="00AF1E1D" w:rsidRDefault="007A7C22" w:rsidP="007A7C22">
            <w:pPr>
              <w:spacing w:after="0" w:line="240" w:lineRule="auto"/>
              <w:jc w:val="center"/>
              <w:rPr>
                <w:rFonts w:ascii="Cambria" w:eastAsia="Times New Roman" w:hAnsi="Cambria" w:cs="Calibri"/>
                <w:color w:val="000000"/>
                <w:lang w:eastAsia="es-CR"/>
              </w:rPr>
            </w:pPr>
            <w:r w:rsidRPr="00AF1E1D">
              <w:rPr>
                <w:rFonts w:ascii="Cambria" w:eastAsia="Times New Roman" w:hAnsi="Cambria" w:cs="Calibri"/>
                <w:color w:val="000000"/>
                <w:lang w:eastAsia="es-CR"/>
              </w:rPr>
              <w:t>12,59%</w:t>
            </w:r>
          </w:p>
        </w:tc>
      </w:tr>
      <w:tr w:rsidR="007A7C22" w:rsidRPr="00AF1E1D" w14:paraId="0BF43D4E" w14:textId="77777777" w:rsidTr="007A7C22">
        <w:trPr>
          <w:trHeight w:val="288"/>
        </w:trPr>
        <w:tc>
          <w:tcPr>
            <w:tcW w:w="3740" w:type="dxa"/>
            <w:tcBorders>
              <w:top w:val="nil"/>
              <w:left w:val="nil"/>
              <w:bottom w:val="single" w:sz="4" w:space="0" w:color="auto"/>
              <w:right w:val="single" w:sz="4" w:space="0" w:color="auto"/>
            </w:tcBorders>
            <w:shd w:val="clear" w:color="auto" w:fill="auto"/>
            <w:noWrap/>
            <w:vAlign w:val="bottom"/>
            <w:hideMark/>
          </w:tcPr>
          <w:p w14:paraId="0562A911" w14:textId="77777777" w:rsidR="007A7C22" w:rsidRPr="00AF1E1D" w:rsidRDefault="007A7C22" w:rsidP="007A7C22">
            <w:pPr>
              <w:spacing w:after="0" w:line="240" w:lineRule="auto"/>
              <w:rPr>
                <w:rFonts w:ascii="Cambria" w:eastAsia="Times New Roman" w:hAnsi="Cambria" w:cs="Calibri"/>
                <w:color w:val="000000"/>
                <w:lang w:eastAsia="es-CR"/>
              </w:rPr>
            </w:pPr>
            <w:r w:rsidRPr="00AF1E1D">
              <w:rPr>
                <w:rFonts w:ascii="Cambria" w:eastAsia="Times New Roman" w:hAnsi="Cambria" w:cs="Calibri"/>
                <w:color w:val="000000"/>
                <w:lang w:eastAsia="es-CR"/>
              </w:rPr>
              <w:t>Tasa Interna de Retorno</w:t>
            </w:r>
          </w:p>
        </w:tc>
        <w:tc>
          <w:tcPr>
            <w:tcW w:w="1180" w:type="dxa"/>
            <w:tcBorders>
              <w:top w:val="nil"/>
              <w:left w:val="single" w:sz="4" w:space="0" w:color="auto"/>
              <w:bottom w:val="single" w:sz="4" w:space="0" w:color="auto"/>
              <w:right w:val="nil"/>
            </w:tcBorders>
            <w:shd w:val="clear" w:color="auto" w:fill="auto"/>
            <w:noWrap/>
            <w:vAlign w:val="bottom"/>
            <w:hideMark/>
          </w:tcPr>
          <w:p w14:paraId="34FCA481" w14:textId="77777777" w:rsidR="007A7C22" w:rsidRPr="00AF1E1D" w:rsidRDefault="007A7C22" w:rsidP="007A7C22">
            <w:pPr>
              <w:spacing w:after="0" w:line="240" w:lineRule="auto"/>
              <w:rPr>
                <w:rFonts w:ascii="Cambria" w:eastAsia="Times New Roman" w:hAnsi="Cambria" w:cs="Calibri"/>
                <w:color w:val="000000"/>
                <w:lang w:eastAsia="es-CR"/>
              </w:rPr>
            </w:pPr>
          </w:p>
        </w:tc>
        <w:tc>
          <w:tcPr>
            <w:tcW w:w="1221" w:type="dxa"/>
            <w:tcBorders>
              <w:top w:val="nil"/>
              <w:left w:val="nil"/>
              <w:bottom w:val="single" w:sz="4" w:space="0" w:color="auto"/>
              <w:right w:val="nil"/>
            </w:tcBorders>
            <w:shd w:val="clear" w:color="auto" w:fill="auto"/>
            <w:noWrap/>
            <w:vAlign w:val="bottom"/>
            <w:hideMark/>
          </w:tcPr>
          <w:p w14:paraId="5B3FAC99" w14:textId="77777777" w:rsidR="007A7C22" w:rsidRPr="00AF1E1D" w:rsidRDefault="007A7C22" w:rsidP="007A7C22">
            <w:pPr>
              <w:spacing w:after="0" w:line="240" w:lineRule="auto"/>
              <w:jc w:val="center"/>
              <w:rPr>
                <w:rFonts w:ascii="Cambria" w:eastAsia="Times New Roman" w:hAnsi="Cambria" w:cs="Times New Roman"/>
                <w:lang w:eastAsia="es-CR"/>
              </w:rPr>
            </w:pPr>
          </w:p>
        </w:tc>
        <w:tc>
          <w:tcPr>
            <w:tcW w:w="1145" w:type="dxa"/>
            <w:tcBorders>
              <w:top w:val="nil"/>
              <w:left w:val="nil"/>
              <w:bottom w:val="single" w:sz="4" w:space="0" w:color="auto"/>
              <w:right w:val="nil"/>
            </w:tcBorders>
            <w:shd w:val="clear" w:color="auto" w:fill="auto"/>
            <w:noWrap/>
            <w:vAlign w:val="bottom"/>
            <w:hideMark/>
          </w:tcPr>
          <w:p w14:paraId="34CD4B37" w14:textId="77777777" w:rsidR="007A7C22" w:rsidRPr="00AF1E1D" w:rsidRDefault="007A7C22" w:rsidP="007A7C22">
            <w:pPr>
              <w:spacing w:after="0" w:line="240" w:lineRule="auto"/>
              <w:jc w:val="center"/>
              <w:rPr>
                <w:rFonts w:ascii="Cambria" w:eastAsia="Times New Roman" w:hAnsi="Cambria" w:cs="Times New Roman"/>
                <w:lang w:eastAsia="es-CR"/>
              </w:rPr>
            </w:pPr>
          </w:p>
        </w:tc>
        <w:tc>
          <w:tcPr>
            <w:tcW w:w="1014" w:type="dxa"/>
            <w:tcBorders>
              <w:top w:val="nil"/>
              <w:left w:val="nil"/>
              <w:bottom w:val="single" w:sz="4" w:space="0" w:color="auto"/>
              <w:right w:val="nil"/>
            </w:tcBorders>
            <w:shd w:val="clear" w:color="auto" w:fill="auto"/>
            <w:noWrap/>
            <w:vAlign w:val="bottom"/>
            <w:hideMark/>
          </w:tcPr>
          <w:p w14:paraId="42CB4A75" w14:textId="77777777" w:rsidR="007A7C22" w:rsidRPr="00AF1E1D" w:rsidRDefault="007A7C22" w:rsidP="007A7C22">
            <w:pPr>
              <w:spacing w:after="0" w:line="240" w:lineRule="auto"/>
              <w:jc w:val="center"/>
              <w:rPr>
                <w:rFonts w:ascii="Cambria" w:eastAsia="Times New Roman" w:hAnsi="Cambria" w:cs="Calibri"/>
                <w:b/>
                <w:bCs/>
                <w:color w:val="000000"/>
                <w:lang w:eastAsia="es-CR"/>
              </w:rPr>
            </w:pPr>
            <w:r w:rsidRPr="00AF1E1D">
              <w:rPr>
                <w:rFonts w:ascii="Cambria" w:eastAsia="Times New Roman" w:hAnsi="Cambria" w:cs="Calibri"/>
                <w:b/>
                <w:bCs/>
                <w:color w:val="000000"/>
                <w:lang w:eastAsia="es-CR"/>
              </w:rPr>
              <w:t>12,59%</w:t>
            </w:r>
          </w:p>
        </w:tc>
      </w:tr>
    </w:tbl>
    <w:p w14:paraId="56180A58" w14:textId="76E8CDDE" w:rsidR="008A1192" w:rsidRPr="00431183" w:rsidRDefault="008A1192" w:rsidP="00431183">
      <w:pPr>
        <w:spacing w:line="240" w:lineRule="auto"/>
        <w:jc w:val="both"/>
        <w:rPr>
          <w:rFonts w:ascii="Cambria" w:hAnsi="Cambria" w:cs="Arial"/>
          <w:sz w:val="24"/>
          <w:szCs w:val="24"/>
        </w:rPr>
      </w:pPr>
      <w:r w:rsidRPr="00431183">
        <w:rPr>
          <w:rFonts w:ascii="Cambria" w:hAnsi="Cambria" w:cs="Arial"/>
          <w:sz w:val="24"/>
          <w:szCs w:val="24"/>
        </w:rPr>
        <w:br/>
      </w:r>
      <w:r w:rsidR="002B6B7F" w:rsidRPr="00431183">
        <w:rPr>
          <w:rFonts w:ascii="Cambria" w:hAnsi="Cambria" w:cs="Arial"/>
          <w:sz w:val="18"/>
          <w:szCs w:val="18"/>
        </w:rPr>
        <w:t>Fuente: Elaboración propia con datos de los productores de la Zona de los Santos</w:t>
      </w:r>
      <w:r w:rsidR="005E63D4" w:rsidRPr="00431183">
        <w:rPr>
          <w:rFonts w:ascii="Cambria" w:hAnsi="Cambria" w:cs="Arial"/>
          <w:sz w:val="18"/>
          <w:szCs w:val="18"/>
        </w:rPr>
        <w:t xml:space="preserve"> y datos suministrados por el comité de Denominación de Origen 201</w:t>
      </w:r>
      <w:r w:rsidR="001D2CD9">
        <w:rPr>
          <w:rFonts w:ascii="Cambria" w:hAnsi="Cambria" w:cs="Arial"/>
          <w:sz w:val="18"/>
          <w:szCs w:val="18"/>
        </w:rPr>
        <w:t>6</w:t>
      </w:r>
      <w:r w:rsidR="005E63D4" w:rsidRPr="00431183">
        <w:rPr>
          <w:rFonts w:ascii="Cambria" w:hAnsi="Cambria" w:cs="Arial"/>
          <w:sz w:val="18"/>
          <w:szCs w:val="18"/>
        </w:rPr>
        <w:t>.</w:t>
      </w:r>
    </w:p>
    <w:p w14:paraId="7351C74E" w14:textId="77777777" w:rsidR="002B6B7F" w:rsidRPr="00431183" w:rsidRDefault="002B6B7F" w:rsidP="00431183">
      <w:pPr>
        <w:spacing w:line="240" w:lineRule="auto"/>
        <w:jc w:val="both"/>
        <w:rPr>
          <w:rFonts w:ascii="Cambria" w:hAnsi="Cambria" w:cs="Arial"/>
          <w:sz w:val="24"/>
          <w:szCs w:val="24"/>
        </w:rPr>
      </w:pPr>
    </w:p>
    <w:p w14:paraId="2357F1E0" w14:textId="77777777" w:rsidR="005E63D4" w:rsidRPr="00431183" w:rsidRDefault="00241917" w:rsidP="00431183">
      <w:pPr>
        <w:spacing w:line="240" w:lineRule="auto"/>
        <w:jc w:val="both"/>
        <w:rPr>
          <w:rFonts w:ascii="Cambria" w:hAnsi="Cambria" w:cs="Arial"/>
          <w:sz w:val="24"/>
          <w:szCs w:val="24"/>
        </w:rPr>
      </w:pPr>
      <w:r>
        <w:rPr>
          <w:rFonts w:ascii="Cambria" w:hAnsi="Cambria" w:cs="Arial"/>
          <w:sz w:val="24"/>
          <w:szCs w:val="24"/>
        </w:rPr>
        <w:tab/>
      </w:r>
      <w:r w:rsidR="005E63D4" w:rsidRPr="00431183">
        <w:rPr>
          <w:rFonts w:ascii="Cambria" w:hAnsi="Cambria" w:cs="Arial"/>
          <w:sz w:val="24"/>
          <w:szCs w:val="24"/>
        </w:rPr>
        <w:t xml:space="preserve">En la siguiente sección se realiza un análisis referente a los </w:t>
      </w:r>
      <w:r w:rsidR="00775AF0" w:rsidRPr="00431183">
        <w:rPr>
          <w:rFonts w:ascii="Cambria" w:hAnsi="Cambria" w:cs="Arial"/>
          <w:sz w:val="24"/>
          <w:szCs w:val="24"/>
        </w:rPr>
        <w:t>beneficios que obtendrían</w:t>
      </w:r>
      <w:r>
        <w:rPr>
          <w:rFonts w:ascii="Cambria" w:hAnsi="Cambria" w:cs="Arial"/>
          <w:sz w:val="24"/>
          <w:szCs w:val="24"/>
        </w:rPr>
        <w:t xml:space="preserve"> </w:t>
      </w:r>
      <w:r w:rsidR="00775AF0" w:rsidRPr="00431183">
        <w:rPr>
          <w:rFonts w:ascii="Cambria" w:hAnsi="Cambria" w:cs="Arial"/>
          <w:sz w:val="24"/>
          <w:szCs w:val="24"/>
        </w:rPr>
        <w:t xml:space="preserve">los productores de café </w:t>
      </w:r>
      <w:r w:rsidR="005E63D4" w:rsidRPr="00431183">
        <w:rPr>
          <w:rFonts w:ascii="Cambria" w:hAnsi="Cambria" w:cs="Arial"/>
          <w:sz w:val="24"/>
          <w:szCs w:val="24"/>
        </w:rPr>
        <w:t xml:space="preserve">de la Zona de los Santos </w:t>
      </w:r>
      <w:r w:rsidR="003B24F4" w:rsidRPr="00431183">
        <w:rPr>
          <w:rFonts w:ascii="Cambria" w:hAnsi="Cambria" w:cs="Arial"/>
          <w:sz w:val="24"/>
          <w:szCs w:val="24"/>
        </w:rPr>
        <w:t xml:space="preserve">ante la aprobación de la Denominación de Origen Tarrazú </w:t>
      </w:r>
      <w:r w:rsidR="00775AF0" w:rsidRPr="00431183">
        <w:rPr>
          <w:rFonts w:ascii="Cambria" w:hAnsi="Cambria" w:cs="Arial"/>
          <w:sz w:val="24"/>
          <w:szCs w:val="24"/>
        </w:rPr>
        <w:t xml:space="preserve">dado el análisis realizado en secciones anteriores; en especial con un eventual </w:t>
      </w:r>
      <w:r w:rsidR="007930C8" w:rsidRPr="00431183">
        <w:rPr>
          <w:rFonts w:ascii="Cambria" w:hAnsi="Cambria" w:cs="Arial"/>
          <w:sz w:val="24"/>
          <w:szCs w:val="24"/>
        </w:rPr>
        <w:t>acceso</w:t>
      </w:r>
      <w:r w:rsidR="00775AF0" w:rsidRPr="00431183">
        <w:rPr>
          <w:rFonts w:ascii="Cambria" w:hAnsi="Cambria" w:cs="Arial"/>
          <w:sz w:val="24"/>
          <w:szCs w:val="24"/>
        </w:rPr>
        <w:t xml:space="preserve"> de una serie de</w:t>
      </w:r>
      <w:r w:rsidR="007930C8" w:rsidRPr="00431183">
        <w:rPr>
          <w:rFonts w:ascii="Cambria" w:hAnsi="Cambria" w:cs="Arial"/>
          <w:sz w:val="24"/>
          <w:szCs w:val="24"/>
        </w:rPr>
        <w:t xml:space="preserve"> instrumentos </w:t>
      </w:r>
      <w:r w:rsidR="00775AF0" w:rsidRPr="00431183">
        <w:rPr>
          <w:rFonts w:ascii="Cambria" w:hAnsi="Cambria" w:cs="Arial"/>
          <w:sz w:val="24"/>
          <w:szCs w:val="24"/>
        </w:rPr>
        <w:t>disponibles</w:t>
      </w:r>
      <w:r w:rsidR="00EA187A" w:rsidRPr="00431183">
        <w:rPr>
          <w:rFonts w:ascii="Cambria" w:hAnsi="Cambria" w:cs="Arial"/>
          <w:sz w:val="24"/>
          <w:szCs w:val="24"/>
        </w:rPr>
        <w:t xml:space="preserve"> </w:t>
      </w:r>
      <w:r w:rsidR="00775AF0" w:rsidRPr="00431183">
        <w:rPr>
          <w:rFonts w:ascii="Cambria" w:hAnsi="Cambria" w:cs="Arial"/>
          <w:sz w:val="24"/>
          <w:szCs w:val="24"/>
        </w:rPr>
        <w:t xml:space="preserve">en el Sistema de </w:t>
      </w:r>
      <w:r w:rsidR="00EA187A" w:rsidRPr="00431183">
        <w:rPr>
          <w:rFonts w:ascii="Cambria" w:hAnsi="Cambria" w:cs="Arial"/>
          <w:sz w:val="24"/>
          <w:szCs w:val="24"/>
        </w:rPr>
        <w:t xml:space="preserve">Banca para el Desarrollo. </w:t>
      </w:r>
    </w:p>
    <w:p w14:paraId="7FE6DFA2" w14:textId="77777777" w:rsidR="00C47DEA" w:rsidRPr="00431183" w:rsidRDefault="00171E9E" w:rsidP="00431183">
      <w:pPr>
        <w:spacing w:line="240" w:lineRule="auto"/>
        <w:ind w:firstLine="708"/>
        <w:jc w:val="both"/>
        <w:rPr>
          <w:rFonts w:ascii="Cambria" w:hAnsi="Cambria" w:cs="Arial"/>
          <w:sz w:val="24"/>
          <w:szCs w:val="24"/>
        </w:rPr>
      </w:pPr>
      <w:r w:rsidRPr="00431183">
        <w:rPr>
          <w:rFonts w:ascii="Cambria" w:hAnsi="Cambria" w:cs="Arial"/>
          <w:sz w:val="24"/>
          <w:szCs w:val="24"/>
        </w:rPr>
        <w:t>Entre uno de los principales aspectos encontrados</w:t>
      </w:r>
      <w:r w:rsidR="00A627BA" w:rsidRPr="00431183">
        <w:rPr>
          <w:rFonts w:ascii="Cambria" w:hAnsi="Cambria" w:cs="Arial"/>
          <w:sz w:val="24"/>
          <w:szCs w:val="24"/>
        </w:rPr>
        <w:t>,</w:t>
      </w:r>
      <w:r w:rsidRPr="00431183">
        <w:rPr>
          <w:rFonts w:ascii="Cambria" w:hAnsi="Cambria" w:cs="Arial"/>
          <w:sz w:val="24"/>
          <w:szCs w:val="24"/>
        </w:rPr>
        <w:t xml:space="preserve"> en la muestra analizada de productores es referente a los beneficios actuales del Sistema de Banca para el Desarrollo </w:t>
      </w:r>
      <w:r w:rsidR="00C47DEA" w:rsidRPr="00431183">
        <w:rPr>
          <w:rFonts w:ascii="Cambria" w:hAnsi="Cambria" w:cs="Arial"/>
          <w:sz w:val="24"/>
          <w:szCs w:val="24"/>
        </w:rPr>
        <w:t xml:space="preserve">en la Zona de los Santos, que el siguiente gráfico muestra la percepción de los caficultores. </w:t>
      </w:r>
    </w:p>
    <w:p w14:paraId="571E5212" w14:textId="5C2EB3F5" w:rsidR="00241917" w:rsidRPr="00AF1E1D" w:rsidRDefault="00C47DEA" w:rsidP="00431183">
      <w:pPr>
        <w:pStyle w:val="Descripcin"/>
        <w:keepNext/>
        <w:jc w:val="both"/>
        <w:rPr>
          <w:rFonts w:ascii="Cambria" w:hAnsi="Cambria" w:cs="Arial"/>
          <w:b/>
          <w:i w:val="0"/>
          <w:color w:val="auto"/>
          <w:sz w:val="22"/>
          <w:szCs w:val="22"/>
        </w:rPr>
      </w:pPr>
      <w:bookmarkStart w:id="114" w:name="_Toc527574660"/>
      <w:r w:rsidRPr="00AF1E1D">
        <w:rPr>
          <w:rFonts w:ascii="Cambria" w:hAnsi="Cambria" w:cs="Arial"/>
          <w:b/>
          <w:i w:val="0"/>
          <w:color w:val="auto"/>
          <w:sz w:val="22"/>
          <w:szCs w:val="22"/>
        </w:rPr>
        <w:lastRenderedPageBreak/>
        <w:t xml:space="preserve">Gráfico </w:t>
      </w:r>
      <w:r w:rsidR="005C7CB3" w:rsidRPr="00AF1E1D">
        <w:rPr>
          <w:rFonts w:ascii="Cambria" w:hAnsi="Cambria" w:cs="Arial"/>
          <w:b/>
          <w:i w:val="0"/>
          <w:color w:val="auto"/>
          <w:sz w:val="22"/>
          <w:szCs w:val="22"/>
        </w:rPr>
        <w:fldChar w:fldCharType="begin"/>
      </w:r>
      <w:r w:rsidRPr="00AF1E1D">
        <w:rPr>
          <w:rFonts w:ascii="Cambria" w:hAnsi="Cambria" w:cs="Arial"/>
          <w:b/>
          <w:i w:val="0"/>
          <w:color w:val="auto"/>
          <w:sz w:val="22"/>
          <w:szCs w:val="22"/>
        </w:rPr>
        <w:instrText xml:space="preserve"> SEQ Gráfico \* ARABIC </w:instrText>
      </w:r>
      <w:r w:rsidR="005C7CB3" w:rsidRPr="00AF1E1D">
        <w:rPr>
          <w:rFonts w:ascii="Cambria" w:hAnsi="Cambria" w:cs="Arial"/>
          <w:b/>
          <w:i w:val="0"/>
          <w:color w:val="auto"/>
          <w:sz w:val="22"/>
          <w:szCs w:val="22"/>
        </w:rPr>
        <w:fldChar w:fldCharType="separate"/>
      </w:r>
      <w:r w:rsidR="00292F6B">
        <w:rPr>
          <w:rFonts w:ascii="Cambria" w:hAnsi="Cambria" w:cs="Arial"/>
          <w:b/>
          <w:i w:val="0"/>
          <w:noProof/>
          <w:color w:val="auto"/>
          <w:sz w:val="22"/>
          <w:szCs w:val="22"/>
        </w:rPr>
        <w:t>14</w:t>
      </w:r>
      <w:bookmarkEnd w:id="114"/>
      <w:r w:rsidR="005C7CB3" w:rsidRPr="00AF1E1D">
        <w:rPr>
          <w:rFonts w:ascii="Cambria" w:hAnsi="Cambria" w:cs="Arial"/>
          <w:b/>
          <w:i w:val="0"/>
          <w:color w:val="auto"/>
          <w:sz w:val="22"/>
          <w:szCs w:val="22"/>
        </w:rPr>
        <w:fldChar w:fldCharType="end"/>
      </w:r>
    </w:p>
    <w:p w14:paraId="413F5F12" w14:textId="06BAB704" w:rsidR="00C47DEA" w:rsidRPr="00AF1E1D" w:rsidRDefault="00C47DEA" w:rsidP="00431183">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Beneficios percibidos por los Caficultores de los Santos del Sistema de Banca para el Desarrollo.</w:t>
      </w:r>
    </w:p>
    <w:p w14:paraId="372F09E9" w14:textId="77777777" w:rsidR="00171E9E" w:rsidRPr="00431183" w:rsidRDefault="00C47DEA" w:rsidP="00AF1E1D">
      <w:pPr>
        <w:spacing w:line="240" w:lineRule="auto"/>
        <w:rPr>
          <w:rFonts w:ascii="Cambria" w:hAnsi="Cambria" w:cs="Arial"/>
          <w:sz w:val="24"/>
          <w:szCs w:val="24"/>
        </w:rPr>
      </w:pPr>
      <w:r w:rsidRPr="00431183">
        <w:rPr>
          <w:rFonts w:ascii="Cambria" w:hAnsi="Cambria"/>
          <w:noProof/>
          <w:sz w:val="24"/>
          <w:szCs w:val="24"/>
          <w:lang w:eastAsia="es-CR"/>
        </w:rPr>
        <w:drawing>
          <wp:inline distT="0" distB="0" distL="0" distR="0" wp14:anchorId="110C190E" wp14:editId="11B2BAFE">
            <wp:extent cx="5553710" cy="2353734"/>
            <wp:effectExtent l="0" t="0" r="8890" b="8890"/>
            <wp:docPr id="24" name="Gráfico 24">
              <a:extLst xmlns:a="http://schemas.openxmlformats.org/drawingml/2006/main">
                <a:ext uri="{FF2B5EF4-FFF2-40B4-BE49-F238E27FC236}">
                  <a16:creationId xmlns:a16="http://schemas.microsoft.com/office/drawing/2014/main" id="{DFF70E80-4D24-41BF-B1AF-127C1BDEEA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29BF75A" w14:textId="617D472B" w:rsidR="007930C8" w:rsidRPr="00431183" w:rsidRDefault="00C47DEA" w:rsidP="00431183">
      <w:pPr>
        <w:spacing w:line="240" w:lineRule="auto"/>
        <w:jc w:val="both"/>
        <w:rPr>
          <w:rFonts w:ascii="Cambria" w:eastAsiaTheme="minorEastAsia" w:hAnsi="Cambria" w:cs="Arial"/>
          <w:sz w:val="18"/>
          <w:szCs w:val="18"/>
        </w:rPr>
      </w:pPr>
      <w:r w:rsidRPr="00431183">
        <w:rPr>
          <w:rFonts w:ascii="Cambria" w:hAnsi="Cambria" w:cs="Arial"/>
          <w:sz w:val="18"/>
          <w:szCs w:val="18"/>
        </w:rPr>
        <w:t xml:space="preserve">Fuente: </w:t>
      </w:r>
      <w:r w:rsidRPr="00431183">
        <w:rPr>
          <w:rFonts w:ascii="Cambria" w:eastAsiaTheme="minorEastAsia" w:hAnsi="Cambria" w:cs="Arial"/>
          <w:sz w:val="18"/>
          <w:szCs w:val="18"/>
        </w:rPr>
        <w:t xml:space="preserve">Elaboración propia con base a </w:t>
      </w:r>
      <w:r w:rsidR="00BB7D72">
        <w:rPr>
          <w:rFonts w:ascii="Cambria" w:eastAsiaTheme="minorEastAsia" w:hAnsi="Cambria" w:cs="Arial"/>
          <w:sz w:val="18"/>
          <w:szCs w:val="18"/>
        </w:rPr>
        <w:t>los datos</w:t>
      </w:r>
      <w:r w:rsidRPr="00431183">
        <w:rPr>
          <w:rFonts w:ascii="Cambria" w:eastAsiaTheme="minorEastAsia" w:hAnsi="Cambria" w:cs="Arial"/>
          <w:sz w:val="18"/>
          <w:szCs w:val="18"/>
        </w:rPr>
        <w:t xml:space="preserve"> suministrada por los productores de café de la región de los Santos</w:t>
      </w:r>
      <w:r w:rsidR="00BB7D72">
        <w:rPr>
          <w:rFonts w:ascii="Cambria" w:eastAsiaTheme="minorEastAsia" w:hAnsi="Cambria" w:cs="Arial"/>
          <w:sz w:val="18"/>
          <w:szCs w:val="18"/>
        </w:rPr>
        <w:t>, 2018</w:t>
      </w:r>
    </w:p>
    <w:p w14:paraId="546D0B04" w14:textId="77777777" w:rsidR="003B771C" w:rsidRPr="00431183" w:rsidRDefault="003B771C"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Aunque el Sistema de Banca para el </w:t>
      </w:r>
      <w:r w:rsidR="0040573E" w:rsidRPr="00431183">
        <w:rPr>
          <w:rFonts w:ascii="Cambria" w:eastAsiaTheme="minorEastAsia" w:hAnsi="Cambria" w:cs="Arial"/>
          <w:sz w:val="24"/>
          <w:szCs w:val="24"/>
        </w:rPr>
        <w:t>Desarrollo</w:t>
      </w:r>
      <w:r w:rsidRPr="00431183">
        <w:rPr>
          <w:rFonts w:ascii="Cambria" w:eastAsiaTheme="minorEastAsia" w:hAnsi="Cambria" w:cs="Arial"/>
          <w:sz w:val="24"/>
          <w:szCs w:val="24"/>
        </w:rPr>
        <w:t xml:space="preserve"> ofrece una serie de garantías</w:t>
      </w:r>
      <w:r w:rsidR="00F37BC2" w:rsidRPr="00431183">
        <w:rPr>
          <w:rFonts w:ascii="Cambria" w:eastAsiaTheme="minorEastAsia" w:hAnsi="Cambria" w:cs="Arial"/>
          <w:sz w:val="24"/>
          <w:szCs w:val="24"/>
        </w:rPr>
        <w:t xml:space="preserve"> </w:t>
      </w:r>
      <w:r w:rsidR="00775AF0" w:rsidRPr="00431183">
        <w:rPr>
          <w:rFonts w:ascii="Cambria" w:eastAsiaTheme="minorEastAsia" w:hAnsi="Cambria" w:cs="Arial"/>
          <w:sz w:val="24"/>
          <w:szCs w:val="24"/>
        </w:rPr>
        <w:t>en el</w:t>
      </w:r>
      <w:r w:rsidR="00F37BC2" w:rsidRPr="00431183">
        <w:rPr>
          <w:rFonts w:ascii="Cambria" w:eastAsiaTheme="minorEastAsia" w:hAnsi="Cambria" w:cs="Arial"/>
          <w:sz w:val="24"/>
          <w:szCs w:val="24"/>
        </w:rPr>
        <w:t xml:space="preserve"> financiamiento</w:t>
      </w:r>
      <w:r w:rsidRPr="00431183">
        <w:rPr>
          <w:rFonts w:ascii="Cambria" w:eastAsiaTheme="minorEastAsia" w:hAnsi="Cambria" w:cs="Arial"/>
          <w:sz w:val="24"/>
          <w:szCs w:val="24"/>
        </w:rPr>
        <w:t>,</w:t>
      </w:r>
      <w:r w:rsidR="00775AF0" w:rsidRPr="00431183">
        <w:rPr>
          <w:rFonts w:ascii="Cambria" w:eastAsiaTheme="minorEastAsia" w:hAnsi="Cambria" w:cs="Arial"/>
          <w:sz w:val="24"/>
          <w:szCs w:val="24"/>
        </w:rPr>
        <w:t xml:space="preserve"> como lo son mejores tasas de interés y condiciones de pago según el ciclo de cosecha</w:t>
      </w:r>
      <w:r w:rsidRPr="00431183">
        <w:rPr>
          <w:rFonts w:ascii="Cambria" w:eastAsiaTheme="minorEastAsia" w:hAnsi="Cambria" w:cs="Arial"/>
          <w:sz w:val="24"/>
          <w:szCs w:val="24"/>
        </w:rPr>
        <w:t xml:space="preserve"> en </w:t>
      </w:r>
      <w:r w:rsidR="00F37BC2" w:rsidRPr="00431183">
        <w:rPr>
          <w:rFonts w:ascii="Cambria" w:eastAsiaTheme="minorEastAsia" w:hAnsi="Cambria" w:cs="Arial"/>
          <w:sz w:val="24"/>
          <w:szCs w:val="24"/>
        </w:rPr>
        <w:t>los productores no es percibido como una ventaja relativa</w:t>
      </w:r>
      <w:r w:rsidR="00775AF0" w:rsidRPr="00431183">
        <w:rPr>
          <w:rFonts w:ascii="Cambria" w:eastAsiaTheme="minorEastAsia" w:hAnsi="Cambria" w:cs="Arial"/>
          <w:sz w:val="24"/>
          <w:szCs w:val="24"/>
        </w:rPr>
        <w:t>.  Lo anterior se debe</w:t>
      </w:r>
      <w:r w:rsidRPr="00431183">
        <w:rPr>
          <w:rFonts w:ascii="Cambria" w:eastAsiaTheme="minorEastAsia" w:hAnsi="Cambria" w:cs="Arial"/>
          <w:sz w:val="24"/>
          <w:szCs w:val="24"/>
        </w:rPr>
        <w:t xml:space="preserve"> en especial porque estos utilizan</w:t>
      </w:r>
      <w:r w:rsidR="00775AF0" w:rsidRPr="00431183">
        <w:rPr>
          <w:rFonts w:ascii="Cambria" w:eastAsiaTheme="minorEastAsia" w:hAnsi="Cambria" w:cs="Arial"/>
          <w:sz w:val="24"/>
          <w:szCs w:val="24"/>
        </w:rPr>
        <w:t xml:space="preserve"> </w:t>
      </w:r>
      <w:r w:rsidRPr="00431183">
        <w:rPr>
          <w:rFonts w:ascii="Cambria" w:eastAsiaTheme="minorEastAsia" w:hAnsi="Cambria" w:cs="Arial"/>
          <w:sz w:val="24"/>
          <w:szCs w:val="24"/>
        </w:rPr>
        <w:t xml:space="preserve">la banca de segundo </w:t>
      </w:r>
      <w:r w:rsidR="00775AF0" w:rsidRPr="00431183">
        <w:rPr>
          <w:rFonts w:ascii="Cambria" w:eastAsiaTheme="minorEastAsia" w:hAnsi="Cambria" w:cs="Arial"/>
          <w:sz w:val="24"/>
          <w:szCs w:val="24"/>
        </w:rPr>
        <w:t>piso ofrecidos</w:t>
      </w:r>
      <w:r w:rsidRPr="00431183">
        <w:rPr>
          <w:rFonts w:ascii="Cambria" w:eastAsiaTheme="minorEastAsia" w:hAnsi="Cambria" w:cs="Arial"/>
          <w:sz w:val="24"/>
          <w:szCs w:val="24"/>
        </w:rPr>
        <w:t xml:space="preserve"> por otros actores</w:t>
      </w:r>
      <w:r w:rsidR="00775AF0" w:rsidRPr="00431183">
        <w:rPr>
          <w:rFonts w:ascii="Cambria" w:eastAsiaTheme="minorEastAsia" w:hAnsi="Cambria" w:cs="Arial"/>
          <w:sz w:val="24"/>
          <w:szCs w:val="24"/>
        </w:rPr>
        <w:t xml:space="preserve"> </w:t>
      </w:r>
      <w:r w:rsidRPr="00431183">
        <w:rPr>
          <w:rFonts w:ascii="Cambria" w:eastAsiaTheme="minorEastAsia" w:hAnsi="Cambria" w:cs="Arial"/>
          <w:sz w:val="24"/>
          <w:szCs w:val="24"/>
        </w:rPr>
        <w:t>co</w:t>
      </w:r>
      <w:r w:rsidR="00264236" w:rsidRPr="00431183">
        <w:rPr>
          <w:rFonts w:ascii="Cambria" w:eastAsiaTheme="minorEastAsia" w:hAnsi="Cambria" w:cs="Arial"/>
          <w:sz w:val="24"/>
          <w:szCs w:val="24"/>
        </w:rPr>
        <w:t>mo cooperativas de la región</w:t>
      </w:r>
      <w:r w:rsidR="00775AF0" w:rsidRPr="00431183">
        <w:rPr>
          <w:rFonts w:ascii="Cambria" w:eastAsiaTheme="minorEastAsia" w:hAnsi="Cambria" w:cs="Arial"/>
          <w:sz w:val="24"/>
          <w:szCs w:val="24"/>
        </w:rPr>
        <w:t xml:space="preserve">, que obtienen los recursos de igual forma del programa. </w:t>
      </w:r>
    </w:p>
    <w:p w14:paraId="764C71B1" w14:textId="77777777" w:rsidR="008060BE" w:rsidRPr="00431183" w:rsidRDefault="00DD5BF0"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S</w:t>
      </w:r>
      <w:r w:rsidR="00264236" w:rsidRPr="00431183">
        <w:rPr>
          <w:rFonts w:ascii="Cambria" w:eastAsiaTheme="minorEastAsia" w:hAnsi="Cambria" w:cs="Arial"/>
          <w:sz w:val="24"/>
          <w:szCs w:val="24"/>
        </w:rPr>
        <w:t xml:space="preserve">e plantea mediante una estimación econométrica haciendo el uso de modelos de </w:t>
      </w:r>
      <w:r w:rsidR="00775AF0" w:rsidRPr="00431183">
        <w:rPr>
          <w:rFonts w:ascii="Cambria" w:eastAsiaTheme="minorEastAsia" w:hAnsi="Cambria" w:cs="Arial"/>
          <w:sz w:val="24"/>
          <w:szCs w:val="24"/>
        </w:rPr>
        <w:t>múltiples</w:t>
      </w:r>
      <w:r w:rsidR="00264236" w:rsidRPr="00431183">
        <w:rPr>
          <w:rFonts w:ascii="Cambria" w:eastAsiaTheme="minorEastAsia" w:hAnsi="Cambria" w:cs="Arial"/>
          <w:sz w:val="24"/>
          <w:szCs w:val="24"/>
        </w:rPr>
        <w:t xml:space="preserve"> efectos,</w:t>
      </w:r>
      <w:r w:rsidRPr="00431183">
        <w:rPr>
          <w:rFonts w:ascii="Cambria" w:eastAsiaTheme="minorEastAsia" w:hAnsi="Cambria" w:cs="Arial"/>
          <w:sz w:val="24"/>
          <w:szCs w:val="24"/>
        </w:rPr>
        <w:t xml:space="preserve"> con el objeto de </w:t>
      </w:r>
      <w:r w:rsidR="0040573E" w:rsidRPr="00431183">
        <w:rPr>
          <w:rFonts w:ascii="Cambria" w:eastAsiaTheme="minorEastAsia" w:hAnsi="Cambria" w:cs="Arial"/>
          <w:sz w:val="24"/>
          <w:szCs w:val="24"/>
        </w:rPr>
        <w:t>analizar los beneficios de los instrumentos financiero</w:t>
      </w:r>
      <w:r w:rsidR="007A605B" w:rsidRPr="00431183">
        <w:rPr>
          <w:rFonts w:ascii="Cambria" w:eastAsiaTheme="minorEastAsia" w:hAnsi="Cambria" w:cs="Arial"/>
          <w:sz w:val="24"/>
          <w:szCs w:val="24"/>
        </w:rPr>
        <w:t>s como Banca para el De</w:t>
      </w:r>
      <w:r w:rsidR="00264236" w:rsidRPr="00431183">
        <w:rPr>
          <w:rFonts w:ascii="Cambria" w:eastAsiaTheme="minorEastAsia" w:hAnsi="Cambria" w:cs="Arial"/>
          <w:sz w:val="24"/>
          <w:szCs w:val="24"/>
        </w:rPr>
        <w:t xml:space="preserve">sarrollo, expresado </w:t>
      </w:r>
      <w:r w:rsidR="00F37BC2" w:rsidRPr="00431183">
        <w:rPr>
          <w:rFonts w:ascii="Cambria" w:eastAsiaTheme="minorEastAsia" w:hAnsi="Cambria" w:cs="Arial"/>
          <w:sz w:val="24"/>
          <w:szCs w:val="24"/>
        </w:rPr>
        <w:t>en probabilidad</w:t>
      </w:r>
      <w:r w:rsidR="007A605B" w:rsidRPr="00431183">
        <w:rPr>
          <w:rFonts w:ascii="Cambria" w:eastAsiaTheme="minorEastAsia" w:hAnsi="Cambria" w:cs="Arial"/>
          <w:sz w:val="24"/>
          <w:szCs w:val="24"/>
        </w:rPr>
        <w:t xml:space="preserve"> </w:t>
      </w:r>
      <w:r w:rsidR="00F37BC2" w:rsidRPr="00431183">
        <w:rPr>
          <w:rFonts w:ascii="Cambria" w:eastAsiaTheme="minorEastAsia" w:hAnsi="Cambria" w:cs="Arial"/>
          <w:sz w:val="24"/>
          <w:szCs w:val="24"/>
        </w:rPr>
        <w:t>mediante una regresión logit</w:t>
      </w:r>
      <w:r w:rsidR="007A605B" w:rsidRPr="00431183">
        <w:rPr>
          <w:rFonts w:ascii="Cambria" w:eastAsiaTheme="minorEastAsia" w:hAnsi="Cambria" w:cs="Arial"/>
          <w:sz w:val="24"/>
          <w:szCs w:val="24"/>
        </w:rPr>
        <w:t xml:space="preserve"> con la siguiente </w:t>
      </w:r>
      <w:r w:rsidR="004D258F" w:rsidRPr="00431183">
        <w:rPr>
          <w:rFonts w:ascii="Cambria" w:eastAsiaTheme="minorEastAsia" w:hAnsi="Cambria" w:cs="Arial"/>
          <w:sz w:val="24"/>
          <w:szCs w:val="24"/>
        </w:rPr>
        <w:t>función objetivo:</w:t>
      </w:r>
    </w:p>
    <w:p w14:paraId="6DB279F3" w14:textId="77777777" w:rsidR="00F37BC2" w:rsidRPr="00431183" w:rsidRDefault="00046C0F" w:rsidP="00431183">
      <w:pPr>
        <w:spacing w:line="240" w:lineRule="auto"/>
        <w:rPr>
          <w:rFonts w:ascii="Cambria" w:eastAsiaTheme="minorEastAsia" w:hAnsi="Cambria" w:cs="Arial"/>
          <w:sz w:val="24"/>
          <w:szCs w:val="24"/>
        </w:rPr>
      </w:pPr>
      <w:r w:rsidRPr="00431183">
        <w:rPr>
          <w:rFonts w:ascii="Cambria" w:eastAsiaTheme="minorEastAsia" w:hAnsi="Cambria" w:cs="Arial"/>
          <w:sz w:val="24"/>
          <w:szCs w:val="24"/>
        </w:rPr>
        <w:t xml:space="preserve">Efecto para </w:t>
      </w:r>
      <w:r w:rsidR="005E1323" w:rsidRPr="00431183">
        <w:rPr>
          <w:rFonts w:ascii="Cambria" w:eastAsiaTheme="minorEastAsia" w:hAnsi="Cambria" w:cs="Arial"/>
          <w:sz w:val="24"/>
          <w:szCs w:val="24"/>
        </w:rPr>
        <w:t>la Zona</w:t>
      </w:r>
      <w:r w:rsidR="00F37BC2" w:rsidRPr="00431183">
        <w:rPr>
          <w:rFonts w:ascii="Cambria" w:eastAsiaTheme="minorEastAsia" w:hAnsi="Cambria" w:cs="Arial"/>
          <w:sz w:val="24"/>
          <w:szCs w:val="24"/>
        </w:rPr>
        <w:t xml:space="preserve"> de los Santos si:</w:t>
      </w:r>
    </w:p>
    <w:p w14:paraId="72FD59C8" w14:textId="77777777" w:rsidR="008060BE" w:rsidRPr="00431183" w:rsidRDefault="00F37BC2"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1: Los actores locales se involucran con</w:t>
      </w:r>
      <w:r w:rsidR="008060BE" w:rsidRPr="00431183">
        <w:rPr>
          <w:rFonts w:ascii="Cambria" w:eastAsiaTheme="minorEastAsia" w:hAnsi="Cambria" w:cs="Arial"/>
          <w:sz w:val="24"/>
          <w:szCs w:val="24"/>
        </w:rPr>
        <w:t xml:space="preserve"> D</w:t>
      </w:r>
      <w:r w:rsidRPr="00431183">
        <w:rPr>
          <w:rFonts w:ascii="Cambria" w:eastAsiaTheme="minorEastAsia" w:hAnsi="Cambria" w:cs="Arial"/>
          <w:sz w:val="24"/>
          <w:szCs w:val="24"/>
        </w:rPr>
        <w:t>enominación de Origen y</w:t>
      </w:r>
      <w:r w:rsidR="008060BE" w:rsidRPr="00431183">
        <w:rPr>
          <w:rFonts w:ascii="Cambria" w:eastAsiaTheme="minorEastAsia" w:hAnsi="Cambria" w:cs="Arial"/>
          <w:sz w:val="24"/>
          <w:szCs w:val="24"/>
        </w:rPr>
        <w:t xml:space="preserve"> el Sistema de Banca para el Desarrollo</w:t>
      </w:r>
      <w:r w:rsidRPr="00431183">
        <w:rPr>
          <w:rFonts w:ascii="Cambria" w:eastAsiaTheme="minorEastAsia" w:hAnsi="Cambria" w:cs="Arial"/>
          <w:sz w:val="24"/>
          <w:szCs w:val="24"/>
        </w:rPr>
        <w:t xml:space="preserve"> para su implementación.</w:t>
      </w:r>
    </w:p>
    <w:p w14:paraId="7C6A4D41" w14:textId="77777777" w:rsidR="0040573E" w:rsidRPr="00431183" w:rsidRDefault="00F37BC2"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0: Los actores locales optan por no involucrase con </w:t>
      </w:r>
      <w:r w:rsidR="008060BE" w:rsidRPr="00431183">
        <w:rPr>
          <w:rFonts w:ascii="Cambria" w:eastAsiaTheme="minorEastAsia" w:hAnsi="Cambria" w:cs="Arial"/>
          <w:sz w:val="24"/>
          <w:szCs w:val="24"/>
        </w:rPr>
        <w:t>la Denomina</w:t>
      </w:r>
      <w:r w:rsidR="00AA05C0" w:rsidRPr="00431183">
        <w:rPr>
          <w:rFonts w:ascii="Cambria" w:eastAsiaTheme="minorEastAsia" w:hAnsi="Cambria" w:cs="Arial"/>
          <w:sz w:val="24"/>
          <w:szCs w:val="24"/>
        </w:rPr>
        <w:t>ción de Origen y B</w:t>
      </w:r>
      <w:r w:rsidRPr="00431183">
        <w:rPr>
          <w:rFonts w:ascii="Cambria" w:eastAsiaTheme="minorEastAsia" w:hAnsi="Cambria" w:cs="Arial"/>
          <w:sz w:val="24"/>
          <w:szCs w:val="24"/>
        </w:rPr>
        <w:t>anca para el Desarrollo</w:t>
      </w:r>
      <w:r w:rsidR="008060BE" w:rsidRPr="00431183">
        <w:rPr>
          <w:rFonts w:ascii="Cambria" w:eastAsiaTheme="minorEastAsia" w:hAnsi="Cambria" w:cs="Arial"/>
          <w:sz w:val="24"/>
          <w:szCs w:val="24"/>
        </w:rPr>
        <w:t xml:space="preserve">. </w:t>
      </w:r>
    </w:p>
    <w:p w14:paraId="1522C3B5" w14:textId="77777777" w:rsidR="008060BE" w:rsidRPr="00431183" w:rsidRDefault="008060BE"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Con el planteamiento anterior, se busca entre otras cosas determinar</w:t>
      </w:r>
      <w:r w:rsidR="00F37BC2" w:rsidRPr="00431183">
        <w:rPr>
          <w:rFonts w:ascii="Cambria" w:eastAsiaTheme="minorEastAsia" w:hAnsi="Cambria" w:cs="Arial"/>
          <w:sz w:val="24"/>
          <w:szCs w:val="24"/>
        </w:rPr>
        <w:t>,</w:t>
      </w:r>
      <w:r w:rsidRPr="00431183">
        <w:rPr>
          <w:rFonts w:ascii="Cambria" w:eastAsiaTheme="minorEastAsia" w:hAnsi="Cambria" w:cs="Arial"/>
          <w:sz w:val="24"/>
          <w:szCs w:val="24"/>
        </w:rPr>
        <w:t xml:space="preserve"> la probabil</w:t>
      </w:r>
      <w:r w:rsidR="00783058" w:rsidRPr="00431183">
        <w:rPr>
          <w:rFonts w:ascii="Cambria" w:eastAsiaTheme="minorEastAsia" w:hAnsi="Cambria" w:cs="Arial"/>
          <w:sz w:val="24"/>
          <w:szCs w:val="24"/>
        </w:rPr>
        <w:t>idad de obtener una serie de beneficios</w:t>
      </w:r>
      <w:r w:rsidR="00046C0F" w:rsidRPr="00431183">
        <w:rPr>
          <w:rFonts w:ascii="Cambria" w:eastAsiaTheme="minorEastAsia" w:hAnsi="Cambria" w:cs="Arial"/>
          <w:sz w:val="24"/>
          <w:szCs w:val="24"/>
        </w:rPr>
        <w:t>,</w:t>
      </w:r>
      <w:r w:rsidRPr="00431183">
        <w:rPr>
          <w:rFonts w:ascii="Cambria" w:eastAsiaTheme="minorEastAsia" w:hAnsi="Cambria" w:cs="Arial"/>
          <w:sz w:val="24"/>
          <w:szCs w:val="24"/>
        </w:rPr>
        <w:t xml:space="preserve"> </w:t>
      </w:r>
      <w:r w:rsidR="00264236" w:rsidRPr="00431183">
        <w:rPr>
          <w:rFonts w:ascii="Cambria" w:eastAsiaTheme="minorEastAsia" w:hAnsi="Cambria" w:cs="Arial"/>
          <w:sz w:val="24"/>
          <w:szCs w:val="24"/>
        </w:rPr>
        <w:t>de</w:t>
      </w:r>
      <w:r w:rsidR="00F37BC2" w:rsidRPr="00431183">
        <w:rPr>
          <w:rFonts w:ascii="Cambria" w:eastAsiaTheme="minorEastAsia" w:hAnsi="Cambria" w:cs="Arial"/>
          <w:sz w:val="24"/>
          <w:szCs w:val="24"/>
        </w:rPr>
        <w:t xml:space="preserve"> la</w:t>
      </w:r>
      <w:r w:rsidRPr="00431183">
        <w:rPr>
          <w:rFonts w:ascii="Cambria" w:eastAsiaTheme="minorEastAsia" w:hAnsi="Cambria" w:cs="Arial"/>
          <w:sz w:val="24"/>
          <w:szCs w:val="24"/>
        </w:rPr>
        <w:t xml:space="preserve"> de</w:t>
      </w:r>
      <w:r w:rsidR="00F37BC2" w:rsidRPr="00431183">
        <w:rPr>
          <w:rFonts w:ascii="Cambria" w:eastAsiaTheme="minorEastAsia" w:hAnsi="Cambria" w:cs="Arial"/>
          <w:sz w:val="24"/>
          <w:szCs w:val="24"/>
        </w:rPr>
        <w:t xml:space="preserve">nominación de </w:t>
      </w:r>
      <w:r w:rsidR="00AA05C0" w:rsidRPr="00431183">
        <w:rPr>
          <w:rFonts w:ascii="Cambria" w:eastAsiaTheme="minorEastAsia" w:hAnsi="Cambria" w:cs="Arial"/>
          <w:sz w:val="24"/>
          <w:szCs w:val="24"/>
        </w:rPr>
        <w:t>origen</w:t>
      </w:r>
      <w:r w:rsidR="003E6097" w:rsidRPr="00431183">
        <w:rPr>
          <w:rFonts w:ascii="Cambria" w:eastAsiaTheme="minorEastAsia" w:hAnsi="Cambria" w:cs="Arial"/>
          <w:sz w:val="24"/>
          <w:szCs w:val="24"/>
        </w:rPr>
        <w:t xml:space="preserve"> teniendo en cuenta que los agentes locales podrían ser beneficiarios del programa de Banca para el Desarrollo. </w:t>
      </w:r>
      <w:r w:rsidRPr="00431183">
        <w:rPr>
          <w:rFonts w:ascii="Cambria" w:eastAsiaTheme="minorEastAsia" w:hAnsi="Cambria" w:cs="Arial"/>
          <w:sz w:val="24"/>
          <w:szCs w:val="24"/>
        </w:rPr>
        <w:t xml:space="preserve"> </w:t>
      </w:r>
    </w:p>
    <w:p w14:paraId="71BAAB6D" w14:textId="77777777" w:rsidR="00264236" w:rsidRPr="00431183" w:rsidRDefault="00264236"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Por ende, la especificación del modelo está determinada de la siguiente manera:</w:t>
      </w:r>
    </w:p>
    <w:p w14:paraId="214F690A" w14:textId="77777777" w:rsidR="00241917" w:rsidRDefault="00241917" w:rsidP="00FC2D87">
      <w:pPr>
        <w:spacing w:line="240" w:lineRule="auto"/>
        <w:jc w:val="both"/>
        <w:rPr>
          <w:rFonts w:ascii="Cambria" w:eastAsiaTheme="minorEastAsia" w:hAnsi="Cambria" w:cs="Arial"/>
          <w:sz w:val="24"/>
          <w:szCs w:val="24"/>
        </w:rPr>
      </w:pPr>
    </w:p>
    <w:p w14:paraId="7E7D6298" w14:textId="77777777" w:rsidR="00241917" w:rsidRDefault="00241917" w:rsidP="00FC2D87">
      <w:pPr>
        <w:spacing w:line="240" w:lineRule="auto"/>
        <w:jc w:val="both"/>
        <w:rPr>
          <w:rFonts w:ascii="Cambria" w:eastAsiaTheme="minorEastAsia" w:hAnsi="Cambria" w:cs="Arial"/>
          <w:sz w:val="24"/>
          <w:szCs w:val="24"/>
        </w:rPr>
      </w:pPr>
    </w:p>
    <w:p w14:paraId="2B3C69BD" w14:textId="77777777" w:rsidR="00241917" w:rsidRDefault="00264236" w:rsidP="00FC2D87">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Beneficios de la DO:</w:t>
      </w:r>
    </w:p>
    <w:p w14:paraId="47B14FB3" w14:textId="77777777" w:rsidR="00264236" w:rsidRPr="00431183" w:rsidRDefault="00264236" w:rsidP="00431183">
      <w:pPr>
        <w:spacing w:line="240" w:lineRule="auto"/>
        <w:jc w:val="both"/>
        <w:rPr>
          <w:rFonts w:ascii="Cambria" w:eastAsiaTheme="minorEastAsia" w:hAnsi="Cambria" w:cs="Arial"/>
          <w:sz w:val="24"/>
          <w:szCs w:val="24"/>
        </w:rPr>
      </w:pPr>
      <m:oMathPara>
        <m:oMath>
          <m:r>
            <w:rPr>
              <w:rFonts w:ascii="Cambria Math" w:eastAsiaTheme="minorEastAsia" w:hAnsi="Cambria Math" w:cs="Arial"/>
              <w:sz w:val="24"/>
              <w:szCs w:val="24"/>
            </w:rPr>
            <m:t xml:space="preserve"> β0+β1Calidad+ β2Beneficiario de Banca Desarrollo+ β3Beneficios esperados de la DO+ β4Beneficios esperados de la Banca del Desarrollo β5 Edad productor+ β6 Tiempo dedicado a la actividad </m:t>
          </m:r>
        </m:oMath>
      </m:oMathPara>
    </w:p>
    <w:p w14:paraId="784B7046" w14:textId="77777777" w:rsidR="00A35831" w:rsidRPr="00431183" w:rsidRDefault="00A35831" w:rsidP="00431183">
      <w:p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Para aproximar la especiación anterior, se definen las siguientes variables proxy para realizar la regresión Logística de Beneficios esperados:</w:t>
      </w:r>
    </w:p>
    <w:p w14:paraId="011F1D01" w14:textId="77777777" w:rsidR="00A35831" w:rsidRPr="00431183" w:rsidRDefault="00A35831" w:rsidP="00431183">
      <w:pPr>
        <w:pStyle w:val="Prrafodelista"/>
        <w:numPr>
          <w:ilvl w:val="0"/>
          <w:numId w:val="21"/>
        </w:num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Conoc</w:t>
      </w:r>
      <w:r w:rsidR="005E1323" w:rsidRPr="00431183">
        <w:rPr>
          <w:rFonts w:ascii="Cambria" w:eastAsiaTheme="minorEastAsia" w:hAnsi="Cambria" w:cs="Arial"/>
          <w:sz w:val="24"/>
          <w:szCs w:val="24"/>
        </w:rPr>
        <w:t>imiento de la calidad del café.</w:t>
      </w:r>
    </w:p>
    <w:p w14:paraId="21A84E50" w14:textId="77777777" w:rsidR="005E1323" w:rsidRPr="00431183" w:rsidRDefault="005E1323" w:rsidP="00431183">
      <w:pPr>
        <w:pStyle w:val="Prrafodelista"/>
        <w:numPr>
          <w:ilvl w:val="0"/>
          <w:numId w:val="21"/>
        </w:num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Ser beneficiario de algún producto de Banca para el Desarrollo</w:t>
      </w:r>
      <w:r w:rsidR="00DD5BF0" w:rsidRPr="00431183">
        <w:rPr>
          <w:rFonts w:ascii="Cambria" w:eastAsiaTheme="minorEastAsia" w:hAnsi="Cambria" w:cs="Arial"/>
          <w:sz w:val="24"/>
          <w:szCs w:val="24"/>
        </w:rPr>
        <w:t xml:space="preserve"> ya sea mediante banca de segundo piso u otra figura legal</w:t>
      </w:r>
      <w:r w:rsidRPr="00431183">
        <w:rPr>
          <w:rFonts w:ascii="Cambria" w:eastAsiaTheme="minorEastAsia" w:hAnsi="Cambria" w:cs="Arial"/>
          <w:sz w:val="24"/>
          <w:szCs w:val="24"/>
        </w:rPr>
        <w:t xml:space="preserve"> </w:t>
      </w:r>
    </w:p>
    <w:p w14:paraId="50D10737" w14:textId="1E20278C" w:rsidR="005E1323" w:rsidRPr="00431183" w:rsidRDefault="005E1323" w:rsidP="00431183">
      <w:pPr>
        <w:pStyle w:val="Prrafodelista"/>
        <w:numPr>
          <w:ilvl w:val="0"/>
          <w:numId w:val="21"/>
        </w:num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Beneficios esperados de la denominación de origen</w:t>
      </w:r>
      <w:r w:rsidR="00DD5BF0" w:rsidRPr="00431183">
        <w:rPr>
          <w:rFonts w:ascii="Cambria" w:eastAsiaTheme="minorEastAsia" w:hAnsi="Cambria" w:cs="Arial"/>
          <w:sz w:val="24"/>
          <w:szCs w:val="24"/>
        </w:rPr>
        <w:t xml:space="preserve"> Tarrazú </w:t>
      </w:r>
    </w:p>
    <w:p w14:paraId="7E0E9824" w14:textId="77777777" w:rsidR="005E1323" w:rsidRPr="00431183" w:rsidRDefault="005E1323" w:rsidP="00431183">
      <w:pPr>
        <w:pStyle w:val="Prrafodelista"/>
        <w:numPr>
          <w:ilvl w:val="0"/>
          <w:numId w:val="21"/>
        </w:num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Beneficios esperados del sistema de Banca para el Desarrollo</w:t>
      </w:r>
      <w:r w:rsidR="00DD5BF0" w:rsidRPr="00431183">
        <w:rPr>
          <w:rFonts w:ascii="Cambria" w:eastAsiaTheme="minorEastAsia" w:hAnsi="Cambria" w:cs="Arial"/>
          <w:sz w:val="24"/>
          <w:szCs w:val="24"/>
        </w:rPr>
        <w:t xml:space="preserve"> si se adquiere la denominación de origen</w:t>
      </w:r>
    </w:p>
    <w:p w14:paraId="10EF866E" w14:textId="77777777" w:rsidR="005E1323" w:rsidRPr="00431183" w:rsidRDefault="005E1323" w:rsidP="00431183">
      <w:pPr>
        <w:pStyle w:val="Prrafodelista"/>
        <w:numPr>
          <w:ilvl w:val="0"/>
          <w:numId w:val="21"/>
        </w:num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Beneficios actuales de la banca del Desarrollo </w:t>
      </w:r>
    </w:p>
    <w:p w14:paraId="5004EC6C" w14:textId="77777777" w:rsidR="0093129B" w:rsidRPr="00431183" w:rsidRDefault="005E1323" w:rsidP="00431183">
      <w:pPr>
        <w:pStyle w:val="Prrafodelista"/>
        <w:numPr>
          <w:ilvl w:val="0"/>
          <w:numId w:val="21"/>
        </w:num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Tiempo dedicado por cada productor en la actividad del cultivo del café. </w:t>
      </w:r>
    </w:p>
    <w:p w14:paraId="67EEC97E" w14:textId="77777777" w:rsidR="003B6E4F" w:rsidRPr="00431183" w:rsidRDefault="003B6E4F" w:rsidP="00431183">
      <w:pPr>
        <w:pStyle w:val="Prrafodelista"/>
        <w:numPr>
          <w:ilvl w:val="0"/>
          <w:numId w:val="21"/>
        </w:numPr>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Tipo de inversión necesario en nivel de finca para adquirir la Denominación de Origen.</w:t>
      </w:r>
    </w:p>
    <w:p w14:paraId="4EB4D3F2" w14:textId="77777777" w:rsidR="0093129B" w:rsidRPr="00431183" w:rsidRDefault="0093129B" w:rsidP="00431183">
      <w:pPr>
        <w:spacing w:line="240" w:lineRule="auto"/>
        <w:jc w:val="center"/>
        <w:rPr>
          <w:rFonts w:ascii="Cambria" w:hAnsi="Cambria" w:cs="Arial"/>
          <w:b/>
          <w:sz w:val="24"/>
          <w:szCs w:val="24"/>
        </w:rPr>
      </w:pPr>
      <w:r w:rsidRPr="00431183">
        <w:rPr>
          <w:rFonts w:ascii="Cambria" w:hAnsi="Cambria" w:cs="Arial"/>
          <w:b/>
          <w:sz w:val="24"/>
          <w:szCs w:val="24"/>
        </w:rPr>
        <w:t>Análisis de Significancia del Modelo</w:t>
      </w:r>
    </w:p>
    <w:p w14:paraId="0A33B758" w14:textId="77777777" w:rsidR="0093129B" w:rsidRPr="00431183" w:rsidRDefault="00DD5BF0" w:rsidP="00431183">
      <w:pPr>
        <w:spacing w:line="240" w:lineRule="auto"/>
        <w:ind w:firstLine="708"/>
        <w:jc w:val="both"/>
        <w:rPr>
          <w:rFonts w:ascii="Cambria" w:hAnsi="Cambria" w:cs="Arial"/>
          <w:sz w:val="24"/>
          <w:szCs w:val="24"/>
        </w:rPr>
      </w:pPr>
      <w:r w:rsidRPr="00431183">
        <w:rPr>
          <w:rFonts w:ascii="Cambria" w:hAnsi="Cambria" w:cs="Arial"/>
          <w:sz w:val="24"/>
          <w:szCs w:val="24"/>
        </w:rPr>
        <w:t>Entre los primeros pasos esta analizar la significancia general del modelo</w:t>
      </w:r>
      <w:r w:rsidR="003B6E4F" w:rsidRPr="00431183">
        <w:rPr>
          <w:rFonts w:ascii="Cambria" w:hAnsi="Cambria" w:cs="Arial"/>
          <w:sz w:val="24"/>
          <w:szCs w:val="24"/>
        </w:rPr>
        <w:t xml:space="preserve">, por ende se plantea la </w:t>
      </w:r>
      <w:r w:rsidR="0093129B" w:rsidRPr="00431183">
        <w:rPr>
          <w:rFonts w:ascii="Cambria" w:hAnsi="Cambria" w:cs="Arial"/>
          <w:sz w:val="24"/>
          <w:szCs w:val="24"/>
        </w:rPr>
        <w:t xml:space="preserve">siguiente hipótesis: </w:t>
      </w:r>
    </w:p>
    <w:p w14:paraId="7D0D68EE" w14:textId="77777777" w:rsidR="0093129B" w:rsidRPr="00431183" w:rsidRDefault="00B127E3" w:rsidP="00431183">
      <w:pPr>
        <w:spacing w:line="240" w:lineRule="auto"/>
        <w:jc w:val="center"/>
        <w:rPr>
          <w:rFonts w:ascii="Cambria" w:eastAsiaTheme="minorEastAsia" w:hAnsi="Cambria" w:cs="Arial"/>
          <w:sz w:val="24"/>
          <w:szCs w:val="24"/>
        </w:rPr>
      </w:pPr>
      <m:oMathPara>
        <m:oMath>
          <m:d>
            <m:dPr>
              <m:begChr m:val="{"/>
              <m:endChr m:val=""/>
              <m:ctrlPr>
                <w:rPr>
                  <w:rFonts w:ascii="Cambria Math" w:hAnsi="Cambria Math" w:cs="Arial"/>
                  <w:i/>
                  <w:sz w:val="24"/>
                  <w:szCs w:val="24"/>
                </w:rPr>
              </m:ctrlPr>
            </m:dPr>
            <m:e>
              <m:eqArr>
                <m:eqArrPr>
                  <m:ctrlPr>
                    <w:rPr>
                      <w:rFonts w:ascii="Cambria Math" w:hAnsi="Cambria Math" w:cs="Arial"/>
                      <w:i/>
                      <w:sz w:val="24"/>
                      <w:szCs w:val="24"/>
                    </w:rPr>
                  </m:ctrlPr>
                </m:eqArrPr>
                <m:e>
                  <m:r>
                    <w:rPr>
                      <w:rFonts w:ascii="Cambria Math" w:hAnsi="Cambria Math" w:cs="Arial"/>
                      <w:sz w:val="24"/>
                      <w:szCs w:val="24"/>
                    </w:rPr>
                    <m:t>Ho: βo=β1=β2=βn=0</m:t>
                  </m:r>
                </m:e>
                <m:e>
                  <m:r>
                    <w:rPr>
                      <w:rFonts w:ascii="Cambria Math" w:hAnsi="Cambria Math" w:cs="Arial"/>
                      <w:sz w:val="24"/>
                      <w:szCs w:val="24"/>
                    </w:rPr>
                    <m:t>Ha: Al menos un cociente es≠0</m:t>
                  </m:r>
                </m:e>
              </m:eqArr>
            </m:e>
          </m:d>
        </m:oMath>
      </m:oMathPara>
    </w:p>
    <w:p w14:paraId="067F7AFC" w14:textId="77777777" w:rsidR="003B6E4F" w:rsidRPr="00431183" w:rsidRDefault="0093129B" w:rsidP="00431183">
      <w:pPr>
        <w:spacing w:line="240" w:lineRule="auto"/>
        <w:ind w:firstLine="708"/>
        <w:jc w:val="both"/>
        <w:rPr>
          <w:rFonts w:ascii="Cambria" w:hAnsi="Cambria" w:cs="Arial"/>
          <w:sz w:val="24"/>
          <w:szCs w:val="24"/>
        </w:rPr>
      </w:pPr>
      <w:r w:rsidRPr="00431183">
        <w:rPr>
          <w:rFonts w:ascii="Cambria" w:hAnsi="Cambria" w:cs="Arial"/>
          <w:sz w:val="24"/>
          <w:szCs w:val="24"/>
        </w:rPr>
        <w:t>Utilizando el G estadístico para Máxima Verisimilitudes de la regresión logística se obtiene un resultado de 0.0263 respectivamente, con un nivel de significancia de 5% se acepta la Ho, por ende, estadísticamente existe suficiente evidencia para aceptar significancia general del modelo.</w:t>
      </w:r>
    </w:p>
    <w:p w14:paraId="639DC739" w14:textId="77777777" w:rsidR="0093129B" w:rsidRPr="00431183" w:rsidRDefault="0093129B" w:rsidP="00431183">
      <w:pPr>
        <w:spacing w:line="240" w:lineRule="auto"/>
        <w:jc w:val="both"/>
        <w:rPr>
          <w:rFonts w:ascii="Cambria" w:hAnsi="Cambria" w:cs="Arial"/>
          <w:sz w:val="24"/>
          <w:szCs w:val="24"/>
        </w:rPr>
      </w:pPr>
      <w:r w:rsidRPr="00431183">
        <w:rPr>
          <w:rFonts w:ascii="Cambria" w:hAnsi="Cambria" w:cs="Arial"/>
          <w:b/>
          <w:sz w:val="24"/>
          <w:szCs w:val="24"/>
        </w:rPr>
        <w:t xml:space="preserve">Significancia individual de los parámetros </w:t>
      </w:r>
    </w:p>
    <w:p w14:paraId="36F0BFF5" w14:textId="77777777" w:rsidR="0093129B" w:rsidRPr="00431183" w:rsidRDefault="0093129B" w:rsidP="00431183">
      <w:pPr>
        <w:tabs>
          <w:tab w:val="left" w:pos="2700"/>
        </w:tabs>
        <w:spacing w:line="240" w:lineRule="auto"/>
        <w:rPr>
          <w:rFonts w:ascii="Cambria" w:hAnsi="Cambria" w:cs="Arial"/>
          <w:sz w:val="24"/>
          <w:szCs w:val="24"/>
        </w:rPr>
      </w:pPr>
      <w:r w:rsidRPr="00431183">
        <w:rPr>
          <w:rFonts w:ascii="Cambria" w:hAnsi="Cambria" w:cs="Arial"/>
          <w:sz w:val="24"/>
          <w:szCs w:val="24"/>
        </w:rPr>
        <w:t xml:space="preserve">De los resultados anteriores, se observa que podrían </w:t>
      </w:r>
      <w:r w:rsidR="00241917" w:rsidRPr="00431183">
        <w:rPr>
          <w:rFonts w:ascii="Cambria" w:hAnsi="Cambria" w:cs="Arial"/>
          <w:sz w:val="24"/>
          <w:szCs w:val="24"/>
        </w:rPr>
        <w:t>existir problemas</w:t>
      </w:r>
      <w:r w:rsidRPr="00431183">
        <w:rPr>
          <w:rFonts w:ascii="Cambria" w:hAnsi="Cambria" w:cs="Arial"/>
          <w:sz w:val="24"/>
          <w:szCs w:val="24"/>
        </w:rPr>
        <w:t xml:space="preserve"> de</w:t>
      </w:r>
      <w:r w:rsidR="00241917">
        <w:rPr>
          <w:rFonts w:ascii="Cambria" w:hAnsi="Cambria" w:cs="Arial"/>
          <w:sz w:val="24"/>
          <w:szCs w:val="24"/>
        </w:rPr>
        <w:t xml:space="preserve"> </w:t>
      </w:r>
      <w:r w:rsidRPr="00431183">
        <w:rPr>
          <w:rFonts w:ascii="Cambria" w:hAnsi="Cambria" w:cs="Arial"/>
          <w:sz w:val="24"/>
          <w:szCs w:val="24"/>
        </w:rPr>
        <w:t>significancia individual de los parámetros estimados, por lo tanto se realiza pruebas en bloque para evitar errores de tipo I.</w:t>
      </w:r>
    </w:p>
    <w:p w14:paraId="4D00E335" w14:textId="77777777" w:rsidR="0093129B" w:rsidRPr="00431183" w:rsidRDefault="0093129B" w:rsidP="00431183">
      <w:pPr>
        <w:tabs>
          <w:tab w:val="left" w:pos="2700"/>
        </w:tabs>
        <w:spacing w:line="240" w:lineRule="auto"/>
        <w:rPr>
          <w:rFonts w:ascii="Cambria" w:hAnsi="Cambria" w:cs="Arial"/>
          <w:sz w:val="24"/>
          <w:szCs w:val="24"/>
        </w:rPr>
      </w:pPr>
      <w:r w:rsidRPr="00431183">
        <w:rPr>
          <w:rFonts w:ascii="Cambria" w:hAnsi="Cambria" w:cs="Arial"/>
          <w:sz w:val="24"/>
          <w:szCs w:val="24"/>
        </w:rPr>
        <w:t xml:space="preserve"> Se plantea la siguiente hipótesis </w:t>
      </w:r>
    </w:p>
    <w:p w14:paraId="361953DA" w14:textId="77777777" w:rsidR="0093129B" w:rsidRPr="00431183" w:rsidRDefault="00B127E3" w:rsidP="00431183">
      <w:pPr>
        <w:spacing w:line="240" w:lineRule="auto"/>
        <w:jc w:val="center"/>
        <w:rPr>
          <w:rFonts w:ascii="Cambria" w:eastAsiaTheme="minorEastAsia" w:hAnsi="Cambria" w:cs="Arial"/>
          <w:sz w:val="24"/>
          <w:szCs w:val="24"/>
        </w:rPr>
      </w:pPr>
      <m:oMathPara>
        <m:oMath>
          <m:d>
            <m:dPr>
              <m:begChr m:val="{"/>
              <m:endChr m:val=""/>
              <m:ctrlPr>
                <w:rPr>
                  <w:rFonts w:ascii="Cambria Math" w:hAnsi="Cambria Math" w:cs="Arial"/>
                  <w:i/>
                  <w:sz w:val="24"/>
                  <w:szCs w:val="24"/>
                </w:rPr>
              </m:ctrlPr>
            </m:dPr>
            <m:e>
              <m:eqArr>
                <m:eqArrPr>
                  <m:ctrlPr>
                    <w:rPr>
                      <w:rFonts w:ascii="Cambria Math" w:hAnsi="Cambria Math" w:cs="Arial"/>
                      <w:i/>
                      <w:sz w:val="24"/>
                      <w:szCs w:val="24"/>
                    </w:rPr>
                  </m:ctrlPr>
                </m:eqArrPr>
                <m:e>
                  <m:r>
                    <w:rPr>
                      <w:rFonts w:ascii="Cambria Math" w:hAnsi="Cambria Math" w:cs="Arial"/>
                      <w:sz w:val="24"/>
                      <w:szCs w:val="24"/>
                    </w:rPr>
                    <m:t>Ho: βo= β2=0</m:t>
                  </m:r>
                </m:e>
                <m:e>
                  <m:r>
                    <w:rPr>
                      <w:rFonts w:ascii="Cambria Math" w:hAnsi="Cambria Math" w:cs="Arial"/>
                      <w:sz w:val="24"/>
                      <w:szCs w:val="24"/>
                    </w:rPr>
                    <m:t>Ha: Al menos un cociente es≠0</m:t>
                  </m:r>
                </m:e>
              </m:eqArr>
            </m:e>
          </m:d>
        </m:oMath>
      </m:oMathPara>
    </w:p>
    <w:p w14:paraId="04B2A5BF" w14:textId="77777777" w:rsidR="0093129B" w:rsidRPr="00431183" w:rsidRDefault="0093129B" w:rsidP="00431183">
      <w:pPr>
        <w:tabs>
          <w:tab w:val="left" w:pos="2700"/>
        </w:tabs>
        <w:spacing w:line="240" w:lineRule="auto"/>
        <w:rPr>
          <w:rFonts w:ascii="Cambria" w:hAnsi="Cambria" w:cs="Arial"/>
          <w:sz w:val="24"/>
          <w:szCs w:val="24"/>
        </w:rPr>
      </w:pPr>
      <w:r w:rsidRPr="00431183">
        <w:rPr>
          <w:rFonts w:ascii="Cambria" w:hAnsi="Cambria" w:cs="Arial"/>
          <w:sz w:val="24"/>
          <w:szCs w:val="24"/>
        </w:rPr>
        <w:t xml:space="preserve">Se utiliza el siguiente estadístico de prueba: </w:t>
      </w:r>
    </w:p>
    <w:p w14:paraId="548D31CE" w14:textId="77777777" w:rsidR="0093129B" w:rsidRPr="00431183" w:rsidRDefault="0093129B" w:rsidP="00431183">
      <w:pPr>
        <w:tabs>
          <w:tab w:val="left" w:pos="2700"/>
        </w:tabs>
        <w:spacing w:line="240" w:lineRule="auto"/>
        <w:jc w:val="center"/>
        <w:rPr>
          <w:rFonts w:ascii="Cambria" w:eastAsiaTheme="minorEastAsia" w:hAnsi="Cambria" w:cs="Arial"/>
          <w:sz w:val="24"/>
          <w:szCs w:val="24"/>
          <w:lang w:val="en-US"/>
        </w:rPr>
      </w:pPr>
      <w:r w:rsidRPr="00431183">
        <w:rPr>
          <w:rFonts w:ascii="Cambria" w:hAnsi="Cambria" w:cs="Arial"/>
          <w:sz w:val="24"/>
          <w:szCs w:val="24"/>
          <w:lang w:val="en-US"/>
        </w:rPr>
        <w:t xml:space="preserve">G= -2Ln </w:t>
      </w:r>
      <m:oMath>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Verisimilitud</m:t>
                </m:r>
                <m:func>
                  <m:funcPr>
                    <m:ctrlPr>
                      <w:rPr>
                        <w:rFonts w:ascii="Cambria Math" w:hAnsi="Cambria Math" w:cs="Arial"/>
                        <w:i/>
                        <w:sz w:val="24"/>
                        <w:szCs w:val="24"/>
                      </w:rPr>
                    </m:ctrlPr>
                  </m:funcPr>
                  <m:fName>
                    <m:r>
                      <m:rPr>
                        <m:sty m:val="p"/>
                      </m:rPr>
                      <w:rPr>
                        <w:rFonts w:ascii="Cambria Math" w:hAnsi="Cambria Math" w:cs="Arial"/>
                        <w:sz w:val="24"/>
                        <w:szCs w:val="24"/>
                        <w:lang w:val="en-US"/>
                      </w:rPr>
                      <m:t>sin</m:t>
                    </m:r>
                  </m:fName>
                  <m:e>
                    <m:r>
                      <w:rPr>
                        <w:rFonts w:ascii="Cambria Math" w:hAnsi="Cambria Math" w:cs="Arial"/>
                        <w:sz w:val="24"/>
                        <w:szCs w:val="24"/>
                      </w:rPr>
                      <m:t>las</m:t>
                    </m:r>
                    <m:r>
                      <w:rPr>
                        <w:rFonts w:ascii="Cambria Math" w:hAnsi="Cambria Math" w:cs="Arial"/>
                        <w:sz w:val="24"/>
                        <w:szCs w:val="24"/>
                        <w:lang w:val="en-US"/>
                      </w:rPr>
                      <m:t xml:space="preserve"> </m:t>
                    </m:r>
                    <m:r>
                      <w:rPr>
                        <w:rFonts w:ascii="Cambria Math" w:hAnsi="Cambria Math" w:cs="Arial"/>
                        <w:sz w:val="24"/>
                        <w:szCs w:val="24"/>
                      </w:rPr>
                      <m:t>variables</m:t>
                    </m:r>
                    <m:func>
                      <m:funcPr>
                        <m:ctrlPr>
                          <w:rPr>
                            <w:rFonts w:ascii="Cambria Math" w:hAnsi="Cambria Math" w:cs="Arial"/>
                            <w:i/>
                            <w:sz w:val="24"/>
                            <w:szCs w:val="24"/>
                          </w:rPr>
                        </m:ctrlPr>
                      </m:funcPr>
                      <m:fName>
                        <m:r>
                          <m:rPr>
                            <m:sty m:val="p"/>
                          </m:rPr>
                          <w:rPr>
                            <w:rFonts w:ascii="Cambria Math" w:hAnsi="Cambria Math" w:cs="Arial"/>
                            <w:sz w:val="24"/>
                            <w:szCs w:val="24"/>
                            <w:lang w:val="en-US"/>
                          </w:rPr>
                          <m:t>sin</m:t>
                        </m:r>
                      </m:fName>
                      <m:e>
                        <m:r>
                          <w:rPr>
                            <w:rFonts w:ascii="Cambria Math" w:hAnsi="Cambria Math" w:cs="Arial"/>
                            <w:sz w:val="24"/>
                            <w:szCs w:val="24"/>
                          </w:rPr>
                          <m:t>significancia</m:t>
                        </m:r>
                        <m:r>
                          <w:rPr>
                            <w:rFonts w:ascii="Cambria Math" w:hAnsi="Cambria Math" w:cs="Arial"/>
                            <w:sz w:val="24"/>
                            <w:szCs w:val="24"/>
                            <w:lang w:val="en-US"/>
                          </w:rPr>
                          <m:t xml:space="preserve"> </m:t>
                        </m:r>
                        <m:r>
                          <w:rPr>
                            <w:rFonts w:ascii="Cambria Math" w:hAnsi="Cambria Math" w:cs="Arial"/>
                            <w:sz w:val="24"/>
                            <w:szCs w:val="24"/>
                          </w:rPr>
                          <m:t>individual</m:t>
                        </m:r>
                      </m:e>
                    </m:func>
                  </m:e>
                </m:func>
              </m:num>
              <m:den>
                <m:r>
                  <w:rPr>
                    <w:rFonts w:ascii="Cambria Math" w:hAnsi="Cambria Math" w:cs="Arial"/>
                    <w:sz w:val="24"/>
                    <w:szCs w:val="24"/>
                  </w:rPr>
                  <m:t>Verisimilitud</m:t>
                </m:r>
                <m:r>
                  <w:rPr>
                    <w:rFonts w:ascii="Cambria Math" w:hAnsi="Cambria Math" w:cs="Arial"/>
                    <w:sz w:val="24"/>
                    <w:szCs w:val="24"/>
                    <w:lang w:val="en-US"/>
                  </w:rPr>
                  <m:t xml:space="preserve"> </m:t>
                </m:r>
                <m:r>
                  <w:rPr>
                    <w:rFonts w:ascii="Cambria Math" w:hAnsi="Cambria Math" w:cs="Arial"/>
                    <w:sz w:val="24"/>
                    <w:szCs w:val="24"/>
                  </w:rPr>
                  <m:t>con</m:t>
                </m:r>
                <m:r>
                  <w:rPr>
                    <w:rFonts w:ascii="Cambria Math" w:hAnsi="Cambria Math" w:cs="Arial"/>
                    <w:sz w:val="24"/>
                    <w:szCs w:val="24"/>
                    <w:lang w:val="en-US"/>
                  </w:rPr>
                  <m:t xml:space="preserve"> </m:t>
                </m:r>
                <m:r>
                  <w:rPr>
                    <w:rFonts w:ascii="Cambria Math" w:hAnsi="Cambria Math" w:cs="Arial"/>
                    <w:sz w:val="24"/>
                    <w:szCs w:val="24"/>
                  </w:rPr>
                  <m:t>todas</m:t>
                </m:r>
                <m:r>
                  <w:rPr>
                    <w:rFonts w:ascii="Cambria Math" w:hAnsi="Cambria Math" w:cs="Arial"/>
                    <w:sz w:val="24"/>
                    <w:szCs w:val="24"/>
                    <w:lang w:val="en-US"/>
                  </w:rPr>
                  <m:t xml:space="preserve"> </m:t>
                </m:r>
                <m:r>
                  <w:rPr>
                    <w:rFonts w:ascii="Cambria Math" w:hAnsi="Cambria Math" w:cs="Arial"/>
                    <w:sz w:val="24"/>
                    <w:szCs w:val="24"/>
                  </w:rPr>
                  <m:t>las</m:t>
                </m:r>
                <m:r>
                  <w:rPr>
                    <w:rFonts w:ascii="Cambria Math" w:hAnsi="Cambria Math" w:cs="Arial"/>
                    <w:sz w:val="24"/>
                    <w:szCs w:val="24"/>
                    <w:lang w:val="en-US"/>
                  </w:rPr>
                  <m:t xml:space="preserve"> </m:t>
                </m:r>
                <m:r>
                  <w:rPr>
                    <w:rFonts w:ascii="Cambria Math" w:hAnsi="Cambria Math" w:cs="Arial"/>
                    <w:sz w:val="24"/>
                    <w:szCs w:val="24"/>
                  </w:rPr>
                  <m:t>variables</m:t>
                </m:r>
              </m:den>
            </m:f>
          </m:e>
        </m:d>
      </m:oMath>
    </w:p>
    <w:p w14:paraId="47BC8620" w14:textId="77777777" w:rsidR="0093129B" w:rsidRPr="00431183" w:rsidRDefault="0093129B" w:rsidP="00431183">
      <w:pPr>
        <w:tabs>
          <w:tab w:val="left" w:pos="2700"/>
        </w:tabs>
        <w:spacing w:line="240" w:lineRule="auto"/>
        <w:jc w:val="both"/>
        <w:rPr>
          <w:rFonts w:ascii="Cambria" w:eastAsiaTheme="minorEastAsia" w:hAnsi="Cambria" w:cs="Arial"/>
          <w:sz w:val="24"/>
          <w:szCs w:val="24"/>
        </w:rPr>
      </w:pPr>
      <w:r w:rsidRPr="00431183">
        <w:rPr>
          <w:rFonts w:ascii="Cambria" w:eastAsiaTheme="minorEastAsia" w:hAnsi="Cambria" w:cs="Arial"/>
          <w:sz w:val="24"/>
          <w:szCs w:val="24"/>
        </w:rPr>
        <w:t xml:space="preserve">Modificando el modelo se obtienen los siguientes resultados: </w:t>
      </w:r>
    </w:p>
    <w:p w14:paraId="2269A305" w14:textId="77777777" w:rsidR="00ED3B61" w:rsidRDefault="00ED3B61" w:rsidP="00ED3B61">
      <w:pPr>
        <w:pStyle w:val="Descripcin"/>
        <w:keepNext/>
        <w:jc w:val="both"/>
        <w:rPr>
          <w:rFonts w:ascii="Cambria" w:hAnsi="Cambria" w:cs="Arial"/>
          <w:b/>
          <w:i w:val="0"/>
          <w:color w:val="auto"/>
          <w:sz w:val="22"/>
          <w:szCs w:val="22"/>
        </w:rPr>
        <w:sectPr w:rsidR="00ED3B61" w:rsidSect="005C7CB3">
          <w:footerReference w:type="default" r:id="rId27"/>
          <w:pgSz w:w="12240" w:h="15840"/>
          <w:pgMar w:top="1417" w:right="1701" w:bottom="1417" w:left="1701" w:header="708" w:footer="708" w:gutter="0"/>
          <w:cols w:space="708"/>
          <w:docGrid w:linePitch="360"/>
        </w:sectPr>
      </w:pPr>
      <w:bookmarkStart w:id="115" w:name="_Toc519692071"/>
    </w:p>
    <w:p w14:paraId="0996F9C3" w14:textId="79934A22" w:rsidR="00ED3B61" w:rsidRPr="00AF1E1D" w:rsidRDefault="00D327D7" w:rsidP="00AF1E1D">
      <w:pPr>
        <w:pStyle w:val="Descripcin"/>
        <w:rPr>
          <w:rFonts w:ascii="Cambria" w:hAnsi="Cambria" w:cs="Arial"/>
          <w:b/>
          <w:i w:val="0"/>
          <w:color w:val="auto"/>
          <w:sz w:val="22"/>
          <w:szCs w:val="22"/>
        </w:rPr>
      </w:pPr>
      <w:bookmarkStart w:id="116" w:name="_Toc527576371"/>
      <w:r w:rsidRPr="00AF1E1D">
        <w:rPr>
          <w:rFonts w:ascii="Cambria" w:hAnsi="Cambria" w:cs="Arial"/>
          <w:b/>
          <w:i w:val="0"/>
          <w:color w:val="auto"/>
          <w:sz w:val="22"/>
          <w:szCs w:val="22"/>
        </w:rPr>
        <w:lastRenderedPageBreak/>
        <w:t>T</w:t>
      </w:r>
      <w:r w:rsidR="00CE6395" w:rsidRPr="00AF1E1D">
        <w:rPr>
          <w:rFonts w:ascii="Cambria" w:hAnsi="Cambria"/>
          <w:b/>
          <w:i w:val="0"/>
          <w:color w:val="auto"/>
          <w:sz w:val="22"/>
          <w:szCs w:val="22"/>
        </w:rPr>
        <w:t xml:space="preserve">abla </w:t>
      </w:r>
      <w:r w:rsidR="00CE6395" w:rsidRPr="00AF1E1D">
        <w:rPr>
          <w:rFonts w:ascii="Cambria" w:hAnsi="Cambria"/>
          <w:b/>
          <w:i w:val="0"/>
          <w:color w:val="auto"/>
          <w:sz w:val="22"/>
          <w:szCs w:val="22"/>
        </w:rPr>
        <w:fldChar w:fldCharType="begin"/>
      </w:r>
      <w:r w:rsidR="00CE6395" w:rsidRPr="00AF1E1D">
        <w:rPr>
          <w:rFonts w:ascii="Cambria" w:hAnsi="Cambria"/>
          <w:b/>
          <w:i w:val="0"/>
          <w:color w:val="auto"/>
          <w:sz w:val="22"/>
          <w:szCs w:val="22"/>
        </w:rPr>
        <w:instrText xml:space="preserve"> SEQ Tabla \* ARABIC </w:instrText>
      </w:r>
      <w:r w:rsidR="00CE6395" w:rsidRPr="00AF1E1D">
        <w:rPr>
          <w:rFonts w:ascii="Cambria" w:hAnsi="Cambria"/>
          <w:b/>
          <w:i w:val="0"/>
          <w:color w:val="auto"/>
          <w:sz w:val="22"/>
          <w:szCs w:val="22"/>
        </w:rPr>
        <w:fldChar w:fldCharType="separate"/>
      </w:r>
      <w:r w:rsidR="00CE6395" w:rsidRPr="00AF1E1D">
        <w:rPr>
          <w:rFonts w:ascii="Cambria" w:hAnsi="Cambria"/>
          <w:b/>
          <w:i w:val="0"/>
          <w:noProof/>
          <w:color w:val="auto"/>
          <w:sz w:val="22"/>
          <w:szCs w:val="22"/>
        </w:rPr>
        <w:t>13</w:t>
      </w:r>
      <w:bookmarkEnd w:id="116"/>
      <w:r w:rsidR="00CE6395" w:rsidRPr="00AF1E1D">
        <w:rPr>
          <w:rFonts w:ascii="Cambria" w:hAnsi="Cambria"/>
          <w:b/>
          <w:i w:val="0"/>
          <w:color w:val="auto"/>
          <w:sz w:val="22"/>
          <w:szCs w:val="22"/>
        </w:rPr>
        <w:fldChar w:fldCharType="end"/>
      </w:r>
    </w:p>
    <w:p w14:paraId="26724EBF" w14:textId="36523118" w:rsidR="00D327D7" w:rsidRDefault="00D327D7" w:rsidP="00ED3B61">
      <w:pPr>
        <w:pStyle w:val="Descripcin"/>
        <w:keepNext/>
        <w:jc w:val="both"/>
        <w:rPr>
          <w:rFonts w:ascii="Cambria" w:hAnsi="Cambria" w:cs="Arial"/>
          <w:b/>
          <w:i w:val="0"/>
          <w:color w:val="auto"/>
          <w:sz w:val="22"/>
          <w:szCs w:val="22"/>
        </w:rPr>
      </w:pPr>
      <w:r w:rsidRPr="00AF1E1D">
        <w:rPr>
          <w:rFonts w:ascii="Cambria" w:hAnsi="Cambria" w:cs="Arial"/>
          <w:b/>
          <w:i w:val="0"/>
          <w:color w:val="auto"/>
          <w:sz w:val="22"/>
          <w:szCs w:val="22"/>
        </w:rPr>
        <w:t>Resultados Finales Logit. Beneficios del uso de la Denominación de Origen y Banca para el Desarrollo.</w:t>
      </w:r>
      <w:bookmarkEnd w:id="115"/>
    </w:p>
    <w:tbl>
      <w:tblPr>
        <w:tblStyle w:val="Tablanormal31"/>
        <w:tblpPr w:leftFromText="141" w:rightFromText="141" w:vertAnchor="text" w:horzAnchor="margin" w:tblpY="85"/>
        <w:tblW w:w="12728" w:type="dxa"/>
        <w:tblLook w:val="04A0" w:firstRow="1" w:lastRow="0" w:firstColumn="1" w:lastColumn="0" w:noHBand="0" w:noVBand="1"/>
      </w:tblPr>
      <w:tblGrid>
        <w:gridCol w:w="3197"/>
        <w:gridCol w:w="2866"/>
        <w:gridCol w:w="1333"/>
        <w:gridCol w:w="1333"/>
        <w:gridCol w:w="1333"/>
        <w:gridCol w:w="1333"/>
        <w:gridCol w:w="1333"/>
      </w:tblGrid>
      <w:tr w:rsidR="00ED3B61" w:rsidRPr="008134B1" w14:paraId="6D08942C" w14:textId="77777777" w:rsidTr="00AF1E1D">
        <w:trPr>
          <w:cnfStyle w:val="100000000000" w:firstRow="1" w:lastRow="0" w:firstColumn="0" w:lastColumn="0" w:oddVBand="0" w:evenVBand="0" w:oddHBand="0" w:evenHBand="0" w:firstRowFirstColumn="0" w:firstRowLastColumn="0" w:lastRowFirstColumn="0" w:lastRowLastColumn="0"/>
          <w:trHeight w:val="364"/>
        </w:trPr>
        <w:tc>
          <w:tcPr>
            <w:cnfStyle w:val="001000000100" w:firstRow="0" w:lastRow="0" w:firstColumn="1" w:lastColumn="0" w:oddVBand="0" w:evenVBand="0" w:oddHBand="0" w:evenHBand="0" w:firstRowFirstColumn="1" w:firstRowLastColumn="0" w:lastRowFirstColumn="0" w:lastRowLastColumn="0"/>
            <w:tcW w:w="3197" w:type="dxa"/>
            <w:noWrap/>
            <w:hideMark/>
          </w:tcPr>
          <w:p w14:paraId="15EFD04C" w14:textId="77777777" w:rsidR="00ED3B61" w:rsidRPr="00AF1E1D" w:rsidRDefault="00ED3B61" w:rsidP="008A0ED6">
            <w:pPr>
              <w:rPr>
                <w:rFonts w:ascii="Cambria" w:eastAsia="Times New Roman" w:hAnsi="Cambria" w:cs="Arial"/>
                <w:b w:val="0"/>
                <w:color w:val="000000"/>
                <w:sz w:val="20"/>
                <w:szCs w:val="20"/>
                <w:lang w:eastAsia="es-CR"/>
              </w:rPr>
            </w:pPr>
            <w:r w:rsidRPr="00AF1E1D">
              <w:rPr>
                <w:rFonts w:ascii="Cambria" w:eastAsia="Times New Roman" w:hAnsi="Cambria" w:cs="Arial"/>
                <w:b w:val="0"/>
                <w:color w:val="000000"/>
                <w:sz w:val="20"/>
                <w:szCs w:val="20"/>
                <w:lang w:eastAsia="es-CR"/>
              </w:rPr>
              <w:t xml:space="preserve">Iteración 0: </w:t>
            </w:r>
          </w:p>
        </w:tc>
        <w:tc>
          <w:tcPr>
            <w:tcW w:w="2866" w:type="dxa"/>
            <w:noWrap/>
            <w:hideMark/>
          </w:tcPr>
          <w:p w14:paraId="2C16AC2F" w14:textId="77777777" w:rsidR="00ED3B61" w:rsidRPr="00AF1E1D" w:rsidRDefault="00ED3B61" w:rsidP="008A0ED6">
            <w:pPr>
              <w:cnfStyle w:val="100000000000" w:firstRow="1" w:lastRow="0" w:firstColumn="0" w:lastColumn="0" w:oddVBand="0" w:evenVBand="0" w:oddHBand="0" w:evenHBand="0" w:firstRowFirstColumn="0" w:firstRowLastColumn="0" w:lastRowFirstColumn="0" w:lastRowLastColumn="0"/>
              <w:rPr>
                <w:rFonts w:ascii="Cambria" w:eastAsia="Times New Roman" w:hAnsi="Cambria" w:cs="Arial"/>
                <w:b w:val="0"/>
                <w:color w:val="000000"/>
                <w:sz w:val="20"/>
                <w:szCs w:val="20"/>
                <w:lang w:eastAsia="es-CR"/>
              </w:rPr>
            </w:pPr>
            <w:r w:rsidRPr="00AF1E1D">
              <w:rPr>
                <w:rFonts w:ascii="Cambria" w:eastAsia="Times New Roman" w:hAnsi="Cambria" w:cs="Arial"/>
                <w:b w:val="0"/>
                <w:color w:val="000000"/>
                <w:sz w:val="20"/>
                <w:szCs w:val="20"/>
                <w:lang w:eastAsia="es-CR"/>
              </w:rPr>
              <w:t>log likelihood= -257.98068</w:t>
            </w:r>
          </w:p>
        </w:tc>
        <w:tc>
          <w:tcPr>
            <w:tcW w:w="1333" w:type="dxa"/>
            <w:noWrap/>
            <w:hideMark/>
          </w:tcPr>
          <w:p w14:paraId="7CD83FDE" w14:textId="77777777" w:rsidR="00ED3B61" w:rsidRPr="00AF1E1D" w:rsidRDefault="00ED3B61" w:rsidP="008A0ED6">
            <w:pPr>
              <w:cnfStyle w:val="100000000000" w:firstRow="1"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c>
          <w:tcPr>
            <w:tcW w:w="1333" w:type="dxa"/>
            <w:noWrap/>
            <w:hideMark/>
          </w:tcPr>
          <w:p w14:paraId="0F171BB7" w14:textId="77777777" w:rsidR="00ED3B61" w:rsidRPr="00AF1E1D" w:rsidRDefault="00ED3B61" w:rsidP="00AF1E1D">
            <w:pPr>
              <w:cnfStyle w:val="100000000000" w:firstRow="1"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c>
          <w:tcPr>
            <w:tcW w:w="1333" w:type="dxa"/>
            <w:noWrap/>
            <w:hideMark/>
          </w:tcPr>
          <w:p w14:paraId="048EFCE6" w14:textId="77777777" w:rsidR="00ED3B61" w:rsidRPr="00AF1E1D" w:rsidRDefault="00ED3B61" w:rsidP="00AF1E1D">
            <w:pPr>
              <w:cnfStyle w:val="100000000000" w:firstRow="1"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c>
          <w:tcPr>
            <w:tcW w:w="1333" w:type="dxa"/>
            <w:noWrap/>
            <w:hideMark/>
          </w:tcPr>
          <w:p w14:paraId="7C88A69E" w14:textId="77777777" w:rsidR="00ED3B61" w:rsidRPr="00AF1E1D" w:rsidRDefault="00ED3B61" w:rsidP="00AF1E1D">
            <w:pPr>
              <w:cnfStyle w:val="100000000000" w:firstRow="1"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c>
          <w:tcPr>
            <w:tcW w:w="1333" w:type="dxa"/>
            <w:noWrap/>
            <w:hideMark/>
          </w:tcPr>
          <w:p w14:paraId="216CFBE7" w14:textId="77777777" w:rsidR="00ED3B61" w:rsidRPr="00AF1E1D" w:rsidRDefault="00ED3B61" w:rsidP="00AF1E1D">
            <w:pPr>
              <w:cnfStyle w:val="100000000000" w:firstRow="1"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r>
      <w:tr w:rsidR="008134B1" w:rsidRPr="008134B1" w14:paraId="5778E3AD" w14:textId="77777777" w:rsidTr="00ED3B61">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7D295238" w14:textId="451DA4ED"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 xml:space="preserve">Iteración 1: </w:t>
            </w:r>
          </w:p>
        </w:tc>
        <w:tc>
          <w:tcPr>
            <w:tcW w:w="2866" w:type="dxa"/>
            <w:noWrap/>
            <w:hideMark/>
          </w:tcPr>
          <w:p w14:paraId="35442076" w14:textId="77777777" w:rsidR="00ED3B61" w:rsidRPr="00AF1E1D" w:rsidRDefault="00ED3B61" w:rsidP="008A0ED6">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log likelihood = -250.80086</w:t>
            </w:r>
          </w:p>
        </w:tc>
        <w:tc>
          <w:tcPr>
            <w:tcW w:w="1333" w:type="dxa"/>
            <w:noWrap/>
            <w:hideMark/>
          </w:tcPr>
          <w:p w14:paraId="119E1AEC" w14:textId="77777777" w:rsidR="00ED3B61" w:rsidRPr="00AF1E1D" w:rsidRDefault="00ED3B61" w:rsidP="008A0ED6">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p>
        </w:tc>
        <w:tc>
          <w:tcPr>
            <w:tcW w:w="1333" w:type="dxa"/>
            <w:noWrap/>
            <w:hideMark/>
          </w:tcPr>
          <w:p w14:paraId="797B9138"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147F081C"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6866C9E6"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4A5C7171"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r>
      <w:tr w:rsidR="00ED3B61" w:rsidRPr="008134B1" w14:paraId="3D17A766" w14:textId="77777777" w:rsidTr="00AF1E1D">
        <w:trPr>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53C345B4" w14:textId="2DC78065"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 xml:space="preserve">Iteración 2: </w:t>
            </w:r>
          </w:p>
        </w:tc>
        <w:tc>
          <w:tcPr>
            <w:tcW w:w="2866" w:type="dxa"/>
            <w:noWrap/>
            <w:hideMark/>
          </w:tcPr>
          <w:p w14:paraId="0555ECC6" w14:textId="77777777" w:rsidR="00ED3B61" w:rsidRPr="00AF1E1D" w:rsidRDefault="00ED3B61" w:rsidP="008A0ED6">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log likelihood = -250.82275</w:t>
            </w:r>
          </w:p>
        </w:tc>
        <w:tc>
          <w:tcPr>
            <w:tcW w:w="1333" w:type="dxa"/>
            <w:noWrap/>
            <w:hideMark/>
          </w:tcPr>
          <w:p w14:paraId="4C692E5D" w14:textId="77777777" w:rsidR="00ED3B61" w:rsidRPr="00AF1E1D" w:rsidRDefault="00ED3B61" w:rsidP="008A0ED6">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p>
        </w:tc>
        <w:tc>
          <w:tcPr>
            <w:tcW w:w="1333" w:type="dxa"/>
            <w:noWrap/>
            <w:hideMark/>
          </w:tcPr>
          <w:p w14:paraId="7A2475BB"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63C57FDE"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2AC74815"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3A251EB4"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r>
      <w:tr w:rsidR="008134B1" w:rsidRPr="008134B1" w14:paraId="45B1B6D9" w14:textId="77777777" w:rsidTr="00ED3B61">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4F7DBCE2" w14:textId="51FD76F2"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 xml:space="preserve">Interación 3: </w:t>
            </w:r>
          </w:p>
        </w:tc>
        <w:tc>
          <w:tcPr>
            <w:tcW w:w="2866" w:type="dxa"/>
            <w:noWrap/>
            <w:hideMark/>
          </w:tcPr>
          <w:p w14:paraId="25C41939" w14:textId="77777777" w:rsidR="00ED3B61" w:rsidRPr="00AF1E1D" w:rsidRDefault="00ED3B61" w:rsidP="008A0ED6">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log likelihood = -250.82275</w:t>
            </w:r>
          </w:p>
        </w:tc>
        <w:tc>
          <w:tcPr>
            <w:tcW w:w="1333" w:type="dxa"/>
            <w:noWrap/>
            <w:hideMark/>
          </w:tcPr>
          <w:p w14:paraId="6F08617E" w14:textId="77777777" w:rsidR="00ED3B61" w:rsidRPr="00AF1E1D" w:rsidRDefault="00ED3B61" w:rsidP="008A0ED6">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p>
        </w:tc>
        <w:tc>
          <w:tcPr>
            <w:tcW w:w="1333" w:type="dxa"/>
            <w:noWrap/>
            <w:hideMark/>
          </w:tcPr>
          <w:p w14:paraId="2F910B0C"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6A6190F7"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3C034A1E"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653F3A70"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r>
      <w:tr w:rsidR="00ED3B61" w:rsidRPr="008134B1" w14:paraId="48EEE06E" w14:textId="77777777" w:rsidTr="00AF1E1D">
        <w:trPr>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4DC08CB5" w14:textId="77777777" w:rsidR="00ED3B61" w:rsidRPr="00AF1E1D" w:rsidRDefault="00ED3B61" w:rsidP="008A0ED6">
            <w:pPr>
              <w:rPr>
                <w:rFonts w:ascii="Cambria" w:eastAsia="Times New Roman" w:hAnsi="Cambria" w:cs="Arial"/>
                <w:b w:val="0"/>
                <w:color w:val="000000"/>
                <w:sz w:val="20"/>
                <w:szCs w:val="20"/>
                <w:lang w:eastAsia="es-CR"/>
              </w:rPr>
            </w:pPr>
            <w:r w:rsidRPr="00AF1E1D">
              <w:rPr>
                <w:rFonts w:ascii="Cambria" w:eastAsia="Times New Roman" w:hAnsi="Cambria" w:cs="Arial"/>
                <w:b w:val="0"/>
                <w:color w:val="000000"/>
                <w:sz w:val="20"/>
                <w:szCs w:val="20"/>
                <w:lang w:eastAsia="es-CR"/>
              </w:rPr>
              <w:t> </w:t>
            </w:r>
          </w:p>
        </w:tc>
        <w:tc>
          <w:tcPr>
            <w:tcW w:w="2866" w:type="dxa"/>
            <w:noWrap/>
            <w:hideMark/>
          </w:tcPr>
          <w:p w14:paraId="6EE2C87A" w14:textId="77777777" w:rsidR="00ED3B61" w:rsidRPr="00AF1E1D" w:rsidRDefault="00ED3B61" w:rsidP="008A0ED6">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p>
        </w:tc>
        <w:tc>
          <w:tcPr>
            <w:tcW w:w="1333" w:type="dxa"/>
            <w:noWrap/>
            <w:hideMark/>
          </w:tcPr>
          <w:p w14:paraId="0D31F087" w14:textId="77777777" w:rsidR="00ED3B61" w:rsidRPr="00AF1E1D" w:rsidRDefault="00ED3B61" w:rsidP="008A0ED6">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4FE5166D"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229A33F5"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10C8081C"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64EBE64C"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r>
      <w:tr w:rsidR="00ED3B61" w:rsidRPr="008134B1" w14:paraId="45AF2978" w14:textId="77777777" w:rsidTr="00AF1E1D">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0F24A83E" w14:textId="228FEF2B"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 xml:space="preserve">Logistic </w:t>
            </w:r>
            <w:r w:rsidR="00CE6395">
              <w:rPr>
                <w:rFonts w:ascii="Cambria" w:eastAsia="Times New Roman" w:hAnsi="Cambria" w:cs="Arial"/>
                <w:b w:val="0"/>
                <w:caps w:val="0"/>
                <w:color w:val="000000"/>
                <w:sz w:val="20"/>
                <w:szCs w:val="20"/>
                <w:lang w:eastAsia="es-CR"/>
              </w:rPr>
              <w:t>regresión</w:t>
            </w:r>
          </w:p>
        </w:tc>
        <w:tc>
          <w:tcPr>
            <w:tcW w:w="2866" w:type="dxa"/>
            <w:noWrap/>
            <w:hideMark/>
          </w:tcPr>
          <w:p w14:paraId="0C57028E" w14:textId="77777777" w:rsidR="00ED3B61" w:rsidRPr="00AF1E1D" w:rsidRDefault="00ED3B61" w:rsidP="008A0ED6">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p>
        </w:tc>
        <w:tc>
          <w:tcPr>
            <w:tcW w:w="2666" w:type="dxa"/>
            <w:gridSpan w:val="2"/>
            <w:noWrap/>
            <w:hideMark/>
          </w:tcPr>
          <w:p w14:paraId="0109C5A0" w14:textId="77777777" w:rsidR="00ED3B61" w:rsidRPr="00AF1E1D" w:rsidRDefault="00ED3B61" w:rsidP="008A0ED6">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Number of obs= 380</w:t>
            </w:r>
          </w:p>
        </w:tc>
        <w:tc>
          <w:tcPr>
            <w:tcW w:w="1333" w:type="dxa"/>
            <w:noWrap/>
            <w:hideMark/>
          </w:tcPr>
          <w:p w14:paraId="6EEF3BE7"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p>
        </w:tc>
        <w:tc>
          <w:tcPr>
            <w:tcW w:w="1333" w:type="dxa"/>
            <w:noWrap/>
            <w:hideMark/>
          </w:tcPr>
          <w:p w14:paraId="6AD9F046"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45E38D43"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r>
      <w:tr w:rsidR="00ED3B61" w:rsidRPr="008134B1" w14:paraId="2CFA62F0" w14:textId="77777777" w:rsidTr="00AF1E1D">
        <w:trPr>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6BD6AA2C" w14:textId="77777777" w:rsidR="00ED3B61" w:rsidRPr="00AF1E1D" w:rsidRDefault="00ED3B61" w:rsidP="008A0ED6">
            <w:pPr>
              <w:rPr>
                <w:rFonts w:ascii="Cambria" w:eastAsia="Times New Roman" w:hAnsi="Cambria" w:cs="Arial"/>
                <w:b w:val="0"/>
                <w:color w:val="000000"/>
                <w:sz w:val="20"/>
                <w:szCs w:val="20"/>
                <w:lang w:eastAsia="es-CR"/>
              </w:rPr>
            </w:pPr>
            <w:r w:rsidRPr="00AF1E1D">
              <w:rPr>
                <w:rFonts w:ascii="Cambria" w:eastAsia="Times New Roman" w:hAnsi="Cambria" w:cs="Arial"/>
                <w:b w:val="0"/>
                <w:color w:val="000000"/>
                <w:sz w:val="20"/>
                <w:szCs w:val="20"/>
                <w:lang w:eastAsia="es-CR"/>
              </w:rPr>
              <w:t> </w:t>
            </w:r>
          </w:p>
        </w:tc>
        <w:tc>
          <w:tcPr>
            <w:tcW w:w="2866" w:type="dxa"/>
            <w:noWrap/>
            <w:hideMark/>
          </w:tcPr>
          <w:p w14:paraId="254B4210" w14:textId="77777777" w:rsidR="00ED3B61" w:rsidRPr="00AF1E1D" w:rsidRDefault="00ED3B61" w:rsidP="008A0ED6">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p>
        </w:tc>
        <w:tc>
          <w:tcPr>
            <w:tcW w:w="2666" w:type="dxa"/>
            <w:gridSpan w:val="2"/>
            <w:noWrap/>
            <w:hideMark/>
          </w:tcPr>
          <w:p w14:paraId="53321ED4" w14:textId="77777777" w:rsidR="00ED3B61" w:rsidRPr="00AF1E1D" w:rsidRDefault="00ED3B61" w:rsidP="008A0ED6">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LR Chi(6)= 14.82</w:t>
            </w:r>
          </w:p>
        </w:tc>
        <w:tc>
          <w:tcPr>
            <w:tcW w:w="1333" w:type="dxa"/>
            <w:noWrap/>
            <w:hideMark/>
          </w:tcPr>
          <w:p w14:paraId="44D57BA3"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p>
        </w:tc>
        <w:tc>
          <w:tcPr>
            <w:tcW w:w="1333" w:type="dxa"/>
            <w:noWrap/>
            <w:hideMark/>
          </w:tcPr>
          <w:p w14:paraId="4CF50723"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6F1FAB45"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r>
      <w:tr w:rsidR="00ED3B61" w:rsidRPr="008134B1" w14:paraId="1834A27F" w14:textId="77777777" w:rsidTr="00AF1E1D">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1CB2682F" w14:textId="77777777" w:rsidR="00ED3B61" w:rsidRPr="00AF1E1D" w:rsidRDefault="00ED3B61" w:rsidP="008A0ED6">
            <w:pPr>
              <w:rPr>
                <w:rFonts w:ascii="Cambria" w:eastAsia="Times New Roman" w:hAnsi="Cambria" w:cs="Arial"/>
                <w:b w:val="0"/>
                <w:color w:val="000000"/>
                <w:sz w:val="20"/>
                <w:szCs w:val="20"/>
                <w:lang w:eastAsia="es-CR"/>
              </w:rPr>
            </w:pPr>
            <w:r w:rsidRPr="00AF1E1D">
              <w:rPr>
                <w:rFonts w:ascii="Cambria" w:eastAsia="Times New Roman" w:hAnsi="Cambria" w:cs="Arial"/>
                <w:b w:val="0"/>
                <w:color w:val="000000"/>
                <w:sz w:val="20"/>
                <w:szCs w:val="20"/>
                <w:lang w:eastAsia="es-CR"/>
              </w:rPr>
              <w:t> </w:t>
            </w:r>
          </w:p>
        </w:tc>
        <w:tc>
          <w:tcPr>
            <w:tcW w:w="2866" w:type="dxa"/>
            <w:noWrap/>
            <w:hideMark/>
          </w:tcPr>
          <w:p w14:paraId="03538222" w14:textId="77777777" w:rsidR="00ED3B61" w:rsidRPr="00AF1E1D" w:rsidRDefault="00ED3B61" w:rsidP="008A0ED6">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p>
        </w:tc>
        <w:tc>
          <w:tcPr>
            <w:tcW w:w="2666" w:type="dxa"/>
            <w:gridSpan w:val="2"/>
            <w:noWrap/>
            <w:hideMark/>
          </w:tcPr>
          <w:p w14:paraId="35B40887" w14:textId="0D17C352" w:rsidR="00ED3B61" w:rsidRPr="00AF1E1D" w:rsidRDefault="00ED3B61" w:rsidP="008A0ED6">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Prob &gt; Chi2 = 0,</w:t>
            </w:r>
            <w:r w:rsidR="00732B5A">
              <w:rPr>
                <w:rFonts w:ascii="Cambria" w:eastAsia="Times New Roman" w:hAnsi="Cambria" w:cs="Arial"/>
                <w:color w:val="000000"/>
                <w:sz w:val="20"/>
                <w:szCs w:val="20"/>
                <w:lang w:eastAsia="es-CR"/>
              </w:rPr>
              <w:t>0</w:t>
            </w:r>
            <w:r w:rsidRPr="00AF1E1D">
              <w:rPr>
                <w:rFonts w:ascii="Cambria" w:eastAsia="Times New Roman" w:hAnsi="Cambria" w:cs="Arial"/>
                <w:color w:val="000000"/>
                <w:sz w:val="20"/>
                <w:szCs w:val="20"/>
                <w:lang w:eastAsia="es-CR"/>
              </w:rPr>
              <w:t>2063</w:t>
            </w:r>
          </w:p>
        </w:tc>
        <w:tc>
          <w:tcPr>
            <w:tcW w:w="1333" w:type="dxa"/>
            <w:noWrap/>
            <w:hideMark/>
          </w:tcPr>
          <w:p w14:paraId="56B7E308" w14:textId="77777777" w:rsidR="00ED3B61" w:rsidRPr="00AF1E1D" w:rsidRDefault="00ED3B61" w:rsidP="008A0ED6">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p>
        </w:tc>
        <w:tc>
          <w:tcPr>
            <w:tcW w:w="1333" w:type="dxa"/>
            <w:noWrap/>
            <w:hideMark/>
          </w:tcPr>
          <w:p w14:paraId="678D9F64"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3F28B856" w14:textId="77777777" w:rsidR="00ED3B61" w:rsidRPr="00AF1E1D" w:rsidRDefault="00ED3B61" w:rsidP="00AF1E1D">
            <w:pP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r>
      <w:tr w:rsidR="00ED3B61" w:rsidRPr="008134B1" w14:paraId="73B7CC5C" w14:textId="77777777" w:rsidTr="00AF1E1D">
        <w:trPr>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364AA127" w14:textId="14133755"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Log likelihood= -250</w:t>
            </w:r>
            <w:r w:rsidR="00ED3B61" w:rsidRPr="00AF1E1D">
              <w:rPr>
                <w:rFonts w:ascii="Cambria" w:eastAsia="Times New Roman" w:hAnsi="Cambria" w:cs="Arial"/>
                <w:b w:val="0"/>
                <w:color w:val="000000"/>
                <w:sz w:val="20"/>
                <w:szCs w:val="20"/>
                <w:lang w:eastAsia="es-CR"/>
              </w:rPr>
              <w:t>.82275</w:t>
            </w:r>
          </w:p>
        </w:tc>
        <w:tc>
          <w:tcPr>
            <w:tcW w:w="2866" w:type="dxa"/>
            <w:noWrap/>
            <w:hideMark/>
          </w:tcPr>
          <w:p w14:paraId="681525CA" w14:textId="77777777" w:rsidR="00ED3B61" w:rsidRPr="00AF1E1D" w:rsidRDefault="00ED3B61" w:rsidP="008A0ED6">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p>
        </w:tc>
        <w:tc>
          <w:tcPr>
            <w:tcW w:w="2666" w:type="dxa"/>
            <w:gridSpan w:val="2"/>
            <w:noWrap/>
            <w:hideMark/>
          </w:tcPr>
          <w:p w14:paraId="0E57A14F" w14:textId="77777777" w:rsidR="00ED3B61" w:rsidRPr="00AF1E1D" w:rsidRDefault="00ED3B61" w:rsidP="008A0ED6">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Pseudo R2= 0,7701</w:t>
            </w:r>
          </w:p>
        </w:tc>
        <w:tc>
          <w:tcPr>
            <w:tcW w:w="1333" w:type="dxa"/>
            <w:noWrap/>
            <w:hideMark/>
          </w:tcPr>
          <w:p w14:paraId="52D40EE4"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p>
        </w:tc>
        <w:tc>
          <w:tcPr>
            <w:tcW w:w="1333" w:type="dxa"/>
            <w:noWrap/>
            <w:hideMark/>
          </w:tcPr>
          <w:p w14:paraId="2C4C2DB3"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p>
        </w:tc>
        <w:tc>
          <w:tcPr>
            <w:tcW w:w="1333" w:type="dxa"/>
            <w:noWrap/>
            <w:hideMark/>
          </w:tcPr>
          <w:p w14:paraId="018202F3" w14:textId="77777777" w:rsidR="00ED3B61" w:rsidRPr="00AF1E1D" w:rsidRDefault="00ED3B61" w:rsidP="00AF1E1D">
            <w:pP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 </w:t>
            </w:r>
          </w:p>
        </w:tc>
      </w:tr>
      <w:tr w:rsidR="008134B1" w:rsidRPr="008134B1" w14:paraId="0F86B63B" w14:textId="77777777" w:rsidTr="00ED3B61">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6D27EC71" w14:textId="77777777" w:rsidR="00ED3B61" w:rsidRPr="00AF1E1D" w:rsidRDefault="00ED3B61" w:rsidP="008A0ED6">
            <w:pPr>
              <w:rPr>
                <w:rFonts w:ascii="Cambria" w:eastAsia="Times New Roman" w:hAnsi="Cambria" w:cs="Arial"/>
                <w:b w:val="0"/>
                <w:color w:val="000000"/>
                <w:sz w:val="20"/>
                <w:szCs w:val="20"/>
                <w:lang w:eastAsia="es-CR"/>
              </w:rPr>
            </w:pPr>
            <w:r w:rsidRPr="00AF1E1D">
              <w:rPr>
                <w:rFonts w:ascii="Cambria" w:eastAsia="Times New Roman" w:hAnsi="Cambria" w:cs="Arial"/>
                <w:b w:val="0"/>
                <w:color w:val="000000"/>
                <w:sz w:val="20"/>
                <w:szCs w:val="20"/>
                <w:lang w:eastAsia="es-CR"/>
              </w:rPr>
              <w:t> </w:t>
            </w:r>
          </w:p>
        </w:tc>
        <w:tc>
          <w:tcPr>
            <w:tcW w:w="2866" w:type="dxa"/>
            <w:noWrap/>
            <w:hideMark/>
          </w:tcPr>
          <w:p w14:paraId="2FA69C92" w14:textId="77777777" w:rsidR="00ED3B61" w:rsidRPr="00AF1E1D" w:rsidRDefault="00ED3B61" w:rsidP="008A0ED6">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b/>
                <w:color w:val="000000"/>
                <w:sz w:val="20"/>
                <w:szCs w:val="20"/>
                <w:lang w:eastAsia="es-CR"/>
              </w:rPr>
            </w:pPr>
            <w:r w:rsidRPr="00AF1E1D">
              <w:rPr>
                <w:rFonts w:ascii="Cambria" w:eastAsia="Times New Roman" w:hAnsi="Cambria" w:cs="Arial"/>
                <w:b/>
                <w:color w:val="000000"/>
                <w:sz w:val="20"/>
                <w:szCs w:val="20"/>
                <w:lang w:eastAsia="es-CR"/>
              </w:rPr>
              <w:t>Coef.</w:t>
            </w:r>
          </w:p>
        </w:tc>
        <w:tc>
          <w:tcPr>
            <w:tcW w:w="1333" w:type="dxa"/>
            <w:noWrap/>
            <w:hideMark/>
          </w:tcPr>
          <w:p w14:paraId="25D147B6"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b/>
                <w:color w:val="000000"/>
                <w:sz w:val="20"/>
                <w:szCs w:val="20"/>
                <w:lang w:eastAsia="es-CR"/>
              </w:rPr>
            </w:pPr>
            <w:r w:rsidRPr="00AF1E1D">
              <w:rPr>
                <w:rFonts w:ascii="Cambria" w:eastAsia="Times New Roman" w:hAnsi="Cambria" w:cs="Arial"/>
                <w:b/>
                <w:color w:val="000000"/>
                <w:sz w:val="20"/>
                <w:szCs w:val="20"/>
                <w:lang w:eastAsia="es-CR"/>
              </w:rPr>
              <w:t>Std. Err.</w:t>
            </w:r>
          </w:p>
        </w:tc>
        <w:tc>
          <w:tcPr>
            <w:tcW w:w="1333" w:type="dxa"/>
            <w:noWrap/>
            <w:hideMark/>
          </w:tcPr>
          <w:p w14:paraId="68B8CD35"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b/>
                <w:color w:val="000000"/>
                <w:sz w:val="20"/>
                <w:szCs w:val="20"/>
                <w:lang w:eastAsia="es-CR"/>
              </w:rPr>
            </w:pPr>
            <w:r w:rsidRPr="00AF1E1D">
              <w:rPr>
                <w:rFonts w:ascii="Cambria" w:eastAsia="Times New Roman" w:hAnsi="Cambria" w:cs="Arial"/>
                <w:b/>
                <w:color w:val="000000"/>
                <w:sz w:val="20"/>
                <w:szCs w:val="20"/>
                <w:lang w:eastAsia="es-CR"/>
              </w:rPr>
              <w:t>Z</w:t>
            </w:r>
          </w:p>
        </w:tc>
        <w:tc>
          <w:tcPr>
            <w:tcW w:w="1333" w:type="dxa"/>
            <w:noWrap/>
            <w:hideMark/>
          </w:tcPr>
          <w:p w14:paraId="14A55E05"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b/>
                <w:color w:val="000000"/>
                <w:sz w:val="20"/>
                <w:szCs w:val="20"/>
                <w:lang w:eastAsia="es-CR"/>
              </w:rPr>
            </w:pPr>
            <w:r w:rsidRPr="00AF1E1D">
              <w:rPr>
                <w:rFonts w:ascii="Cambria" w:eastAsia="Times New Roman" w:hAnsi="Cambria" w:cs="Arial"/>
                <w:b/>
                <w:color w:val="000000"/>
                <w:sz w:val="20"/>
                <w:szCs w:val="20"/>
                <w:lang w:eastAsia="es-CR"/>
              </w:rPr>
              <w:t>P&gt;(z)</w:t>
            </w:r>
          </w:p>
        </w:tc>
        <w:tc>
          <w:tcPr>
            <w:tcW w:w="1333" w:type="dxa"/>
            <w:noWrap/>
            <w:hideMark/>
          </w:tcPr>
          <w:p w14:paraId="2714B1A5"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b/>
                <w:color w:val="000000"/>
                <w:sz w:val="20"/>
                <w:szCs w:val="20"/>
                <w:lang w:eastAsia="es-CR"/>
              </w:rPr>
            </w:pPr>
            <w:r w:rsidRPr="00AF1E1D">
              <w:rPr>
                <w:rFonts w:ascii="Cambria" w:eastAsia="Times New Roman" w:hAnsi="Cambria" w:cs="Arial"/>
                <w:b/>
                <w:color w:val="000000"/>
                <w:sz w:val="20"/>
                <w:szCs w:val="20"/>
                <w:lang w:eastAsia="es-CR"/>
              </w:rPr>
              <w:t>(95% Conf.</w:t>
            </w:r>
          </w:p>
        </w:tc>
        <w:tc>
          <w:tcPr>
            <w:tcW w:w="1333" w:type="dxa"/>
            <w:noWrap/>
            <w:hideMark/>
          </w:tcPr>
          <w:p w14:paraId="5FEFD9E3"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b/>
                <w:color w:val="000000"/>
                <w:sz w:val="20"/>
                <w:szCs w:val="20"/>
                <w:lang w:eastAsia="es-CR"/>
              </w:rPr>
            </w:pPr>
            <w:r w:rsidRPr="00AF1E1D">
              <w:rPr>
                <w:rFonts w:ascii="Cambria" w:eastAsia="Times New Roman" w:hAnsi="Cambria" w:cs="Arial"/>
                <w:b/>
                <w:color w:val="000000"/>
                <w:sz w:val="20"/>
                <w:szCs w:val="20"/>
                <w:lang w:eastAsia="es-CR"/>
              </w:rPr>
              <w:t>Intervalo</w:t>
            </w:r>
          </w:p>
        </w:tc>
      </w:tr>
      <w:tr w:rsidR="00ED3B61" w:rsidRPr="008134B1" w14:paraId="57505A98" w14:textId="77777777" w:rsidTr="00AF1E1D">
        <w:trPr>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3E09A3F7" w14:textId="01011CDC" w:rsidR="00ED3B61" w:rsidRPr="00AF1E1D" w:rsidRDefault="005819B2" w:rsidP="008A0ED6">
            <w:pPr>
              <w:rPr>
                <w:rFonts w:ascii="Cambria" w:eastAsia="Times New Roman" w:hAnsi="Cambria" w:cs="Arial"/>
                <w:b w:val="0"/>
                <w:color w:val="000000"/>
                <w:sz w:val="20"/>
                <w:szCs w:val="20"/>
                <w:lang w:eastAsia="es-CR"/>
              </w:rPr>
            </w:pPr>
            <w:r>
              <w:rPr>
                <w:rFonts w:ascii="Cambria" w:eastAsia="Times New Roman" w:hAnsi="Cambria" w:cs="Arial"/>
                <w:b w:val="0"/>
                <w:caps w:val="0"/>
                <w:color w:val="000000"/>
                <w:sz w:val="20"/>
                <w:szCs w:val="20"/>
                <w:lang w:eastAsia="es-CR"/>
              </w:rPr>
              <w:t>Calidad_Café</w:t>
            </w:r>
          </w:p>
        </w:tc>
        <w:tc>
          <w:tcPr>
            <w:tcW w:w="2866" w:type="dxa"/>
            <w:noWrap/>
            <w:hideMark/>
          </w:tcPr>
          <w:p w14:paraId="12E40CDB" w14:textId="1906E3AD" w:rsidR="00ED3B61" w:rsidRPr="00AF1E1D" w:rsidRDefault="00B32C7E"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Pr>
                <w:rFonts w:ascii="Cambria" w:eastAsia="Times New Roman" w:hAnsi="Cambria" w:cs="Arial"/>
                <w:color w:val="000000"/>
                <w:sz w:val="20"/>
                <w:szCs w:val="20"/>
                <w:lang w:eastAsia="es-CR"/>
              </w:rPr>
              <w:t>-</w:t>
            </w:r>
            <w:r w:rsidR="005819B2">
              <w:rPr>
                <w:rFonts w:ascii="Cambria" w:eastAsia="Times New Roman" w:hAnsi="Cambria" w:cs="Arial"/>
                <w:color w:val="000000"/>
                <w:sz w:val="20"/>
                <w:szCs w:val="20"/>
                <w:lang w:eastAsia="es-CR"/>
              </w:rPr>
              <w:t>1,2039329</w:t>
            </w:r>
          </w:p>
        </w:tc>
        <w:tc>
          <w:tcPr>
            <w:tcW w:w="1333" w:type="dxa"/>
            <w:noWrap/>
            <w:hideMark/>
          </w:tcPr>
          <w:p w14:paraId="51CDE408" w14:textId="4FC2188D" w:rsidR="00ED3B61" w:rsidRPr="00AF1E1D" w:rsidRDefault="005819B2"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r>
              <w:rPr>
                <w:rFonts w:ascii="Cambria" w:eastAsia="Times New Roman" w:hAnsi="Cambria" w:cs="Arial"/>
                <w:sz w:val="20"/>
                <w:szCs w:val="20"/>
                <w:lang w:eastAsia="es-CR"/>
              </w:rPr>
              <w:t>0,5627382</w:t>
            </w:r>
          </w:p>
        </w:tc>
        <w:tc>
          <w:tcPr>
            <w:tcW w:w="1333" w:type="dxa"/>
            <w:noWrap/>
            <w:hideMark/>
          </w:tcPr>
          <w:p w14:paraId="62B1E2C4" w14:textId="626AD791" w:rsidR="00ED3B61" w:rsidRPr="00AF1E1D" w:rsidRDefault="005819B2"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r>
              <w:rPr>
                <w:rFonts w:ascii="Cambria" w:eastAsia="Times New Roman" w:hAnsi="Cambria" w:cs="Arial"/>
                <w:sz w:val="20"/>
                <w:szCs w:val="20"/>
                <w:lang w:eastAsia="es-CR"/>
              </w:rPr>
              <w:t>1,02</w:t>
            </w:r>
          </w:p>
        </w:tc>
        <w:tc>
          <w:tcPr>
            <w:tcW w:w="1333" w:type="dxa"/>
            <w:noWrap/>
            <w:hideMark/>
          </w:tcPr>
          <w:p w14:paraId="5D556D91" w14:textId="71FE6AE8" w:rsidR="00ED3B61" w:rsidRPr="00AF1E1D" w:rsidRDefault="005819B2"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r>
              <w:rPr>
                <w:rFonts w:ascii="Cambria" w:eastAsia="Times New Roman" w:hAnsi="Cambria" w:cs="Arial"/>
                <w:sz w:val="20"/>
                <w:szCs w:val="20"/>
                <w:lang w:eastAsia="es-CR"/>
              </w:rPr>
              <w:t>0,0342</w:t>
            </w:r>
          </w:p>
        </w:tc>
        <w:tc>
          <w:tcPr>
            <w:tcW w:w="1333" w:type="dxa"/>
            <w:noWrap/>
            <w:hideMark/>
          </w:tcPr>
          <w:p w14:paraId="315930E3" w14:textId="66237840" w:rsidR="00ED3B61" w:rsidRPr="00AF1E1D" w:rsidRDefault="005819B2"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sz w:val="20"/>
                <w:szCs w:val="20"/>
                <w:lang w:eastAsia="es-CR"/>
              </w:rPr>
            </w:pPr>
            <w:r>
              <w:rPr>
                <w:rFonts w:ascii="Cambria" w:eastAsia="Times New Roman" w:hAnsi="Cambria" w:cs="Arial"/>
                <w:sz w:val="20"/>
                <w:szCs w:val="20"/>
                <w:lang w:eastAsia="es-CR"/>
              </w:rPr>
              <w:t>-1,2413933</w:t>
            </w:r>
          </w:p>
        </w:tc>
        <w:tc>
          <w:tcPr>
            <w:tcW w:w="1333" w:type="dxa"/>
            <w:noWrap/>
            <w:hideMark/>
          </w:tcPr>
          <w:p w14:paraId="45B54CCE" w14:textId="207C97E5" w:rsidR="00ED3B61" w:rsidRPr="00AF1E1D" w:rsidRDefault="005819B2"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Pr>
                <w:rFonts w:ascii="Cambria" w:eastAsia="Times New Roman" w:hAnsi="Cambria" w:cs="Arial"/>
                <w:color w:val="000000"/>
                <w:sz w:val="20"/>
                <w:szCs w:val="20"/>
                <w:lang w:eastAsia="es-CR"/>
              </w:rPr>
              <w:t>1,6749328</w:t>
            </w:r>
          </w:p>
        </w:tc>
      </w:tr>
      <w:tr w:rsidR="008134B1" w:rsidRPr="008134B1" w14:paraId="06D1FE43" w14:textId="77777777" w:rsidTr="00ED3B61">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40B0584E" w14:textId="7D145B8E"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Usaria_</w:t>
            </w:r>
            <w:r w:rsidR="005819B2">
              <w:rPr>
                <w:rFonts w:ascii="Cambria" w:eastAsia="Times New Roman" w:hAnsi="Cambria" w:cs="Arial"/>
                <w:b w:val="0"/>
                <w:caps w:val="0"/>
                <w:color w:val="000000"/>
                <w:sz w:val="20"/>
                <w:szCs w:val="20"/>
                <w:lang w:eastAsia="es-CR"/>
              </w:rPr>
              <w:t>DO</w:t>
            </w:r>
          </w:p>
        </w:tc>
        <w:tc>
          <w:tcPr>
            <w:tcW w:w="2866" w:type="dxa"/>
            <w:noWrap/>
            <w:hideMark/>
          </w:tcPr>
          <w:p w14:paraId="48386F11" w14:textId="77777777" w:rsidR="00ED3B61" w:rsidRPr="00AF1E1D" w:rsidRDefault="00ED3B61" w:rsidP="008A0ED6">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0,3685021</w:t>
            </w:r>
          </w:p>
        </w:tc>
        <w:tc>
          <w:tcPr>
            <w:tcW w:w="1333" w:type="dxa"/>
            <w:noWrap/>
            <w:hideMark/>
          </w:tcPr>
          <w:p w14:paraId="3809CB00" w14:textId="77777777" w:rsidR="00ED3B61" w:rsidRPr="00AF1E1D" w:rsidRDefault="00ED3B61" w:rsidP="008A0ED6">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0,2198491</w:t>
            </w:r>
          </w:p>
        </w:tc>
        <w:tc>
          <w:tcPr>
            <w:tcW w:w="1333" w:type="dxa"/>
            <w:noWrap/>
            <w:hideMark/>
          </w:tcPr>
          <w:p w14:paraId="6ABD8116"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-1,68</w:t>
            </w:r>
          </w:p>
        </w:tc>
        <w:tc>
          <w:tcPr>
            <w:tcW w:w="1333" w:type="dxa"/>
            <w:noWrap/>
            <w:hideMark/>
          </w:tcPr>
          <w:p w14:paraId="030E0AC7"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0,0094</w:t>
            </w:r>
          </w:p>
        </w:tc>
        <w:tc>
          <w:tcPr>
            <w:tcW w:w="1333" w:type="dxa"/>
            <w:noWrap/>
            <w:hideMark/>
          </w:tcPr>
          <w:p w14:paraId="4CC02957"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-0,7993983</w:t>
            </w:r>
          </w:p>
        </w:tc>
        <w:tc>
          <w:tcPr>
            <w:tcW w:w="1333" w:type="dxa"/>
            <w:noWrap/>
            <w:hideMark/>
          </w:tcPr>
          <w:p w14:paraId="02FEDF87"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0,0623943</w:t>
            </w:r>
          </w:p>
        </w:tc>
      </w:tr>
      <w:tr w:rsidR="00ED3B61" w:rsidRPr="008134B1" w14:paraId="6B22F902" w14:textId="77777777" w:rsidTr="00AF1E1D">
        <w:trPr>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4113F701" w14:textId="110947BB"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Condicion</w:t>
            </w:r>
            <w:r w:rsidR="009F6BEE">
              <w:rPr>
                <w:rFonts w:ascii="Cambria" w:eastAsia="Times New Roman" w:hAnsi="Cambria" w:cs="Arial"/>
                <w:b w:val="0"/>
                <w:caps w:val="0"/>
                <w:color w:val="000000"/>
                <w:sz w:val="20"/>
                <w:szCs w:val="20"/>
                <w:lang w:eastAsia="es-CR"/>
              </w:rPr>
              <w:t>_</w:t>
            </w:r>
            <w:r w:rsidRPr="008A0ED6">
              <w:rPr>
                <w:rFonts w:ascii="Cambria" w:eastAsia="Times New Roman" w:hAnsi="Cambria" w:cs="Arial"/>
                <w:b w:val="0"/>
                <w:caps w:val="0"/>
                <w:color w:val="000000"/>
                <w:sz w:val="20"/>
                <w:szCs w:val="20"/>
                <w:lang w:eastAsia="es-CR"/>
              </w:rPr>
              <w:t>abtual</w:t>
            </w:r>
            <w:r w:rsidR="009F6BEE">
              <w:rPr>
                <w:rFonts w:ascii="Cambria" w:eastAsia="Times New Roman" w:hAnsi="Cambria" w:cs="Arial"/>
                <w:b w:val="0"/>
                <w:caps w:val="0"/>
                <w:color w:val="000000"/>
                <w:sz w:val="20"/>
                <w:szCs w:val="20"/>
                <w:lang w:eastAsia="es-CR"/>
              </w:rPr>
              <w:t>_</w:t>
            </w:r>
            <w:r w:rsidRPr="008A0ED6">
              <w:rPr>
                <w:rFonts w:ascii="Cambria" w:eastAsia="Times New Roman" w:hAnsi="Cambria" w:cs="Arial"/>
                <w:b w:val="0"/>
                <w:caps w:val="0"/>
                <w:color w:val="000000"/>
                <w:sz w:val="20"/>
                <w:szCs w:val="20"/>
                <w:lang w:eastAsia="es-CR"/>
              </w:rPr>
              <w:t>permite</w:t>
            </w:r>
            <w:r w:rsidR="009F6BEE">
              <w:rPr>
                <w:rFonts w:ascii="Cambria" w:eastAsia="Times New Roman" w:hAnsi="Cambria" w:cs="Arial"/>
                <w:b w:val="0"/>
                <w:caps w:val="0"/>
                <w:color w:val="000000"/>
                <w:sz w:val="20"/>
                <w:szCs w:val="20"/>
                <w:lang w:eastAsia="es-CR"/>
              </w:rPr>
              <w:t>_DO</w:t>
            </w:r>
          </w:p>
        </w:tc>
        <w:tc>
          <w:tcPr>
            <w:tcW w:w="2866" w:type="dxa"/>
            <w:noWrap/>
            <w:hideMark/>
          </w:tcPr>
          <w:p w14:paraId="35F7C7B5" w14:textId="77777777" w:rsidR="00ED3B61" w:rsidRPr="00AF1E1D" w:rsidRDefault="00ED3B61"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-1,1690837</w:t>
            </w:r>
          </w:p>
        </w:tc>
        <w:tc>
          <w:tcPr>
            <w:tcW w:w="1333" w:type="dxa"/>
            <w:noWrap/>
            <w:hideMark/>
          </w:tcPr>
          <w:p w14:paraId="7DB539F3" w14:textId="77777777" w:rsidR="00ED3B61" w:rsidRPr="00AF1E1D" w:rsidRDefault="00ED3B61"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0,2125398</w:t>
            </w:r>
          </w:p>
        </w:tc>
        <w:tc>
          <w:tcPr>
            <w:tcW w:w="1333" w:type="dxa"/>
            <w:noWrap/>
            <w:hideMark/>
          </w:tcPr>
          <w:p w14:paraId="2C7D1F42"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0,8</w:t>
            </w:r>
          </w:p>
        </w:tc>
        <w:tc>
          <w:tcPr>
            <w:tcW w:w="1333" w:type="dxa"/>
            <w:noWrap/>
            <w:hideMark/>
          </w:tcPr>
          <w:p w14:paraId="5724E3BE"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0,0426</w:t>
            </w:r>
          </w:p>
        </w:tc>
        <w:tc>
          <w:tcPr>
            <w:tcW w:w="1333" w:type="dxa"/>
            <w:noWrap/>
            <w:hideMark/>
          </w:tcPr>
          <w:p w14:paraId="3D41D5C7"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-1,2474867</w:t>
            </w:r>
          </w:p>
        </w:tc>
        <w:tc>
          <w:tcPr>
            <w:tcW w:w="1333" w:type="dxa"/>
            <w:noWrap/>
            <w:hideMark/>
          </w:tcPr>
          <w:p w14:paraId="21B30065"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1,5856541</w:t>
            </w:r>
          </w:p>
        </w:tc>
      </w:tr>
      <w:tr w:rsidR="008134B1" w:rsidRPr="008134B1" w14:paraId="196CE59D" w14:textId="77777777" w:rsidTr="00ED3B61">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37B7A528" w14:textId="7AAD8DFB"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Transforma</w:t>
            </w:r>
            <w:r w:rsidR="009F6BEE">
              <w:rPr>
                <w:rFonts w:ascii="Cambria" w:eastAsia="Times New Roman" w:hAnsi="Cambria" w:cs="Arial"/>
                <w:b w:val="0"/>
                <w:caps w:val="0"/>
                <w:color w:val="000000"/>
                <w:sz w:val="20"/>
                <w:szCs w:val="20"/>
                <w:lang w:eastAsia="es-CR"/>
              </w:rPr>
              <w:t>_</w:t>
            </w:r>
            <w:r w:rsidRPr="008A0ED6">
              <w:rPr>
                <w:rFonts w:ascii="Cambria" w:eastAsia="Times New Roman" w:hAnsi="Cambria" w:cs="Arial"/>
                <w:b w:val="0"/>
                <w:caps w:val="0"/>
                <w:color w:val="000000"/>
                <w:sz w:val="20"/>
                <w:szCs w:val="20"/>
                <w:lang w:eastAsia="es-CR"/>
              </w:rPr>
              <w:t>producción</w:t>
            </w:r>
          </w:p>
        </w:tc>
        <w:tc>
          <w:tcPr>
            <w:tcW w:w="2866" w:type="dxa"/>
            <w:noWrap/>
            <w:hideMark/>
          </w:tcPr>
          <w:p w14:paraId="1B47CADF" w14:textId="77777777" w:rsidR="00ED3B61" w:rsidRPr="00AF1E1D" w:rsidRDefault="00ED3B61" w:rsidP="008A0ED6">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0,2967097</w:t>
            </w:r>
          </w:p>
        </w:tc>
        <w:tc>
          <w:tcPr>
            <w:tcW w:w="1333" w:type="dxa"/>
            <w:noWrap/>
            <w:hideMark/>
          </w:tcPr>
          <w:p w14:paraId="2C3E9099" w14:textId="77777777" w:rsidR="00ED3B61" w:rsidRPr="00AF1E1D" w:rsidRDefault="00ED3B61" w:rsidP="008A0ED6">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0,2199406</w:t>
            </w:r>
          </w:p>
        </w:tc>
        <w:tc>
          <w:tcPr>
            <w:tcW w:w="1333" w:type="dxa"/>
            <w:noWrap/>
            <w:hideMark/>
          </w:tcPr>
          <w:p w14:paraId="773E1146"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-1,35</w:t>
            </w:r>
          </w:p>
        </w:tc>
        <w:tc>
          <w:tcPr>
            <w:tcW w:w="1333" w:type="dxa"/>
            <w:noWrap/>
            <w:hideMark/>
          </w:tcPr>
          <w:p w14:paraId="2329A683"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0,0177</w:t>
            </w:r>
          </w:p>
        </w:tc>
        <w:tc>
          <w:tcPr>
            <w:tcW w:w="1333" w:type="dxa"/>
            <w:noWrap/>
            <w:hideMark/>
          </w:tcPr>
          <w:p w14:paraId="0FE5C1A4"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-0,7277854</w:t>
            </w:r>
          </w:p>
        </w:tc>
        <w:tc>
          <w:tcPr>
            <w:tcW w:w="1333" w:type="dxa"/>
            <w:noWrap/>
            <w:hideMark/>
          </w:tcPr>
          <w:p w14:paraId="7C426014"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0,1343659</w:t>
            </w:r>
          </w:p>
        </w:tc>
      </w:tr>
      <w:tr w:rsidR="00ED3B61" w:rsidRPr="008134B1" w14:paraId="0C7EFD65" w14:textId="77777777" w:rsidTr="00AF1E1D">
        <w:trPr>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01B185BD" w14:textId="14DAF0F2"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Contribuciones</w:t>
            </w:r>
            <w:r w:rsidR="00C22D7D" w:rsidRPr="00AF1E1D">
              <w:rPr>
                <w:rFonts w:ascii="Cambria" w:eastAsia="Times New Roman" w:hAnsi="Cambria" w:cs="Arial"/>
                <w:b w:val="0"/>
                <w:color w:val="000000"/>
                <w:sz w:val="20"/>
                <w:szCs w:val="20"/>
                <w:lang w:eastAsia="es-CR"/>
              </w:rPr>
              <w:t>_</w:t>
            </w:r>
            <w:r w:rsidRPr="008A0ED6">
              <w:rPr>
                <w:rFonts w:ascii="Cambria" w:eastAsia="Times New Roman" w:hAnsi="Cambria" w:cs="Arial"/>
                <w:b w:val="0"/>
                <w:caps w:val="0"/>
                <w:color w:val="000000"/>
                <w:sz w:val="20"/>
                <w:szCs w:val="20"/>
                <w:lang w:eastAsia="es-CR"/>
              </w:rPr>
              <w:t>bd</w:t>
            </w:r>
          </w:p>
        </w:tc>
        <w:tc>
          <w:tcPr>
            <w:tcW w:w="2866" w:type="dxa"/>
            <w:noWrap/>
            <w:hideMark/>
          </w:tcPr>
          <w:p w14:paraId="12646500" w14:textId="77777777" w:rsidR="00ED3B61" w:rsidRPr="00AF1E1D" w:rsidRDefault="00ED3B61"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-2,0827749</w:t>
            </w:r>
          </w:p>
        </w:tc>
        <w:tc>
          <w:tcPr>
            <w:tcW w:w="1333" w:type="dxa"/>
            <w:noWrap/>
            <w:hideMark/>
          </w:tcPr>
          <w:p w14:paraId="30837377" w14:textId="77777777" w:rsidR="00ED3B61" w:rsidRPr="00AF1E1D" w:rsidRDefault="00ED3B61"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0,0544601</w:t>
            </w:r>
          </w:p>
        </w:tc>
        <w:tc>
          <w:tcPr>
            <w:tcW w:w="1333" w:type="dxa"/>
            <w:noWrap/>
            <w:hideMark/>
          </w:tcPr>
          <w:p w14:paraId="3DF16B21"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-1,52</w:t>
            </w:r>
          </w:p>
        </w:tc>
        <w:tc>
          <w:tcPr>
            <w:tcW w:w="1333" w:type="dxa"/>
            <w:noWrap/>
            <w:hideMark/>
          </w:tcPr>
          <w:p w14:paraId="71A7B517"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0,1229</w:t>
            </w:r>
          </w:p>
        </w:tc>
        <w:tc>
          <w:tcPr>
            <w:tcW w:w="1333" w:type="dxa"/>
            <w:noWrap/>
            <w:hideMark/>
          </w:tcPr>
          <w:p w14:paraId="49DB26F8"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-2,1895146</w:t>
            </w:r>
          </w:p>
        </w:tc>
        <w:tc>
          <w:tcPr>
            <w:tcW w:w="1333" w:type="dxa"/>
            <w:noWrap/>
            <w:hideMark/>
          </w:tcPr>
          <w:p w14:paraId="7772DC6B"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0,0239649</w:t>
            </w:r>
          </w:p>
        </w:tc>
      </w:tr>
      <w:tr w:rsidR="008134B1" w:rsidRPr="008134B1" w14:paraId="27121113" w14:textId="77777777" w:rsidTr="00ED3B61">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7ECBBD5E" w14:textId="38AF6F32"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Alcances</w:t>
            </w:r>
            <w:r w:rsidR="009F6BEE">
              <w:rPr>
                <w:rFonts w:ascii="Cambria" w:eastAsia="Times New Roman" w:hAnsi="Cambria" w:cs="Arial"/>
                <w:b w:val="0"/>
                <w:color w:val="000000"/>
                <w:sz w:val="20"/>
                <w:szCs w:val="20"/>
                <w:lang w:eastAsia="es-CR"/>
              </w:rPr>
              <w:t>_</w:t>
            </w:r>
            <w:r w:rsidR="009F6BEE">
              <w:rPr>
                <w:rFonts w:ascii="Cambria" w:eastAsia="Times New Roman" w:hAnsi="Cambria" w:cs="Arial"/>
                <w:b w:val="0"/>
                <w:caps w:val="0"/>
                <w:color w:val="000000"/>
                <w:sz w:val="20"/>
                <w:szCs w:val="20"/>
                <w:lang w:eastAsia="es-CR"/>
              </w:rPr>
              <w:t>DO</w:t>
            </w:r>
          </w:p>
        </w:tc>
        <w:tc>
          <w:tcPr>
            <w:tcW w:w="2866" w:type="dxa"/>
            <w:noWrap/>
            <w:hideMark/>
          </w:tcPr>
          <w:p w14:paraId="692CA965" w14:textId="77777777" w:rsidR="00ED3B61" w:rsidRPr="00AF1E1D" w:rsidRDefault="00ED3B61" w:rsidP="008A0ED6">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0,1609066</w:t>
            </w:r>
          </w:p>
        </w:tc>
        <w:tc>
          <w:tcPr>
            <w:tcW w:w="1333" w:type="dxa"/>
            <w:noWrap/>
            <w:hideMark/>
          </w:tcPr>
          <w:p w14:paraId="716B7768" w14:textId="77777777" w:rsidR="00ED3B61" w:rsidRPr="00AF1E1D" w:rsidRDefault="00ED3B61" w:rsidP="008A0ED6">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0,2361755</w:t>
            </w:r>
          </w:p>
        </w:tc>
        <w:tc>
          <w:tcPr>
            <w:tcW w:w="1333" w:type="dxa"/>
            <w:noWrap/>
            <w:hideMark/>
          </w:tcPr>
          <w:p w14:paraId="42D0CA51"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-0,39</w:t>
            </w:r>
          </w:p>
        </w:tc>
        <w:tc>
          <w:tcPr>
            <w:tcW w:w="1333" w:type="dxa"/>
            <w:noWrap/>
            <w:hideMark/>
          </w:tcPr>
          <w:p w14:paraId="5EEE50E1"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0,0067</w:t>
            </w:r>
          </w:p>
        </w:tc>
        <w:tc>
          <w:tcPr>
            <w:tcW w:w="1333" w:type="dxa"/>
            <w:noWrap/>
            <w:hideMark/>
          </w:tcPr>
          <w:p w14:paraId="77A19E34"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-0,5548021</w:t>
            </w:r>
          </w:p>
        </w:tc>
        <w:tc>
          <w:tcPr>
            <w:tcW w:w="1333" w:type="dxa"/>
            <w:noWrap/>
            <w:hideMark/>
          </w:tcPr>
          <w:p w14:paraId="0E3F2243"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0,3709891</w:t>
            </w:r>
          </w:p>
        </w:tc>
      </w:tr>
      <w:tr w:rsidR="00ED3B61" w:rsidRPr="008134B1" w14:paraId="6FE71A7F" w14:textId="77777777" w:rsidTr="00AF1E1D">
        <w:trPr>
          <w:trHeight w:val="364"/>
        </w:trPr>
        <w:tc>
          <w:tcPr>
            <w:cnfStyle w:val="001000000000" w:firstRow="0" w:lastRow="0" w:firstColumn="1" w:lastColumn="0" w:oddVBand="0" w:evenVBand="0" w:oddHBand="0" w:evenHBand="0" w:firstRowFirstColumn="0" w:firstRowLastColumn="0" w:lastRowFirstColumn="0" w:lastRowLastColumn="0"/>
            <w:tcW w:w="3197" w:type="dxa"/>
            <w:noWrap/>
            <w:hideMark/>
          </w:tcPr>
          <w:p w14:paraId="7B25CA3C" w14:textId="4A1A8A31"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Años</w:t>
            </w:r>
            <w:r w:rsidR="00C22D7D" w:rsidRPr="00AF1E1D">
              <w:rPr>
                <w:rFonts w:ascii="Cambria" w:eastAsia="Times New Roman" w:hAnsi="Cambria" w:cs="Arial"/>
                <w:b w:val="0"/>
                <w:color w:val="000000"/>
                <w:sz w:val="20"/>
                <w:szCs w:val="20"/>
                <w:lang w:eastAsia="es-CR"/>
              </w:rPr>
              <w:t>_</w:t>
            </w:r>
            <w:r w:rsidRPr="008A0ED6">
              <w:rPr>
                <w:rFonts w:ascii="Cambria" w:eastAsia="Times New Roman" w:hAnsi="Cambria" w:cs="Arial"/>
                <w:b w:val="0"/>
                <w:caps w:val="0"/>
                <w:color w:val="000000"/>
                <w:sz w:val="20"/>
                <w:szCs w:val="20"/>
                <w:lang w:eastAsia="es-CR"/>
              </w:rPr>
              <w:t>cafe</w:t>
            </w:r>
          </w:p>
        </w:tc>
        <w:tc>
          <w:tcPr>
            <w:tcW w:w="2866" w:type="dxa"/>
            <w:noWrap/>
            <w:hideMark/>
          </w:tcPr>
          <w:p w14:paraId="73CC52CF" w14:textId="77777777" w:rsidR="00ED3B61" w:rsidRPr="00AF1E1D" w:rsidRDefault="00ED3B61"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0,351676</w:t>
            </w:r>
          </w:p>
        </w:tc>
        <w:tc>
          <w:tcPr>
            <w:tcW w:w="1333" w:type="dxa"/>
            <w:noWrap/>
            <w:hideMark/>
          </w:tcPr>
          <w:p w14:paraId="0091C883" w14:textId="77777777" w:rsidR="00ED3B61" w:rsidRPr="00AF1E1D" w:rsidRDefault="00ED3B61" w:rsidP="008A0ED6">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0,0136372</w:t>
            </w:r>
          </w:p>
        </w:tc>
        <w:tc>
          <w:tcPr>
            <w:tcW w:w="1333" w:type="dxa"/>
            <w:noWrap/>
            <w:hideMark/>
          </w:tcPr>
          <w:p w14:paraId="73C6000F"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2,58</w:t>
            </w:r>
          </w:p>
        </w:tc>
        <w:tc>
          <w:tcPr>
            <w:tcW w:w="1333" w:type="dxa"/>
            <w:noWrap/>
            <w:hideMark/>
          </w:tcPr>
          <w:p w14:paraId="0DFD41AE"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0,01</w:t>
            </w:r>
          </w:p>
        </w:tc>
        <w:tc>
          <w:tcPr>
            <w:tcW w:w="1333" w:type="dxa"/>
            <w:noWrap/>
            <w:hideMark/>
          </w:tcPr>
          <w:p w14:paraId="47CD6363"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0,0084392</w:t>
            </w:r>
          </w:p>
        </w:tc>
        <w:tc>
          <w:tcPr>
            <w:tcW w:w="1333" w:type="dxa"/>
            <w:noWrap/>
            <w:hideMark/>
          </w:tcPr>
          <w:p w14:paraId="2D6AA921" w14:textId="77777777" w:rsidR="00ED3B61" w:rsidRPr="00AF1E1D" w:rsidRDefault="00ED3B61" w:rsidP="00AF1E1D">
            <w:pPr>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0,0618961</w:t>
            </w:r>
          </w:p>
        </w:tc>
      </w:tr>
      <w:tr w:rsidR="008134B1" w:rsidRPr="008134B1" w14:paraId="2C802A47" w14:textId="77777777" w:rsidTr="0068455E">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3197" w:type="dxa"/>
            <w:tcBorders>
              <w:bottom w:val="single" w:sz="4" w:space="0" w:color="auto"/>
            </w:tcBorders>
            <w:noWrap/>
            <w:hideMark/>
          </w:tcPr>
          <w:p w14:paraId="0FF06D3B" w14:textId="2B7CC324" w:rsidR="00ED3B61" w:rsidRPr="00AF1E1D" w:rsidRDefault="0068455E" w:rsidP="008A0ED6">
            <w:pPr>
              <w:rPr>
                <w:rFonts w:ascii="Cambria" w:eastAsia="Times New Roman" w:hAnsi="Cambria" w:cs="Arial"/>
                <w:b w:val="0"/>
                <w:color w:val="000000"/>
                <w:sz w:val="20"/>
                <w:szCs w:val="20"/>
                <w:lang w:eastAsia="es-CR"/>
              </w:rPr>
            </w:pPr>
            <w:r w:rsidRPr="008A0ED6">
              <w:rPr>
                <w:rFonts w:ascii="Cambria" w:eastAsia="Times New Roman" w:hAnsi="Cambria" w:cs="Arial"/>
                <w:b w:val="0"/>
                <w:caps w:val="0"/>
                <w:color w:val="000000"/>
                <w:sz w:val="20"/>
                <w:szCs w:val="20"/>
                <w:lang w:eastAsia="es-CR"/>
              </w:rPr>
              <w:t>Cons</w:t>
            </w:r>
          </w:p>
        </w:tc>
        <w:tc>
          <w:tcPr>
            <w:tcW w:w="2866" w:type="dxa"/>
            <w:tcBorders>
              <w:bottom w:val="single" w:sz="4" w:space="0" w:color="auto"/>
            </w:tcBorders>
            <w:noWrap/>
            <w:hideMark/>
          </w:tcPr>
          <w:p w14:paraId="159B23EA" w14:textId="77777777" w:rsidR="00ED3B61" w:rsidRPr="00AF1E1D" w:rsidRDefault="00ED3B61" w:rsidP="008A0ED6">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0,0216526</w:t>
            </w:r>
          </w:p>
        </w:tc>
        <w:tc>
          <w:tcPr>
            <w:tcW w:w="1333" w:type="dxa"/>
            <w:tcBorders>
              <w:bottom w:val="single" w:sz="4" w:space="0" w:color="auto"/>
            </w:tcBorders>
            <w:noWrap/>
            <w:hideMark/>
          </w:tcPr>
          <w:p w14:paraId="7BBD7350" w14:textId="77777777" w:rsidR="00ED3B61" w:rsidRPr="00AF1E1D" w:rsidRDefault="00ED3B61" w:rsidP="008A0ED6">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0,7723396</w:t>
            </w:r>
          </w:p>
        </w:tc>
        <w:tc>
          <w:tcPr>
            <w:tcW w:w="1333" w:type="dxa"/>
            <w:tcBorders>
              <w:bottom w:val="single" w:sz="4" w:space="0" w:color="auto"/>
            </w:tcBorders>
            <w:noWrap/>
            <w:hideMark/>
          </w:tcPr>
          <w:p w14:paraId="2DFDC3D1"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0,03</w:t>
            </w:r>
          </w:p>
        </w:tc>
        <w:tc>
          <w:tcPr>
            <w:tcW w:w="1333" w:type="dxa"/>
            <w:tcBorders>
              <w:bottom w:val="single" w:sz="4" w:space="0" w:color="auto"/>
            </w:tcBorders>
            <w:noWrap/>
            <w:hideMark/>
          </w:tcPr>
          <w:p w14:paraId="7B4DF739"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0,009</w:t>
            </w:r>
          </w:p>
        </w:tc>
        <w:tc>
          <w:tcPr>
            <w:tcW w:w="1333" w:type="dxa"/>
            <w:tcBorders>
              <w:bottom w:val="single" w:sz="4" w:space="0" w:color="auto"/>
            </w:tcBorders>
            <w:noWrap/>
            <w:hideMark/>
          </w:tcPr>
          <w:p w14:paraId="79123ECA"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-1,492105</w:t>
            </w:r>
          </w:p>
        </w:tc>
        <w:tc>
          <w:tcPr>
            <w:tcW w:w="1333" w:type="dxa"/>
            <w:tcBorders>
              <w:bottom w:val="single" w:sz="4" w:space="0" w:color="auto"/>
            </w:tcBorders>
            <w:noWrap/>
            <w:hideMark/>
          </w:tcPr>
          <w:p w14:paraId="4BFFB99A" w14:textId="77777777" w:rsidR="00ED3B61" w:rsidRPr="00AF1E1D" w:rsidRDefault="00ED3B61" w:rsidP="00AF1E1D">
            <w:pPr>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Arial"/>
                <w:color w:val="000000"/>
                <w:sz w:val="20"/>
                <w:szCs w:val="20"/>
                <w:lang w:eastAsia="es-CR"/>
              </w:rPr>
            </w:pPr>
            <w:r w:rsidRPr="00AF1E1D">
              <w:rPr>
                <w:rFonts w:ascii="Cambria" w:eastAsia="Times New Roman" w:hAnsi="Cambria" w:cs="Arial"/>
                <w:color w:val="000000"/>
                <w:sz w:val="20"/>
                <w:szCs w:val="20"/>
                <w:lang w:eastAsia="es-CR"/>
              </w:rPr>
              <w:t>1,535411</w:t>
            </w:r>
          </w:p>
        </w:tc>
      </w:tr>
    </w:tbl>
    <w:p w14:paraId="0131D26C" w14:textId="77777777" w:rsidR="00ED3B61" w:rsidRPr="00AF1E1D" w:rsidRDefault="00ED3B61" w:rsidP="00AF1E1D">
      <w:pPr>
        <w:spacing w:line="240" w:lineRule="auto"/>
        <w:rPr>
          <w:i/>
          <w:sz w:val="20"/>
          <w:szCs w:val="20"/>
        </w:rPr>
      </w:pPr>
    </w:p>
    <w:p w14:paraId="4F50393F" w14:textId="77777777" w:rsidR="008134B1" w:rsidRPr="00431183" w:rsidRDefault="008134B1" w:rsidP="008134B1">
      <w:pPr>
        <w:tabs>
          <w:tab w:val="left" w:pos="2700"/>
        </w:tabs>
        <w:spacing w:line="240" w:lineRule="auto"/>
        <w:jc w:val="both"/>
        <w:rPr>
          <w:rFonts w:ascii="Cambria" w:hAnsi="Cambria" w:cs="Arial"/>
          <w:sz w:val="18"/>
          <w:szCs w:val="18"/>
        </w:rPr>
      </w:pPr>
      <w:r w:rsidRPr="00431183">
        <w:rPr>
          <w:rFonts w:ascii="Cambria" w:hAnsi="Cambria" w:cs="Arial"/>
          <w:sz w:val="18"/>
          <w:szCs w:val="18"/>
        </w:rPr>
        <w:t xml:space="preserve">Fuente: </w:t>
      </w:r>
      <w:r w:rsidRPr="00431183">
        <w:rPr>
          <w:rFonts w:ascii="Cambria" w:eastAsiaTheme="minorEastAsia" w:hAnsi="Cambria" w:cs="Arial"/>
          <w:sz w:val="18"/>
          <w:szCs w:val="18"/>
        </w:rPr>
        <w:t>Elaboración propia con base a la información suministrada por los productores de café de la región de los Santos</w:t>
      </w:r>
    </w:p>
    <w:p w14:paraId="0EECFE8F" w14:textId="77777777" w:rsidR="00ED3B61" w:rsidRDefault="00ED3B61" w:rsidP="00431183">
      <w:pPr>
        <w:tabs>
          <w:tab w:val="left" w:pos="2700"/>
        </w:tabs>
        <w:spacing w:line="240" w:lineRule="auto"/>
        <w:jc w:val="both"/>
        <w:rPr>
          <w:rFonts w:ascii="Cambria" w:eastAsia="Times New Roman" w:hAnsi="Cambria" w:cs="Arial"/>
          <w:color w:val="000000"/>
          <w:sz w:val="18"/>
          <w:szCs w:val="18"/>
          <w:lang w:eastAsia="es-CR"/>
        </w:rPr>
        <w:sectPr w:rsidR="00ED3B61" w:rsidSect="00AF1E1D">
          <w:pgSz w:w="15840" w:h="12240" w:orient="landscape"/>
          <w:pgMar w:top="1701" w:right="1418" w:bottom="1701" w:left="1418" w:header="709" w:footer="709" w:gutter="0"/>
          <w:cols w:space="708"/>
          <w:docGrid w:linePitch="360"/>
        </w:sectPr>
      </w:pPr>
    </w:p>
    <w:p w14:paraId="69591913" w14:textId="4B6EF6D9" w:rsidR="00ED3B61" w:rsidRDefault="00241917" w:rsidP="00431183">
      <w:pPr>
        <w:tabs>
          <w:tab w:val="left" w:pos="2700"/>
        </w:tabs>
        <w:spacing w:line="240" w:lineRule="auto"/>
        <w:jc w:val="both"/>
        <w:rPr>
          <w:rFonts w:ascii="Cambria" w:hAnsi="Cambria" w:cs="Arial"/>
          <w:sz w:val="24"/>
          <w:szCs w:val="24"/>
        </w:rPr>
      </w:pPr>
      <w:r>
        <w:rPr>
          <w:rFonts w:ascii="Cambria" w:hAnsi="Cambria" w:cs="Arial"/>
          <w:sz w:val="24"/>
          <w:szCs w:val="24"/>
        </w:rPr>
        <w:lastRenderedPageBreak/>
        <w:t xml:space="preserve">  </w:t>
      </w:r>
    </w:p>
    <w:p w14:paraId="3E182CF8" w14:textId="7B00CC8D" w:rsidR="00D327D7" w:rsidRDefault="008134B1" w:rsidP="00431183">
      <w:pPr>
        <w:tabs>
          <w:tab w:val="left" w:pos="2700"/>
        </w:tabs>
        <w:spacing w:line="240" w:lineRule="auto"/>
        <w:jc w:val="both"/>
        <w:rPr>
          <w:rFonts w:ascii="Cambria" w:hAnsi="Cambria" w:cs="Arial"/>
          <w:sz w:val="24"/>
          <w:szCs w:val="24"/>
        </w:rPr>
      </w:pPr>
      <w:r>
        <w:rPr>
          <w:rFonts w:ascii="Cambria" w:hAnsi="Cambria" w:cs="Arial"/>
          <w:sz w:val="24"/>
          <w:szCs w:val="24"/>
        </w:rPr>
        <w:t xml:space="preserve">           </w:t>
      </w:r>
      <w:r w:rsidR="0093129B" w:rsidRPr="00431183">
        <w:rPr>
          <w:rFonts w:ascii="Cambria" w:hAnsi="Cambria" w:cs="Arial"/>
          <w:sz w:val="24"/>
          <w:szCs w:val="24"/>
        </w:rPr>
        <w:t xml:space="preserve">De los resultados anteriores, </w:t>
      </w:r>
      <w:r w:rsidR="005819B2">
        <w:rPr>
          <w:rFonts w:ascii="Cambria" w:hAnsi="Cambria" w:cs="Arial"/>
          <w:sz w:val="24"/>
          <w:szCs w:val="24"/>
        </w:rPr>
        <w:t>las contribuciones de Banca para el Desarrollo</w:t>
      </w:r>
      <w:r w:rsidR="00D327D7" w:rsidRPr="00431183">
        <w:rPr>
          <w:rFonts w:ascii="Cambria" w:hAnsi="Cambria" w:cs="Arial"/>
          <w:sz w:val="24"/>
          <w:szCs w:val="24"/>
        </w:rPr>
        <w:t xml:space="preserve"> no es significativa al momento de determinar mediante el modelo logit los beneficios de la Denominación de Origen y el Sistema de Banca para el Desarrollo.  Entre las explicaciones encontradas en la muestra seleccionada sobre la no significancia de la variable</w:t>
      </w:r>
      <w:r>
        <w:rPr>
          <w:rFonts w:ascii="Cambria" w:hAnsi="Cambria" w:cs="Arial"/>
          <w:sz w:val="24"/>
          <w:szCs w:val="24"/>
        </w:rPr>
        <w:t>,</w:t>
      </w:r>
      <w:r w:rsidR="00D327D7" w:rsidRPr="00431183">
        <w:rPr>
          <w:rFonts w:ascii="Cambria" w:hAnsi="Cambria" w:cs="Arial"/>
          <w:sz w:val="24"/>
          <w:szCs w:val="24"/>
        </w:rPr>
        <w:t xml:space="preserve"> es la poca </w:t>
      </w:r>
      <w:r w:rsidR="003B6E4F" w:rsidRPr="00431183">
        <w:rPr>
          <w:rFonts w:ascii="Cambria" w:hAnsi="Cambria" w:cs="Arial"/>
          <w:sz w:val="24"/>
          <w:szCs w:val="24"/>
        </w:rPr>
        <w:t>distinción</w:t>
      </w:r>
      <w:r w:rsidR="00D327D7" w:rsidRPr="00431183">
        <w:rPr>
          <w:rFonts w:ascii="Cambria" w:hAnsi="Cambria" w:cs="Arial"/>
          <w:sz w:val="24"/>
          <w:szCs w:val="24"/>
        </w:rPr>
        <w:t xml:space="preserve"> por parte de los </w:t>
      </w:r>
      <w:r w:rsidR="008D4A8B" w:rsidRPr="00431183">
        <w:rPr>
          <w:rFonts w:ascii="Cambria" w:hAnsi="Cambria" w:cs="Arial"/>
          <w:sz w:val="24"/>
          <w:szCs w:val="24"/>
        </w:rPr>
        <w:t xml:space="preserve">productores al momento de financiarse o buscar recursos por otros mecanismos como la banca de segundo piso que utiliza recursos del Sistema de Banca para el Desarrollo. </w:t>
      </w:r>
    </w:p>
    <w:p w14:paraId="02BBAEAE" w14:textId="0A16412A" w:rsidR="008134B1" w:rsidRPr="00431183" w:rsidRDefault="008134B1" w:rsidP="00431183">
      <w:pPr>
        <w:tabs>
          <w:tab w:val="left" w:pos="2700"/>
        </w:tabs>
        <w:spacing w:line="240" w:lineRule="auto"/>
        <w:jc w:val="both"/>
        <w:rPr>
          <w:rFonts w:ascii="Cambria" w:hAnsi="Cambria" w:cs="Arial"/>
          <w:sz w:val="24"/>
          <w:szCs w:val="24"/>
        </w:rPr>
      </w:pPr>
      <w:r>
        <w:rPr>
          <w:rFonts w:ascii="Cambria" w:hAnsi="Cambria" w:cs="Arial"/>
          <w:sz w:val="24"/>
          <w:szCs w:val="24"/>
        </w:rPr>
        <w:t xml:space="preserve">          Es decir, un productor de café opta por las organizaciones locales como las cooperativas para financiar su actividad productiva ajustada con el ciclo productivo cafetalero</w:t>
      </w:r>
      <w:r w:rsidR="00C21ED8">
        <w:rPr>
          <w:rFonts w:ascii="Cambria" w:hAnsi="Cambria" w:cs="Arial"/>
          <w:sz w:val="24"/>
          <w:szCs w:val="24"/>
        </w:rPr>
        <w:t>, aunque la Denominación de Origen Tarrazú apuesta por una mayor autonomía del productor al apoderarse de su producción local, este no ve beneficioso la completa independencia con respecto a la organización a la que pertenece.</w:t>
      </w:r>
    </w:p>
    <w:p w14:paraId="4081E9D4" w14:textId="2BC8F8D0" w:rsidR="003B6E4F" w:rsidRDefault="00241917" w:rsidP="00732B5A">
      <w:pPr>
        <w:tabs>
          <w:tab w:val="left" w:pos="567"/>
          <w:tab w:val="left" w:pos="2700"/>
        </w:tabs>
        <w:spacing w:line="240" w:lineRule="auto"/>
        <w:jc w:val="both"/>
        <w:rPr>
          <w:rFonts w:ascii="Cambria" w:hAnsi="Cambria" w:cs="Arial"/>
          <w:sz w:val="24"/>
          <w:szCs w:val="24"/>
        </w:rPr>
      </w:pPr>
      <w:r>
        <w:rPr>
          <w:rFonts w:ascii="Cambria" w:hAnsi="Cambria" w:cs="Arial"/>
          <w:sz w:val="24"/>
          <w:szCs w:val="24"/>
        </w:rPr>
        <w:t xml:space="preserve">              </w:t>
      </w:r>
      <w:r w:rsidR="003B6E4F" w:rsidRPr="00431183">
        <w:rPr>
          <w:rFonts w:ascii="Cambria" w:hAnsi="Cambria" w:cs="Arial"/>
          <w:sz w:val="24"/>
          <w:szCs w:val="24"/>
        </w:rPr>
        <w:t xml:space="preserve">Otra de las razones también encontradas es que no conoce </w:t>
      </w:r>
      <w:r w:rsidR="005819B2">
        <w:rPr>
          <w:rFonts w:ascii="Cambria" w:hAnsi="Cambria" w:cs="Arial"/>
          <w:sz w:val="24"/>
          <w:szCs w:val="24"/>
        </w:rPr>
        <w:t>en totalidad la</w:t>
      </w:r>
      <w:r w:rsidR="003B6E4F" w:rsidRPr="00431183">
        <w:rPr>
          <w:rFonts w:ascii="Cambria" w:hAnsi="Cambria" w:cs="Arial"/>
          <w:sz w:val="24"/>
          <w:szCs w:val="24"/>
        </w:rPr>
        <w:t xml:space="preserve"> calidad de la finca</w:t>
      </w:r>
      <w:r w:rsidR="005819B2">
        <w:rPr>
          <w:rFonts w:ascii="Cambria" w:hAnsi="Cambria" w:cs="Arial"/>
          <w:sz w:val="24"/>
          <w:szCs w:val="24"/>
        </w:rPr>
        <w:t>,</w:t>
      </w:r>
      <w:r w:rsidR="003B6E4F" w:rsidRPr="00431183">
        <w:rPr>
          <w:rFonts w:ascii="Cambria" w:hAnsi="Cambria" w:cs="Arial"/>
          <w:sz w:val="24"/>
          <w:szCs w:val="24"/>
        </w:rPr>
        <w:t xml:space="preserve"> o utiliza los recursos del Sistema de Banca de Desarrollo a otras actividades en la finca que no necesariamente están relacionadas únicamente el cultivo de café</w:t>
      </w:r>
      <w:r w:rsidR="005819B2">
        <w:rPr>
          <w:rFonts w:ascii="Cambria" w:hAnsi="Cambria" w:cs="Arial"/>
          <w:sz w:val="24"/>
          <w:szCs w:val="24"/>
        </w:rPr>
        <w:t xml:space="preserve">.  </w:t>
      </w:r>
      <w:r w:rsidR="004271A7">
        <w:rPr>
          <w:rFonts w:ascii="Cambria" w:hAnsi="Cambria" w:cs="Arial"/>
          <w:sz w:val="24"/>
          <w:szCs w:val="24"/>
        </w:rPr>
        <w:t xml:space="preserve">Otro factor que se encontró que explica porque esta variable no es significativa es que, a nivel individual, muchos de los productores al estar asociados a la cooperativa, no determinan de manera clara los montos de inversión que les permitan completar los procesos de diferenciación. </w:t>
      </w:r>
    </w:p>
    <w:p w14:paraId="40A775DA" w14:textId="3F42E091" w:rsidR="005819B2" w:rsidRDefault="005819B2" w:rsidP="00AF1E1D">
      <w:pPr>
        <w:tabs>
          <w:tab w:val="left" w:pos="567"/>
          <w:tab w:val="left" w:pos="2700"/>
        </w:tabs>
        <w:spacing w:line="240" w:lineRule="auto"/>
        <w:jc w:val="both"/>
        <w:rPr>
          <w:rFonts w:ascii="Cambria" w:hAnsi="Cambria" w:cs="Arial"/>
          <w:sz w:val="24"/>
          <w:szCs w:val="24"/>
        </w:rPr>
      </w:pPr>
      <w:r>
        <w:rPr>
          <w:rFonts w:ascii="Cambria" w:hAnsi="Cambria" w:cs="Arial"/>
          <w:sz w:val="24"/>
          <w:szCs w:val="24"/>
        </w:rPr>
        <w:tab/>
        <w:t xml:space="preserve">Otro aspecto </w:t>
      </w:r>
      <w:r w:rsidR="004867BF">
        <w:rPr>
          <w:rFonts w:ascii="Cambria" w:hAnsi="Cambria" w:cs="Arial"/>
          <w:sz w:val="24"/>
          <w:szCs w:val="24"/>
        </w:rPr>
        <w:t xml:space="preserve">relacionado a las </w:t>
      </w:r>
      <w:r>
        <w:rPr>
          <w:rFonts w:ascii="Cambria" w:hAnsi="Cambria" w:cs="Arial"/>
          <w:sz w:val="24"/>
          <w:szCs w:val="24"/>
        </w:rPr>
        <w:t>contribuciones de Banca de Desarrollo, es que según la muestra analizada de productores</w:t>
      </w:r>
      <w:r w:rsidR="004867BF">
        <w:rPr>
          <w:rFonts w:ascii="Cambria" w:hAnsi="Cambria" w:cs="Arial"/>
          <w:sz w:val="24"/>
          <w:szCs w:val="24"/>
        </w:rPr>
        <w:t xml:space="preserve">, los productores no tienen clarificado su organización para los que quieran seguir perteneciendo a las cooperativas de la región, en especial, porque no existe una definición actual si la Denominación recae sobre el procesamiento propio de la cooperativa sin reconocer al productor, o la cooperativa tiene que reconocer que la producción es de un productor que forma parte de la Denominación de Origen. </w:t>
      </w:r>
    </w:p>
    <w:p w14:paraId="45694891" w14:textId="77965A0B" w:rsidR="0068455E" w:rsidRPr="00431183" w:rsidRDefault="00732B5A" w:rsidP="00AF1E1D">
      <w:pPr>
        <w:tabs>
          <w:tab w:val="left" w:pos="2700"/>
        </w:tabs>
        <w:spacing w:line="240" w:lineRule="auto"/>
        <w:jc w:val="both"/>
        <w:rPr>
          <w:rFonts w:ascii="Cambria" w:hAnsi="Cambria" w:cs="Arial"/>
          <w:b/>
          <w:sz w:val="24"/>
          <w:szCs w:val="24"/>
        </w:rPr>
      </w:pPr>
      <w:r>
        <w:rPr>
          <w:rFonts w:ascii="Cambria" w:hAnsi="Cambria" w:cs="Arial"/>
          <w:sz w:val="24"/>
          <w:szCs w:val="24"/>
        </w:rPr>
        <w:t xml:space="preserve">          </w:t>
      </w:r>
      <w:r w:rsidR="004271A7">
        <w:rPr>
          <w:rFonts w:ascii="Cambria" w:hAnsi="Cambria" w:cs="Arial"/>
          <w:sz w:val="24"/>
          <w:szCs w:val="24"/>
        </w:rPr>
        <w:t>Con el hallazgo anterior se continua con las variables significativas, obteniendo un indicador de clasificación de las variables</w:t>
      </w:r>
      <w:r w:rsidR="0068455E">
        <w:rPr>
          <w:rFonts w:ascii="Cambria" w:hAnsi="Cambria" w:cs="Arial"/>
          <w:b/>
          <w:sz w:val="24"/>
          <w:szCs w:val="24"/>
        </w:rPr>
        <w:t xml:space="preserve">. </w:t>
      </w:r>
    </w:p>
    <w:p w14:paraId="43445B5E" w14:textId="3FFB1E0E" w:rsidR="0093129B" w:rsidRDefault="0093129B" w:rsidP="0068455E">
      <w:pPr>
        <w:tabs>
          <w:tab w:val="left" w:pos="2700"/>
        </w:tabs>
        <w:spacing w:line="240" w:lineRule="auto"/>
        <w:rPr>
          <w:rFonts w:ascii="Cambria" w:hAnsi="Cambria" w:cs="Arial"/>
          <w:b/>
          <w:sz w:val="24"/>
          <w:szCs w:val="24"/>
        </w:rPr>
      </w:pPr>
      <w:r w:rsidRPr="00431183">
        <w:rPr>
          <w:rFonts w:ascii="Cambria" w:hAnsi="Cambria" w:cs="Arial"/>
          <w:b/>
          <w:sz w:val="24"/>
          <w:szCs w:val="24"/>
        </w:rPr>
        <w:t>Clasificación de las variables</w:t>
      </w:r>
    </w:p>
    <w:p w14:paraId="673E782C" w14:textId="5E09434B" w:rsidR="0068455E" w:rsidRDefault="0068455E" w:rsidP="00AF1E1D">
      <w:pPr>
        <w:tabs>
          <w:tab w:val="left" w:pos="2700"/>
        </w:tabs>
        <w:spacing w:line="240" w:lineRule="auto"/>
        <w:jc w:val="both"/>
        <w:rPr>
          <w:rFonts w:ascii="Cambria" w:hAnsi="Cambria" w:cs="Arial"/>
          <w:sz w:val="24"/>
          <w:szCs w:val="24"/>
        </w:rPr>
      </w:pPr>
      <w:r>
        <w:rPr>
          <w:rFonts w:ascii="Cambria" w:hAnsi="Cambria" w:cs="Arial"/>
          <w:sz w:val="24"/>
          <w:szCs w:val="24"/>
        </w:rPr>
        <w:t xml:space="preserve">En la siguiente sección se realiza un test para determinar la clasificación de las variables que han sido estimados bajo la metodología planteada de utilizar un logit estimado por Máxima-Verisimilitud, tal como se muestra en la siguiente tabla: </w:t>
      </w:r>
    </w:p>
    <w:p w14:paraId="0ED9C4F6" w14:textId="5365BDA6" w:rsidR="0068455E" w:rsidRDefault="0068455E" w:rsidP="0068455E">
      <w:pPr>
        <w:tabs>
          <w:tab w:val="left" w:pos="2700"/>
        </w:tabs>
        <w:spacing w:line="240" w:lineRule="auto"/>
        <w:rPr>
          <w:rFonts w:ascii="Cambria" w:hAnsi="Cambria" w:cs="Arial"/>
          <w:sz w:val="24"/>
          <w:szCs w:val="24"/>
        </w:rPr>
      </w:pPr>
    </w:p>
    <w:p w14:paraId="0129708F" w14:textId="2DCFDCF7" w:rsidR="0068455E" w:rsidRDefault="0068455E" w:rsidP="0068455E">
      <w:pPr>
        <w:tabs>
          <w:tab w:val="left" w:pos="2700"/>
        </w:tabs>
        <w:spacing w:line="240" w:lineRule="auto"/>
        <w:rPr>
          <w:rFonts w:ascii="Cambria" w:hAnsi="Cambria" w:cs="Arial"/>
          <w:sz w:val="24"/>
          <w:szCs w:val="24"/>
        </w:rPr>
      </w:pPr>
    </w:p>
    <w:p w14:paraId="1A5CC05B" w14:textId="734C331E" w:rsidR="0068455E" w:rsidRDefault="0068455E" w:rsidP="0068455E">
      <w:pPr>
        <w:tabs>
          <w:tab w:val="left" w:pos="2700"/>
        </w:tabs>
        <w:spacing w:line="240" w:lineRule="auto"/>
        <w:rPr>
          <w:rFonts w:ascii="Cambria" w:hAnsi="Cambria" w:cs="Arial"/>
          <w:sz w:val="24"/>
          <w:szCs w:val="24"/>
        </w:rPr>
      </w:pPr>
    </w:p>
    <w:p w14:paraId="53B04304" w14:textId="77777777" w:rsidR="0068455E" w:rsidRDefault="0068455E" w:rsidP="00AF1E1D">
      <w:pPr>
        <w:tabs>
          <w:tab w:val="left" w:pos="2700"/>
        </w:tabs>
        <w:spacing w:line="240" w:lineRule="auto"/>
      </w:pPr>
    </w:p>
    <w:p w14:paraId="05E51D2B" w14:textId="77777777" w:rsidR="00CE6395" w:rsidRDefault="00CE6395" w:rsidP="00CE6395">
      <w:pPr>
        <w:pStyle w:val="Descripcin"/>
        <w:rPr>
          <w:rFonts w:ascii="Cambria" w:hAnsi="Cambria"/>
          <w:b/>
          <w:i w:val="0"/>
          <w:color w:val="auto"/>
          <w:sz w:val="22"/>
          <w:szCs w:val="22"/>
        </w:rPr>
      </w:pPr>
    </w:p>
    <w:p w14:paraId="3481D33A" w14:textId="77777777" w:rsidR="00CE6395" w:rsidRDefault="00CE6395" w:rsidP="00CE6395">
      <w:pPr>
        <w:pStyle w:val="Descripcin"/>
      </w:pPr>
    </w:p>
    <w:p w14:paraId="7EC5EE46" w14:textId="419CB969" w:rsidR="0013272A" w:rsidRPr="00AF1E1D" w:rsidRDefault="00CE6395" w:rsidP="00AF1E1D">
      <w:pPr>
        <w:pStyle w:val="Descripcin"/>
        <w:rPr>
          <w:rFonts w:ascii="Cambria" w:hAnsi="Cambria"/>
          <w:b/>
          <w:i w:val="0"/>
          <w:color w:val="auto"/>
          <w:sz w:val="22"/>
          <w:szCs w:val="22"/>
        </w:rPr>
      </w:pPr>
      <w:bookmarkStart w:id="117" w:name="_Toc527576372"/>
      <w:r w:rsidRPr="00AF1E1D">
        <w:rPr>
          <w:rFonts w:ascii="Cambria" w:hAnsi="Cambria"/>
          <w:b/>
          <w:i w:val="0"/>
          <w:color w:val="auto"/>
          <w:sz w:val="22"/>
          <w:szCs w:val="22"/>
        </w:rPr>
        <w:lastRenderedPageBreak/>
        <w:t xml:space="preserve">Tabla </w:t>
      </w:r>
      <w:r w:rsidRPr="00AF1E1D">
        <w:rPr>
          <w:rFonts w:ascii="Cambria" w:hAnsi="Cambria"/>
          <w:b/>
          <w:i w:val="0"/>
          <w:color w:val="auto"/>
          <w:sz w:val="22"/>
          <w:szCs w:val="22"/>
        </w:rPr>
        <w:fldChar w:fldCharType="begin"/>
      </w:r>
      <w:r w:rsidRPr="00AF1E1D">
        <w:rPr>
          <w:rFonts w:ascii="Cambria" w:hAnsi="Cambria"/>
          <w:b/>
          <w:i w:val="0"/>
          <w:color w:val="auto"/>
          <w:sz w:val="22"/>
          <w:szCs w:val="22"/>
        </w:rPr>
        <w:instrText xml:space="preserve"> SEQ Tabla \* ARABIC </w:instrText>
      </w:r>
      <w:r w:rsidRPr="00AF1E1D">
        <w:rPr>
          <w:rFonts w:ascii="Cambria" w:hAnsi="Cambria"/>
          <w:b/>
          <w:i w:val="0"/>
          <w:color w:val="auto"/>
          <w:sz w:val="22"/>
          <w:szCs w:val="22"/>
        </w:rPr>
        <w:fldChar w:fldCharType="separate"/>
      </w:r>
      <w:r w:rsidRPr="00AF1E1D">
        <w:rPr>
          <w:rFonts w:ascii="Cambria" w:hAnsi="Cambria"/>
          <w:b/>
          <w:i w:val="0"/>
          <w:noProof/>
          <w:color w:val="auto"/>
          <w:sz w:val="22"/>
          <w:szCs w:val="22"/>
        </w:rPr>
        <w:t>14</w:t>
      </w:r>
      <w:bookmarkEnd w:id="117"/>
      <w:r w:rsidRPr="00AF1E1D">
        <w:rPr>
          <w:rFonts w:ascii="Cambria" w:hAnsi="Cambria"/>
          <w:b/>
          <w:i w:val="0"/>
          <w:color w:val="auto"/>
          <w:sz w:val="22"/>
          <w:szCs w:val="22"/>
        </w:rPr>
        <w:fldChar w:fldCharType="end"/>
      </w:r>
    </w:p>
    <w:p w14:paraId="6A052673" w14:textId="2F980C6C" w:rsidR="00432E1A" w:rsidRPr="00AF1E1D" w:rsidRDefault="0013272A" w:rsidP="00AF1E1D">
      <w:pPr>
        <w:pStyle w:val="Descripcin"/>
        <w:keepNext/>
        <w:jc w:val="both"/>
        <w:rPr>
          <w:rFonts w:ascii="Cambria" w:hAnsi="Cambria" w:cs="Arial"/>
          <w:b/>
          <w:i w:val="0"/>
          <w:color w:val="auto"/>
          <w:sz w:val="22"/>
          <w:szCs w:val="22"/>
        </w:rPr>
      </w:pPr>
      <w:r>
        <w:rPr>
          <w:rFonts w:ascii="Cambria" w:hAnsi="Cambria"/>
          <w:b/>
          <w:i w:val="0"/>
          <w:color w:val="auto"/>
          <w:sz w:val="22"/>
          <w:szCs w:val="22"/>
        </w:rPr>
        <w:t>C</w:t>
      </w:r>
      <w:r w:rsidRPr="00AF1E1D">
        <w:rPr>
          <w:rFonts w:ascii="Cambria" w:hAnsi="Cambria"/>
          <w:b/>
          <w:i w:val="0"/>
          <w:color w:val="auto"/>
          <w:sz w:val="22"/>
          <w:szCs w:val="22"/>
        </w:rPr>
        <w:t xml:space="preserve">lasificación de variables Modelo Logit.  </w:t>
      </w:r>
      <w:r w:rsidRPr="0013272A">
        <w:rPr>
          <w:rFonts w:ascii="Cambria" w:hAnsi="Cambria" w:cs="Arial"/>
          <w:b/>
          <w:i w:val="0"/>
          <w:color w:val="auto"/>
          <w:sz w:val="22"/>
          <w:szCs w:val="22"/>
        </w:rPr>
        <w:t>Beneficios del uso de la Denominación de Origen y Banca para el Desarrollo.</w:t>
      </w:r>
    </w:p>
    <w:tbl>
      <w:tblPr>
        <w:tblStyle w:val="Tablanormal3"/>
        <w:tblW w:w="8825" w:type="dxa"/>
        <w:tblLook w:val="04A0" w:firstRow="1" w:lastRow="0" w:firstColumn="1" w:lastColumn="0" w:noHBand="0" w:noVBand="1"/>
      </w:tblPr>
      <w:tblGrid>
        <w:gridCol w:w="5072"/>
        <w:gridCol w:w="551"/>
        <w:gridCol w:w="1989"/>
        <w:gridCol w:w="280"/>
        <w:gridCol w:w="933"/>
      </w:tblGrid>
      <w:tr w:rsidR="003E001E" w:rsidRPr="00432E1A" w14:paraId="3EDAF64B" w14:textId="77777777" w:rsidTr="00AF1E1D">
        <w:trPr>
          <w:cnfStyle w:val="100000000000" w:firstRow="1" w:lastRow="0" w:firstColumn="0" w:lastColumn="0" w:oddVBand="0" w:evenVBand="0" w:oddHBand="0" w:evenHBand="0" w:firstRowFirstColumn="0" w:firstRowLastColumn="0" w:lastRowFirstColumn="0" w:lastRowLastColumn="0"/>
          <w:trHeight w:val="192"/>
        </w:trPr>
        <w:tc>
          <w:tcPr>
            <w:cnfStyle w:val="001000000100" w:firstRow="0" w:lastRow="0" w:firstColumn="1" w:lastColumn="0" w:oddVBand="0" w:evenVBand="0" w:oddHBand="0" w:evenHBand="0" w:firstRowFirstColumn="1" w:firstRowLastColumn="0" w:lastRowFirstColumn="0" w:lastRowLastColumn="0"/>
            <w:tcW w:w="5072" w:type="dxa"/>
            <w:tcBorders>
              <w:bottom w:val="single" w:sz="4" w:space="0" w:color="auto"/>
            </w:tcBorders>
            <w:noWrap/>
            <w:hideMark/>
          </w:tcPr>
          <w:p w14:paraId="2C03720B" w14:textId="77777777" w:rsidR="00432E1A" w:rsidRPr="008A0ED6" w:rsidRDefault="00432E1A" w:rsidP="00432E1A">
            <w:pPr>
              <w:jc w:val="center"/>
              <w:rPr>
                <w:rFonts w:ascii="Calibri" w:eastAsia="Times New Roman" w:hAnsi="Calibri" w:cs="Calibri"/>
                <w:color w:val="000000"/>
                <w:lang w:eastAsia="es-CR"/>
              </w:rPr>
            </w:pPr>
            <w:r w:rsidRPr="008A0ED6">
              <w:rPr>
                <w:rFonts w:ascii="Calibri" w:eastAsia="Times New Roman" w:hAnsi="Calibri" w:cs="Calibri"/>
                <w:color w:val="000000"/>
                <w:lang w:eastAsia="es-CR"/>
              </w:rPr>
              <w:t>Classified</w:t>
            </w:r>
          </w:p>
        </w:tc>
        <w:tc>
          <w:tcPr>
            <w:tcW w:w="551" w:type="dxa"/>
            <w:tcBorders>
              <w:bottom w:val="single" w:sz="4" w:space="0" w:color="auto"/>
            </w:tcBorders>
            <w:noWrap/>
            <w:hideMark/>
          </w:tcPr>
          <w:p w14:paraId="1B3AE771" w14:textId="77777777" w:rsidR="00432E1A" w:rsidRPr="008A0ED6" w:rsidRDefault="00432E1A" w:rsidP="00432E1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8A0ED6">
              <w:rPr>
                <w:rFonts w:ascii="Calibri" w:eastAsia="Times New Roman" w:hAnsi="Calibri" w:cs="Calibri"/>
                <w:color w:val="000000"/>
                <w:lang w:eastAsia="es-CR"/>
              </w:rPr>
              <w:t>D</w:t>
            </w:r>
          </w:p>
        </w:tc>
        <w:tc>
          <w:tcPr>
            <w:tcW w:w="2269" w:type="dxa"/>
            <w:gridSpan w:val="2"/>
            <w:tcBorders>
              <w:bottom w:val="single" w:sz="4" w:space="0" w:color="auto"/>
            </w:tcBorders>
            <w:noWrap/>
            <w:hideMark/>
          </w:tcPr>
          <w:p w14:paraId="3DCD8C8E" w14:textId="77777777" w:rsidR="00432E1A" w:rsidRPr="00AF1E1D" w:rsidRDefault="00432E1A" w:rsidP="00432E1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AF1E1D">
              <w:rPr>
                <w:rFonts w:ascii="Calibri" w:eastAsia="Times New Roman" w:hAnsi="Calibri" w:cs="Calibri"/>
                <w:color w:val="000000"/>
                <w:lang w:eastAsia="es-CR"/>
              </w:rPr>
              <w:t>~D</w:t>
            </w:r>
          </w:p>
        </w:tc>
        <w:tc>
          <w:tcPr>
            <w:tcW w:w="933" w:type="dxa"/>
            <w:tcBorders>
              <w:bottom w:val="single" w:sz="4" w:space="0" w:color="auto"/>
            </w:tcBorders>
            <w:noWrap/>
            <w:hideMark/>
          </w:tcPr>
          <w:p w14:paraId="1195E766" w14:textId="77777777" w:rsidR="00432E1A" w:rsidRPr="00AF1E1D" w:rsidRDefault="00432E1A" w:rsidP="00432E1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AF1E1D">
              <w:rPr>
                <w:rFonts w:ascii="Calibri" w:eastAsia="Times New Roman" w:hAnsi="Calibri" w:cs="Calibri"/>
                <w:color w:val="000000"/>
                <w:lang w:eastAsia="es-CR"/>
              </w:rPr>
              <w:t>Total</w:t>
            </w:r>
          </w:p>
        </w:tc>
      </w:tr>
      <w:tr w:rsidR="003E001E" w:rsidRPr="00432E1A" w14:paraId="49BA7E43" w14:textId="77777777" w:rsidTr="003E001E">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5072" w:type="dxa"/>
            <w:tcBorders>
              <w:top w:val="single" w:sz="4" w:space="0" w:color="auto"/>
            </w:tcBorders>
            <w:noWrap/>
            <w:hideMark/>
          </w:tcPr>
          <w:p w14:paraId="097128E4" w14:textId="77777777" w:rsidR="003E001E" w:rsidRPr="008A0ED6" w:rsidRDefault="003E001E" w:rsidP="00432E1A">
            <w:pPr>
              <w:jc w:val="center"/>
              <w:rPr>
                <w:rFonts w:ascii="Calibri" w:eastAsia="Times New Roman" w:hAnsi="Calibri" w:cs="Calibri"/>
                <w:bCs w:val="0"/>
                <w:caps w:val="0"/>
                <w:color w:val="000000"/>
                <w:lang w:eastAsia="es-CR"/>
              </w:rPr>
            </w:pPr>
            <w:r w:rsidRPr="00AF1E1D">
              <w:rPr>
                <w:rFonts w:ascii="Calibri" w:eastAsia="Times New Roman" w:hAnsi="Calibri" w:cs="Calibri"/>
                <w:b w:val="0"/>
                <w:color w:val="000000"/>
                <w:lang w:eastAsia="es-CR"/>
              </w:rPr>
              <w:t>+</w:t>
            </w:r>
          </w:p>
          <w:p w14:paraId="71276499" w14:textId="553A5A8A" w:rsidR="003E001E" w:rsidRPr="00AF1E1D" w:rsidRDefault="003E001E" w:rsidP="00432E1A">
            <w:pPr>
              <w:jc w:val="center"/>
              <w:rPr>
                <w:rFonts w:ascii="Calibri" w:eastAsia="Times New Roman" w:hAnsi="Calibri" w:cs="Calibri"/>
                <w:b w:val="0"/>
                <w:color w:val="000000"/>
                <w:lang w:eastAsia="es-CR"/>
              </w:rPr>
            </w:pPr>
            <w:r w:rsidRPr="00AF1E1D">
              <w:rPr>
                <w:rFonts w:ascii="Calibri" w:eastAsia="Times New Roman" w:hAnsi="Calibri" w:cs="Calibri"/>
                <w:b w:val="0"/>
                <w:color w:val="000000"/>
                <w:lang w:eastAsia="es-CR"/>
              </w:rPr>
              <w:t>-</w:t>
            </w:r>
          </w:p>
        </w:tc>
        <w:tc>
          <w:tcPr>
            <w:tcW w:w="551" w:type="dxa"/>
            <w:tcBorders>
              <w:top w:val="single" w:sz="4" w:space="0" w:color="auto"/>
            </w:tcBorders>
            <w:noWrap/>
            <w:hideMark/>
          </w:tcPr>
          <w:p w14:paraId="78966B84" w14:textId="77777777" w:rsidR="003E001E" w:rsidRPr="00432E1A" w:rsidRDefault="003E001E" w:rsidP="00432E1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186</w:t>
            </w:r>
          </w:p>
          <w:p w14:paraId="0F4B3B1E" w14:textId="3DA7AE93" w:rsidR="003E001E" w:rsidRPr="00432E1A" w:rsidRDefault="003E001E" w:rsidP="00432E1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36</w:t>
            </w:r>
          </w:p>
        </w:tc>
        <w:tc>
          <w:tcPr>
            <w:tcW w:w="2269" w:type="dxa"/>
            <w:gridSpan w:val="2"/>
            <w:tcBorders>
              <w:top w:val="single" w:sz="4" w:space="0" w:color="auto"/>
            </w:tcBorders>
            <w:noWrap/>
            <w:hideMark/>
          </w:tcPr>
          <w:p w14:paraId="603BFD38" w14:textId="77777777" w:rsidR="003E001E" w:rsidRPr="00432E1A" w:rsidRDefault="003E001E" w:rsidP="00432E1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114</w:t>
            </w:r>
          </w:p>
          <w:p w14:paraId="5427B95A" w14:textId="786E3245" w:rsidR="003E001E" w:rsidRPr="00432E1A" w:rsidRDefault="003E001E" w:rsidP="00432E1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44</w:t>
            </w:r>
          </w:p>
        </w:tc>
        <w:tc>
          <w:tcPr>
            <w:tcW w:w="933" w:type="dxa"/>
            <w:tcBorders>
              <w:top w:val="single" w:sz="4" w:space="0" w:color="auto"/>
            </w:tcBorders>
            <w:noWrap/>
            <w:hideMark/>
          </w:tcPr>
          <w:p w14:paraId="2078DC6A" w14:textId="77777777" w:rsidR="003E001E" w:rsidRPr="00432E1A" w:rsidRDefault="003E001E" w:rsidP="00AF1E1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300</w:t>
            </w:r>
          </w:p>
          <w:p w14:paraId="12FE882A" w14:textId="57AC91DE" w:rsidR="003E001E" w:rsidRPr="00432E1A" w:rsidRDefault="003E001E" w:rsidP="00AF1E1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80</w:t>
            </w:r>
          </w:p>
        </w:tc>
      </w:tr>
      <w:tr w:rsidR="003E001E" w:rsidRPr="00432E1A" w14:paraId="40C6D117" w14:textId="77777777" w:rsidTr="003E001E">
        <w:trPr>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562F34C1" w14:textId="550C70EB" w:rsidR="00432E1A" w:rsidRPr="00AF1E1D" w:rsidRDefault="0068455E" w:rsidP="00432E1A">
            <w:pPr>
              <w:jc w:val="cente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Total</w:t>
            </w:r>
          </w:p>
        </w:tc>
        <w:tc>
          <w:tcPr>
            <w:tcW w:w="551" w:type="dxa"/>
            <w:noWrap/>
            <w:hideMark/>
          </w:tcPr>
          <w:p w14:paraId="6C07C2FA" w14:textId="77777777" w:rsidR="00432E1A" w:rsidRPr="00432E1A" w:rsidRDefault="00432E1A" w:rsidP="00432E1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222</w:t>
            </w:r>
          </w:p>
        </w:tc>
        <w:tc>
          <w:tcPr>
            <w:tcW w:w="2269" w:type="dxa"/>
            <w:gridSpan w:val="2"/>
            <w:noWrap/>
            <w:hideMark/>
          </w:tcPr>
          <w:p w14:paraId="00CFDC1F" w14:textId="77777777" w:rsidR="00432E1A" w:rsidRPr="00432E1A" w:rsidRDefault="00432E1A" w:rsidP="00432E1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158</w:t>
            </w:r>
          </w:p>
        </w:tc>
        <w:tc>
          <w:tcPr>
            <w:tcW w:w="933" w:type="dxa"/>
            <w:noWrap/>
            <w:hideMark/>
          </w:tcPr>
          <w:p w14:paraId="413C48EF" w14:textId="77777777" w:rsidR="00432E1A" w:rsidRPr="00432E1A" w:rsidRDefault="00432E1A" w:rsidP="00AF1E1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380</w:t>
            </w:r>
          </w:p>
        </w:tc>
      </w:tr>
      <w:tr w:rsidR="003E001E" w:rsidRPr="00432E1A" w14:paraId="703E92DB" w14:textId="77777777" w:rsidTr="00AF1E1D">
        <w:trPr>
          <w:gridAfter w:val="4"/>
          <w:cnfStyle w:val="000000100000" w:firstRow="0" w:lastRow="0" w:firstColumn="0" w:lastColumn="0" w:oddVBand="0" w:evenVBand="0" w:oddHBand="1" w:evenHBand="0" w:firstRowFirstColumn="0" w:firstRowLastColumn="0" w:lastRowFirstColumn="0" w:lastRowLastColumn="0"/>
          <w:wAfter w:w="3753" w:type="dxa"/>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2650439D" w14:textId="588BC5E9" w:rsidR="00432E1A" w:rsidRPr="00AF1E1D" w:rsidRDefault="0068455E" w:rsidP="00AF1E1D">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Classified + if predicted pr(d) &gt;=.5</w:t>
            </w:r>
          </w:p>
        </w:tc>
      </w:tr>
      <w:tr w:rsidR="003E001E" w:rsidRPr="00432E1A" w14:paraId="0912F5C4" w14:textId="77777777" w:rsidTr="00AF1E1D">
        <w:trPr>
          <w:gridAfter w:val="4"/>
          <w:wAfter w:w="3753" w:type="dxa"/>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2B94DDEF" w14:textId="3ECCE039" w:rsidR="00432E1A" w:rsidRPr="00AF1E1D" w:rsidRDefault="0068455E" w:rsidP="00AF1E1D">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True d defined as beneficio_los_santos !</w:t>
            </w:r>
            <w:r w:rsidR="00432E1A" w:rsidRPr="00AF1E1D">
              <w:rPr>
                <w:rFonts w:ascii="Calibri" w:eastAsia="Times New Roman" w:hAnsi="Calibri" w:cs="Calibri"/>
                <w:b w:val="0"/>
                <w:color w:val="000000"/>
                <w:lang w:eastAsia="es-CR"/>
              </w:rPr>
              <w:t>=0</w:t>
            </w:r>
          </w:p>
        </w:tc>
      </w:tr>
      <w:tr w:rsidR="003E001E" w:rsidRPr="00432E1A" w14:paraId="1CAE30D2" w14:textId="77777777" w:rsidTr="00AF1E1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376B0ECF" w14:textId="4C128207" w:rsidR="00432E1A" w:rsidRPr="00AF1E1D" w:rsidRDefault="0068455E" w:rsidP="00432E1A">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Sensitivity</w:t>
            </w:r>
          </w:p>
        </w:tc>
        <w:tc>
          <w:tcPr>
            <w:tcW w:w="2540" w:type="dxa"/>
            <w:gridSpan w:val="2"/>
            <w:noWrap/>
            <w:hideMark/>
          </w:tcPr>
          <w:p w14:paraId="2123F44B" w14:textId="5CE24474" w:rsidR="00432E1A" w:rsidRPr="00432E1A" w:rsidRDefault="00432E1A" w:rsidP="00AF1E1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 xml:space="preserve">Pr(+| </w:t>
            </w:r>
            <w:r w:rsidR="003E001E" w:rsidRPr="00432E1A">
              <w:rPr>
                <w:rFonts w:ascii="Calibri" w:eastAsia="Times New Roman" w:hAnsi="Calibri" w:cs="Calibri"/>
                <w:color w:val="000000"/>
                <w:lang w:eastAsia="es-CR"/>
              </w:rPr>
              <w:t xml:space="preserve"> </w:t>
            </w:r>
            <w:r w:rsidR="003E001E">
              <w:rPr>
                <w:rFonts w:ascii="Calibri" w:eastAsia="Times New Roman" w:hAnsi="Calibri" w:cs="Calibri"/>
                <w:color w:val="000000"/>
                <w:lang w:eastAsia="es-CR"/>
              </w:rPr>
              <w:t>D</w:t>
            </w:r>
            <w:r w:rsidR="003E001E" w:rsidRPr="00432E1A">
              <w:rPr>
                <w:rFonts w:ascii="Calibri" w:eastAsia="Times New Roman" w:hAnsi="Calibri" w:cs="Calibri"/>
                <w:color w:val="000000"/>
                <w:lang w:eastAsia="es-CR"/>
              </w:rPr>
              <w:t>)</w:t>
            </w:r>
          </w:p>
        </w:tc>
        <w:tc>
          <w:tcPr>
            <w:tcW w:w="1213" w:type="dxa"/>
            <w:gridSpan w:val="2"/>
            <w:noWrap/>
            <w:hideMark/>
          </w:tcPr>
          <w:p w14:paraId="7B5F9398" w14:textId="77777777" w:rsidR="00432E1A" w:rsidRPr="00432E1A" w:rsidRDefault="00432E1A" w:rsidP="00AF1E1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83,78%</w:t>
            </w:r>
          </w:p>
        </w:tc>
      </w:tr>
      <w:tr w:rsidR="003E001E" w:rsidRPr="00432E1A" w14:paraId="1A1CE4F5" w14:textId="77777777" w:rsidTr="00AF1E1D">
        <w:trPr>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6193B2D7" w14:textId="60B74DD1" w:rsidR="00432E1A" w:rsidRPr="00AF1E1D" w:rsidRDefault="0068455E" w:rsidP="00432E1A">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Specificity</w:t>
            </w:r>
          </w:p>
        </w:tc>
        <w:tc>
          <w:tcPr>
            <w:tcW w:w="2540" w:type="dxa"/>
            <w:gridSpan w:val="2"/>
            <w:noWrap/>
            <w:hideMark/>
          </w:tcPr>
          <w:p w14:paraId="7A40D80A" w14:textId="571E1791" w:rsidR="00432E1A" w:rsidRPr="00432E1A" w:rsidRDefault="003E001E" w:rsidP="00AF1E1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Pr(-|~</w:t>
            </w:r>
            <w:r>
              <w:rPr>
                <w:rFonts w:ascii="Calibri" w:eastAsia="Times New Roman" w:hAnsi="Calibri" w:cs="Calibri"/>
                <w:color w:val="000000"/>
                <w:lang w:eastAsia="es-CR"/>
              </w:rPr>
              <w:t>D</w:t>
            </w:r>
            <w:r w:rsidRPr="00432E1A">
              <w:rPr>
                <w:rFonts w:ascii="Calibri" w:eastAsia="Times New Roman" w:hAnsi="Calibri" w:cs="Calibri"/>
                <w:color w:val="000000"/>
                <w:lang w:eastAsia="es-CR"/>
              </w:rPr>
              <w:t>)</w:t>
            </w:r>
          </w:p>
        </w:tc>
        <w:tc>
          <w:tcPr>
            <w:tcW w:w="1213" w:type="dxa"/>
            <w:gridSpan w:val="2"/>
            <w:noWrap/>
            <w:hideMark/>
          </w:tcPr>
          <w:p w14:paraId="24ACF417" w14:textId="77777777" w:rsidR="00432E1A" w:rsidRPr="00432E1A" w:rsidRDefault="00432E1A" w:rsidP="00AF1E1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27,85%</w:t>
            </w:r>
          </w:p>
        </w:tc>
      </w:tr>
      <w:tr w:rsidR="003E001E" w:rsidRPr="00432E1A" w14:paraId="039A542C" w14:textId="77777777" w:rsidTr="00AF1E1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6188533C" w14:textId="2D01DE03" w:rsidR="00432E1A" w:rsidRPr="00AF1E1D" w:rsidRDefault="0068455E" w:rsidP="00432E1A">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Positive predictive value</w:t>
            </w:r>
          </w:p>
        </w:tc>
        <w:tc>
          <w:tcPr>
            <w:tcW w:w="2540" w:type="dxa"/>
            <w:gridSpan w:val="2"/>
            <w:noWrap/>
            <w:hideMark/>
          </w:tcPr>
          <w:p w14:paraId="45EE0288" w14:textId="337161BB" w:rsidR="00432E1A" w:rsidRPr="00432E1A" w:rsidRDefault="003E001E" w:rsidP="00AF1E1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 xml:space="preserve">Pr(  </w:t>
            </w:r>
            <w:r w:rsidR="0068455E">
              <w:rPr>
                <w:rFonts w:ascii="Calibri" w:eastAsia="Times New Roman" w:hAnsi="Calibri" w:cs="Calibri"/>
                <w:color w:val="000000"/>
                <w:lang w:eastAsia="es-CR"/>
              </w:rPr>
              <w:t>D</w:t>
            </w:r>
            <w:r w:rsidRPr="00432E1A">
              <w:rPr>
                <w:rFonts w:ascii="Calibri" w:eastAsia="Times New Roman" w:hAnsi="Calibri" w:cs="Calibri"/>
                <w:color w:val="000000"/>
                <w:lang w:eastAsia="es-CR"/>
              </w:rPr>
              <w:t>|+)</w:t>
            </w:r>
          </w:p>
        </w:tc>
        <w:tc>
          <w:tcPr>
            <w:tcW w:w="1213" w:type="dxa"/>
            <w:gridSpan w:val="2"/>
            <w:noWrap/>
            <w:hideMark/>
          </w:tcPr>
          <w:p w14:paraId="56E3FE29" w14:textId="77777777" w:rsidR="00432E1A" w:rsidRPr="00432E1A" w:rsidRDefault="00432E1A" w:rsidP="00AF1E1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62,00%</w:t>
            </w:r>
          </w:p>
        </w:tc>
      </w:tr>
      <w:tr w:rsidR="003E001E" w:rsidRPr="00432E1A" w14:paraId="0DDB5E33" w14:textId="77777777" w:rsidTr="00AF1E1D">
        <w:trPr>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529BD754" w14:textId="502C8756" w:rsidR="00432E1A" w:rsidRPr="00AF1E1D" w:rsidRDefault="0068455E" w:rsidP="00432E1A">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Negative predictive value</w:t>
            </w:r>
          </w:p>
        </w:tc>
        <w:tc>
          <w:tcPr>
            <w:tcW w:w="2540" w:type="dxa"/>
            <w:gridSpan w:val="2"/>
            <w:noWrap/>
            <w:hideMark/>
          </w:tcPr>
          <w:p w14:paraId="3FA085F6" w14:textId="7DA958AC" w:rsidR="00432E1A" w:rsidRPr="00432E1A" w:rsidRDefault="003E001E" w:rsidP="00AF1E1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Pr(~</w:t>
            </w:r>
            <w:r w:rsidR="0068455E">
              <w:rPr>
                <w:rFonts w:ascii="Calibri" w:eastAsia="Times New Roman" w:hAnsi="Calibri" w:cs="Calibri"/>
                <w:color w:val="000000"/>
                <w:lang w:eastAsia="es-CR"/>
              </w:rPr>
              <w:t>D</w:t>
            </w:r>
            <w:r w:rsidRPr="00432E1A">
              <w:rPr>
                <w:rFonts w:ascii="Calibri" w:eastAsia="Times New Roman" w:hAnsi="Calibri" w:cs="Calibri"/>
                <w:color w:val="000000"/>
                <w:lang w:eastAsia="es-CR"/>
              </w:rPr>
              <w:t>| -)</w:t>
            </w:r>
          </w:p>
        </w:tc>
        <w:tc>
          <w:tcPr>
            <w:tcW w:w="1213" w:type="dxa"/>
            <w:gridSpan w:val="2"/>
            <w:noWrap/>
            <w:hideMark/>
          </w:tcPr>
          <w:p w14:paraId="0C3FFD0C" w14:textId="77777777" w:rsidR="00432E1A" w:rsidRPr="00432E1A" w:rsidRDefault="00432E1A" w:rsidP="00AF1E1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55,00%</w:t>
            </w:r>
          </w:p>
        </w:tc>
      </w:tr>
      <w:tr w:rsidR="003E001E" w:rsidRPr="00432E1A" w14:paraId="202B892A" w14:textId="77777777" w:rsidTr="00AF1E1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33B97DC8" w14:textId="0F0CA44F" w:rsidR="00432E1A" w:rsidRPr="00AF1E1D" w:rsidRDefault="0068455E" w:rsidP="00432E1A">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 xml:space="preserve">False + rate for true ~d </w:t>
            </w:r>
          </w:p>
        </w:tc>
        <w:tc>
          <w:tcPr>
            <w:tcW w:w="2540" w:type="dxa"/>
            <w:gridSpan w:val="2"/>
            <w:noWrap/>
            <w:hideMark/>
          </w:tcPr>
          <w:p w14:paraId="6E1B1E6C" w14:textId="121371BD" w:rsidR="00432E1A" w:rsidRPr="00432E1A" w:rsidRDefault="003E001E" w:rsidP="00AF1E1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Pr(+|~</w:t>
            </w:r>
            <w:r w:rsidR="0068455E">
              <w:rPr>
                <w:rFonts w:ascii="Calibri" w:eastAsia="Times New Roman" w:hAnsi="Calibri" w:cs="Calibri"/>
                <w:color w:val="000000"/>
                <w:lang w:eastAsia="es-CR"/>
              </w:rPr>
              <w:t>D</w:t>
            </w:r>
            <w:r w:rsidRPr="00432E1A">
              <w:rPr>
                <w:rFonts w:ascii="Calibri" w:eastAsia="Times New Roman" w:hAnsi="Calibri" w:cs="Calibri"/>
                <w:color w:val="000000"/>
                <w:lang w:eastAsia="es-CR"/>
              </w:rPr>
              <w:t>)</w:t>
            </w:r>
          </w:p>
        </w:tc>
        <w:tc>
          <w:tcPr>
            <w:tcW w:w="1213" w:type="dxa"/>
            <w:gridSpan w:val="2"/>
            <w:noWrap/>
            <w:hideMark/>
          </w:tcPr>
          <w:p w14:paraId="216AFAFD" w14:textId="77777777" w:rsidR="00432E1A" w:rsidRPr="00432E1A" w:rsidRDefault="00432E1A" w:rsidP="00AF1E1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72,15%</w:t>
            </w:r>
          </w:p>
        </w:tc>
      </w:tr>
      <w:tr w:rsidR="003E001E" w:rsidRPr="00432E1A" w14:paraId="2B9C7A75" w14:textId="77777777" w:rsidTr="00AF1E1D">
        <w:trPr>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4139CE26" w14:textId="347B670D" w:rsidR="00432E1A" w:rsidRPr="00AF1E1D" w:rsidRDefault="0068455E" w:rsidP="00432E1A">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False - rate for true d</w:t>
            </w:r>
          </w:p>
        </w:tc>
        <w:tc>
          <w:tcPr>
            <w:tcW w:w="2540" w:type="dxa"/>
            <w:gridSpan w:val="2"/>
            <w:noWrap/>
            <w:hideMark/>
          </w:tcPr>
          <w:p w14:paraId="61A662FE" w14:textId="6BDE4841" w:rsidR="00432E1A" w:rsidRPr="00432E1A" w:rsidRDefault="003E001E" w:rsidP="00AF1E1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 xml:space="preserve">Pr(-|  </w:t>
            </w:r>
            <w:r w:rsidR="0068455E">
              <w:rPr>
                <w:rFonts w:ascii="Calibri" w:eastAsia="Times New Roman" w:hAnsi="Calibri" w:cs="Calibri"/>
                <w:color w:val="000000"/>
                <w:lang w:eastAsia="es-CR"/>
              </w:rPr>
              <w:t>D</w:t>
            </w:r>
            <w:r w:rsidRPr="00432E1A">
              <w:rPr>
                <w:rFonts w:ascii="Calibri" w:eastAsia="Times New Roman" w:hAnsi="Calibri" w:cs="Calibri"/>
                <w:color w:val="000000"/>
                <w:lang w:eastAsia="es-CR"/>
              </w:rPr>
              <w:t>)</w:t>
            </w:r>
          </w:p>
        </w:tc>
        <w:tc>
          <w:tcPr>
            <w:tcW w:w="1213" w:type="dxa"/>
            <w:gridSpan w:val="2"/>
            <w:noWrap/>
            <w:hideMark/>
          </w:tcPr>
          <w:p w14:paraId="47308649" w14:textId="77777777" w:rsidR="00432E1A" w:rsidRPr="00432E1A" w:rsidRDefault="00432E1A" w:rsidP="00AF1E1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16,22%</w:t>
            </w:r>
          </w:p>
        </w:tc>
      </w:tr>
      <w:tr w:rsidR="003E001E" w:rsidRPr="00432E1A" w14:paraId="42972424" w14:textId="77777777" w:rsidTr="00AF1E1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2D12AF79" w14:textId="44366B54" w:rsidR="00432E1A" w:rsidRPr="00AF1E1D" w:rsidRDefault="0068455E" w:rsidP="00432E1A">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False + rate for classified +</w:t>
            </w:r>
          </w:p>
        </w:tc>
        <w:tc>
          <w:tcPr>
            <w:tcW w:w="2540" w:type="dxa"/>
            <w:gridSpan w:val="2"/>
            <w:noWrap/>
            <w:hideMark/>
          </w:tcPr>
          <w:p w14:paraId="40E28E0C" w14:textId="53D59B28" w:rsidR="00432E1A" w:rsidRPr="00432E1A" w:rsidRDefault="003E001E" w:rsidP="00AF1E1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Pr(~</w:t>
            </w:r>
            <w:r w:rsidR="0068455E">
              <w:rPr>
                <w:rFonts w:ascii="Calibri" w:eastAsia="Times New Roman" w:hAnsi="Calibri" w:cs="Calibri"/>
                <w:color w:val="000000"/>
                <w:lang w:eastAsia="es-CR"/>
              </w:rPr>
              <w:t>D</w:t>
            </w:r>
            <w:r w:rsidRPr="00432E1A">
              <w:rPr>
                <w:rFonts w:ascii="Calibri" w:eastAsia="Times New Roman" w:hAnsi="Calibri" w:cs="Calibri"/>
                <w:color w:val="000000"/>
                <w:lang w:eastAsia="es-CR"/>
              </w:rPr>
              <w:t>|+)</w:t>
            </w:r>
          </w:p>
        </w:tc>
        <w:tc>
          <w:tcPr>
            <w:tcW w:w="1213" w:type="dxa"/>
            <w:gridSpan w:val="2"/>
            <w:noWrap/>
            <w:hideMark/>
          </w:tcPr>
          <w:p w14:paraId="4E703B13" w14:textId="77777777" w:rsidR="00432E1A" w:rsidRPr="00432E1A" w:rsidRDefault="00432E1A" w:rsidP="00AF1E1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38,00%</w:t>
            </w:r>
          </w:p>
        </w:tc>
      </w:tr>
      <w:tr w:rsidR="003E001E" w:rsidRPr="00432E1A" w14:paraId="072538A0" w14:textId="77777777" w:rsidTr="00AF1E1D">
        <w:trPr>
          <w:trHeight w:val="288"/>
        </w:trPr>
        <w:tc>
          <w:tcPr>
            <w:cnfStyle w:val="001000000000" w:firstRow="0" w:lastRow="0" w:firstColumn="1" w:lastColumn="0" w:oddVBand="0" w:evenVBand="0" w:oddHBand="0" w:evenHBand="0" w:firstRowFirstColumn="0" w:firstRowLastColumn="0" w:lastRowFirstColumn="0" w:lastRowLastColumn="0"/>
            <w:tcW w:w="5072" w:type="dxa"/>
            <w:noWrap/>
            <w:hideMark/>
          </w:tcPr>
          <w:p w14:paraId="3B52438F" w14:textId="1EF4E887" w:rsidR="00432E1A" w:rsidRPr="00AF1E1D" w:rsidRDefault="0068455E" w:rsidP="00432E1A">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False - rate for classified -</w:t>
            </w:r>
          </w:p>
        </w:tc>
        <w:tc>
          <w:tcPr>
            <w:tcW w:w="2540" w:type="dxa"/>
            <w:gridSpan w:val="2"/>
            <w:noWrap/>
            <w:hideMark/>
          </w:tcPr>
          <w:p w14:paraId="5DF68D8E" w14:textId="69A1C83D" w:rsidR="00432E1A" w:rsidRPr="00432E1A" w:rsidRDefault="003E001E" w:rsidP="00AF1E1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 xml:space="preserve">Pr( </w:t>
            </w:r>
            <w:r w:rsidR="0068455E">
              <w:rPr>
                <w:rFonts w:ascii="Calibri" w:eastAsia="Times New Roman" w:hAnsi="Calibri" w:cs="Calibri"/>
                <w:color w:val="000000"/>
                <w:lang w:eastAsia="es-CR"/>
              </w:rPr>
              <w:t>D</w:t>
            </w:r>
            <w:r w:rsidRPr="00432E1A">
              <w:rPr>
                <w:rFonts w:ascii="Calibri" w:eastAsia="Times New Roman" w:hAnsi="Calibri" w:cs="Calibri"/>
                <w:color w:val="000000"/>
                <w:lang w:eastAsia="es-CR"/>
              </w:rPr>
              <w:t>| -)</w:t>
            </w:r>
          </w:p>
        </w:tc>
        <w:tc>
          <w:tcPr>
            <w:tcW w:w="1213" w:type="dxa"/>
            <w:gridSpan w:val="2"/>
            <w:noWrap/>
            <w:hideMark/>
          </w:tcPr>
          <w:p w14:paraId="56A15ACC" w14:textId="77777777" w:rsidR="00432E1A" w:rsidRPr="00432E1A" w:rsidRDefault="00432E1A" w:rsidP="00AF1E1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R"/>
              </w:rPr>
            </w:pPr>
            <w:r w:rsidRPr="00432E1A">
              <w:rPr>
                <w:rFonts w:ascii="Calibri" w:eastAsia="Times New Roman" w:hAnsi="Calibri" w:cs="Calibri"/>
                <w:color w:val="000000"/>
                <w:lang w:eastAsia="es-CR"/>
              </w:rPr>
              <w:t>45,00%</w:t>
            </w:r>
          </w:p>
        </w:tc>
      </w:tr>
      <w:tr w:rsidR="003E001E" w:rsidRPr="00432E1A" w14:paraId="1C3A0673" w14:textId="77777777" w:rsidTr="00AF1E1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72" w:type="dxa"/>
            <w:tcBorders>
              <w:bottom w:val="single" w:sz="4" w:space="0" w:color="auto"/>
            </w:tcBorders>
            <w:noWrap/>
            <w:hideMark/>
          </w:tcPr>
          <w:p w14:paraId="39FA16E9" w14:textId="119DFFBB" w:rsidR="00432E1A" w:rsidRPr="00AF1E1D" w:rsidRDefault="0068455E" w:rsidP="00AF1E1D">
            <w:pPr>
              <w:rPr>
                <w:rFonts w:ascii="Calibri" w:eastAsia="Times New Roman" w:hAnsi="Calibri" w:cs="Calibri"/>
                <w:b w:val="0"/>
                <w:color w:val="000000"/>
                <w:lang w:eastAsia="es-CR"/>
              </w:rPr>
            </w:pPr>
            <w:r w:rsidRPr="008A0ED6">
              <w:rPr>
                <w:rFonts w:ascii="Calibri" w:eastAsia="Times New Roman" w:hAnsi="Calibri" w:cs="Calibri"/>
                <w:b w:val="0"/>
                <w:caps w:val="0"/>
                <w:color w:val="000000"/>
                <w:lang w:eastAsia="es-CR"/>
              </w:rPr>
              <w:t>Correctly classified</w:t>
            </w:r>
          </w:p>
        </w:tc>
        <w:tc>
          <w:tcPr>
            <w:tcW w:w="2540" w:type="dxa"/>
            <w:gridSpan w:val="2"/>
            <w:tcBorders>
              <w:bottom w:val="single" w:sz="4" w:space="0" w:color="auto"/>
            </w:tcBorders>
            <w:noWrap/>
            <w:hideMark/>
          </w:tcPr>
          <w:p w14:paraId="4A4DB8BE" w14:textId="7F0A3D8D" w:rsidR="00432E1A" w:rsidRPr="00432E1A" w:rsidRDefault="00432E1A" w:rsidP="00AF1E1D">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R"/>
              </w:rPr>
            </w:pPr>
          </w:p>
        </w:tc>
        <w:tc>
          <w:tcPr>
            <w:tcW w:w="1213" w:type="dxa"/>
            <w:gridSpan w:val="2"/>
            <w:tcBorders>
              <w:bottom w:val="single" w:sz="4" w:space="0" w:color="auto"/>
            </w:tcBorders>
            <w:noWrap/>
            <w:hideMark/>
          </w:tcPr>
          <w:p w14:paraId="22B53188" w14:textId="455201FB" w:rsidR="00432E1A" w:rsidRPr="00432E1A" w:rsidRDefault="0068455E" w:rsidP="00AF1E1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lang w:eastAsia="es-CR"/>
              </w:rPr>
            </w:pPr>
            <w:r>
              <w:rPr>
                <w:rFonts w:ascii="Calibri" w:eastAsia="Times New Roman" w:hAnsi="Calibri" w:cs="Calibri"/>
                <w:b/>
                <w:bCs/>
                <w:color w:val="000000"/>
                <w:lang w:eastAsia="es-CR"/>
              </w:rPr>
              <w:t xml:space="preserve">    </w:t>
            </w:r>
            <w:r w:rsidR="00432E1A" w:rsidRPr="00432E1A">
              <w:rPr>
                <w:rFonts w:ascii="Calibri" w:eastAsia="Times New Roman" w:hAnsi="Calibri" w:cs="Calibri"/>
                <w:b/>
                <w:bCs/>
                <w:color w:val="000000"/>
                <w:lang w:eastAsia="es-CR"/>
              </w:rPr>
              <w:t>60,53%</w:t>
            </w:r>
          </w:p>
        </w:tc>
      </w:tr>
    </w:tbl>
    <w:p w14:paraId="3ABCE303" w14:textId="77216405" w:rsidR="004271A7" w:rsidRPr="004271A7" w:rsidRDefault="004271A7" w:rsidP="00AF1E1D">
      <w:pPr>
        <w:tabs>
          <w:tab w:val="left" w:pos="2700"/>
        </w:tabs>
        <w:spacing w:line="240" w:lineRule="auto"/>
        <w:rPr>
          <w:rFonts w:ascii="Cambria" w:hAnsi="Cambria" w:cs="Arial"/>
          <w:sz w:val="18"/>
          <w:szCs w:val="18"/>
        </w:rPr>
      </w:pPr>
      <w:r w:rsidRPr="00431183">
        <w:rPr>
          <w:rFonts w:ascii="Cambria" w:hAnsi="Cambria" w:cs="Arial"/>
          <w:sz w:val="18"/>
          <w:szCs w:val="18"/>
        </w:rPr>
        <w:t xml:space="preserve">Fuente: </w:t>
      </w:r>
      <w:r w:rsidRPr="00431183">
        <w:rPr>
          <w:rFonts w:ascii="Cambria" w:eastAsiaTheme="minorEastAsia" w:hAnsi="Cambria" w:cs="Arial"/>
          <w:sz w:val="18"/>
          <w:szCs w:val="18"/>
        </w:rPr>
        <w:t>Elaboración propia con base a la información suministrada por los productores de café de la región de los Santos</w:t>
      </w:r>
    </w:p>
    <w:p w14:paraId="7B5DB11E" w14:textId="46FF2553" w:rsidR="0093129B" w:rsidRPr="00431183" w:rsidRDefault="008D4A8B"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Con el test anterior</w:t>
      </w:r>
      <w:r w:rsidR="00A627BA" w:rsidRPr="00431183">
        <w:rPr>
          <w:rFonts w:ascii="Cambria" w:eastAsiaTheme="minorEastAsia" w:hAnsi="Cambria" w:cs="Arial"/>
          <w:sz w:val="24"/>
          <w:szCs w:val="24"/>
        </w:rPr>
        <w:t>,</w:t>
      </w:r>
      <w:r w:rsidRPr="00431183">
        <w:rPr>
          <w:rFonts w:ascii="Cambria" w:eastAsiaTheme="minorEastAsia" w:hAnsi="Cambria" w:cs="Arial"/>
          <w:sz w:val="24"/>
          <w:szCs w:val="24"/>
        </w:rPr>
        <w:t xml:space="preserve"> se observa que el modelo logit clasifica bien las variables en un 60,53%, aunque algunas especificaciones técnicas brindan explicaciones sobre </w:t>
      </w:r>
      <w:r w:rsidR="00A627BA" w:rsidRPr="00431183">
        <w:rPr>
          <w:rFonts w:ascii="Cambria" w:eastAsiaTheme="minorEastAsia" w:hAnsi="Cambria" w:cs="Arial"/>
          <w:sz w:val="24"/>
          <w:szCs w:val="24"/>
        </w:rPr>
        <w:t>cuál</w:t>
      </w:r>
      <w:r w:rsidRPr="00431183">
        <w:rPr>
          <w:rFonts w:ascii="Cambria" w:eastAsiaTheme="minorEastAsia" w:hAnsi="Cambria" w:cs="Arial"/>
          <w:sz w:val="24"/>
          <w:szCs w:val="24"/>
        </w:rPr>
        <w:t xml:space="preserve"> es el porcentaje aceptado que ronda en valores mayores a 65%, para efectos de la presente t</w:t>
      </w:r>
      <w:r w:rsidR="009F6BEE">
        <w:rPr>
          <w:rFonts w:ascii="Cambria" w:eastAsiaTheme="minorEastAsia" w:hAnsi="Cambria" w:cs="Arial"/>
          <w:sz w:val="24"/>
          <w:szCs w:val="24"/>
        </w:rPr>
        <w:t>rabajo de investigación</w:t>
      </w:r>
      <w:r w:rsidRPr="00431183">
        <w:rPr>
          <w:rFonts w:ascii="Cambria" w:eastAsiaTheme="minorEastAsia" w:hAnsi="Cambria" w:cs="Arial"/>
          <w:sz w:val="24"/>
          <w:szCs w:val="24"/>
        </w:rPr>
        <w:t xml:space="preserve"> dado a las características de las variables se utilizara el modelo dado a la significancia individual de las variables</w:t>
      </w:r>
      <w:r w:rsidR="009F6BEE">
        <w:rPr>
          <w:rFonts w:ascii="Cambria" w:eastAsiaTheme="minorEastAsia" w:hAnsi="Cambria" w:cs="Arial"/>
          <w:sz w:val="24"/>
          <w:szCs w:val="24"/>
        </w:rPr>
        <w:t>, y que de manera general el modelo explica las variables en un 77%.</w:t>
      </w:r>
    </w:p>
    <w:p w14:paraId="5460D398" w14:textId="03AE030E" w:rsidR="00DF063F" w:rsidRDefault="00F37BC2"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Al considerar el tiempo que tiene un producto</w:t>
      </w:r>
      <w:r w:rsidR="00AA05C0" w:rsidRPr="00431183">
        <w:rPr>
          <w:rFonts w:ascii="Cambria" w:eastAsiaTheme="minorEastAsia" w:hAnsi="Cambria" w:cs="Arial"/>
          <w:sz w:val="24"/>
          <w:szCs w:val="24"/>
        </w:rPr>
        <w:t>r de dedicarse a la actividad en el</w:t>
      </w:r>
      <w:r w:rsidRPr="00431183">
        <w:rPr>
          <w:rFonts w:ascii="Cambria" w:eastAsiaTheme="minorEastAsia" w:hAnsi="Cambria" w:cs="Arial"/>
          <w:sz w:val="24"/>
          <w:szCs w:val="24"/>
        </w:rPr>
        <w:t xml:space="preserve"> cultivo de café </w:t>
      </w:r>
      <w:r w:rsidR="003E6097" w:rsidRPr="00431183">
        <w:rPr>
          <w:rFonts w:ascii="Cambria" w:eastAsiaTheme="minorEastAsia" w:hAnsi="Cambria" w:cs="Arial"/>
          <w:sz w:val="24"/>
          <w:szCs w:val="24"/>
        </w:rPr>
        <w:t>en la función objetivo</w:t>
      </w:r>
      <w:r w:rsidR="00AA05C0" w:rsidRPr="00431183">
        <w:rPr>
          <w:rFonts w:ascii="Cambria" w:eastAsiaTheme="minorEastAsia" w:hAnsi="Cambria" w:cs="Arial"/>
          <w:sz w:val="24"/>
          <w:szCs w:val="24"/>
        </w:rPr>
        <w:t xml:space="preserve">, </w:t>
      </w:r>
      <w:r w:rsidRPr="00431183">
        <w:rPr>
          <w:rFonts w:ascii="Cambria" w:eastAsiaTheme="minorEastAsia" w:hAnsi="Cambria" w:cs="Arial"/>
          <w:sz w:val="24"/>
          <w:szCs w:val="24"/>
        </w:rPr>
        <w:t xml:space="preserve">la probabilidad de obtener </w:t>
      </w:r>
      <w:r w:rsidR="00AA05C0" w:rsidRPr="00431183">
        <w:rPr>
          <w:rFonts w:ascii="Cambria" w:eastAsiaTheme="minorEastAsia" w:hAnsi="Cambria" w:cs="Arial"/>
          <w:sz w:val="24"/>
          <w:szCs w:val="24"/>
        </w:rPr>
        <w:t xml:space="preserve">beneficios de la denominación de origen es de </w:t>
      </w:r>
      <w:r w:rsidR="002668EF" w:rsidRPr="00431183">
        <w:rPr>
          <w:rFonts w:ascii="Cambria" w:eastAsiaTheme="minorEastAsia" w:hAnsi="Cambria" w:cs="Arial"/>
          <w:sz w:val="24"/>
          <w:szCs w:val="24"/>
        </w:rPr>
        <w:t>35</w:t>
      </w:r>
      <w:r w:rsidR="00DF063F" w:rsidRPr="00431183">
        <w:rPr>
          <w:rFonts w:ascii="Cambria" w:eastAsiaTheme="minorEastAsia" w:hAnsi="Cambria" w:cs="Arial"/>
          <w:sz w:val="24"/>
          <w:szCs w:val="24"/>
        </w:rPr>
        <w:t>%</w:t>
      </w:r>
      <w:r w:rsidR="00107F94" w:rsidRPr="00431183">
        <w:rPr>
          <w:rFonts w:ascii="Cambria" w:eastAsiaTheme="minorEastAsia" w:hAnsi="Cambria" w:cs="Arial"/>
          <w:sz w:val="24"/>
          <w:szCs w:val="24"/>
        </w:rPr>
        <w:t>, es decir, existe un benefic</w:t>
      </w:r>
      <w:r w:rsidR="00AA05C0" w:rsidRPr="00431183">
        <w:rPr>
          <w:rFonts w:ascii="Cambria" w:eastAsiaTheme="minorEastAsia" w:hAnsi="Cambria" w:cs="Arial"/>
          <w:sz w:val="24"/>
          <w:szCs w:val="24"/>
        </w:rPr>
        <w:t>io para la Región de los Santos</w:t>
      </w:r>
      <w:r w:rsidR="003E6097" w:rsidRPr="00431183">
        <w:rPr>
          <w:rFonts w:ascii="Cambria" w:eastAsiaTheme="minorEastAsia" w:hAnsi="Cambria" w:cs="Arial"/>
          <w:sz w:val="24"/>
          <w:szCs w:val="24"/>
        </w:rPr>
        <w:t xml:space="preserve"> y la antigüedad de</w:t>
      </w:r>
      <w:r w:rsidR="002668EF" w:rsidRPr="00431183">
        <w:rPr>
          <w:rFonts w:ascii="Cambria" w:eastAsiaTheme="minorEastAsia" w:hAnsi="Cambria" w:cs="Arial"/>
          <w:sz w:val="24"/>
          <w:szCs w:val="24"/>
        </w:rPr>
        <w:t>l productor</w:t>
      </w:r>
      <w:r w:rsidR="009F6BEE">
        <w:rPr>
          <w:rFonts w:ascii="Cambria" w:eastAsiaTheme="minorEastAsia" w:hAnsi="Cambria" w:cs="Arial"/>
          <w:sz w:val="24"/>
          <w:szCs w:val="24"/>
        </w:rPr>
        <w:t>, las razones que explican el hallazgo anterior es</w:t>
      </w:r>
      <w:r w:rsidR="002668EF" w:rsidRPr="00431183">
        <w:rPr>
          <w:rFonts w:ascii="Cambria" w:eastAsiaTheme="minorEastAsia" w:hAnsi="Cambria" w:cs="Arial"/>
          <w:sz w:val="24"/>
          <w:szCs w:val="24"/>
        </w:rPr>
        <w:t xml:space="preserve"> debido al conocimiento en la producción en la finca, por ende, se adaptaría a las nuevas formas de producción y de transformación. </w:t>
      </w:r>
    </w:p>
    <w:p w14:paraId="45B7E489" w14:textId="71EEFE59" w:rsidR="004867BF" w:rsidRPr="00431183" w:rsidRDefault="004867BF"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Al realizar la interpretación en términos de oportunidad del parámetro obtenido del modelo para la variable años de producir café, se obtiene que ante un año más de antigüedad de un productor, las oportunidades de obtener beneficios de la Denominación de Origen Tarrazú aumentan en </w:t>
      </w:r>
      <w:r w:rsidR="00B32C7E">
        <w:rPr>
          <w:rFonts w:ascii="Cambria" w:eastAsiaTheme="minorEastAsia" w:hAnsi="Cambria" w:cs="Arial"/>
          <w:sz w:val="24"/>
          <w:szCs w:val="24"/>
        </w:rPr>
        <w:t xml:space="preserve">1,41% respectivamente. </w:t>
      </w:r>
    </w:p>
    <w:p w14:paraId="21A24643" w14:textId="4547AA22" w:rsidR="00841A7C" w:rsidRPr="00431183" w:rsidRDefault="008060BE"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P</w:t>
      </w:r>
      <w:r w:rsidR="00107F94" w:rsidRPr="00431183">
        <w:rPr>
          <w:rFonts w:ascii="Cambria" w:eastAsiaTheme="minorEastAsia" w:hAnsi="Cambria" w:cs="Arial"/>
          <w:sz w:val="24"/>
          <w:szCs w:val="24"/>
        </w:rPr>
        <w:t xml:space="preserve">or otro lado, </w:t>
      </w:r>
      <w:r w:rsidR="00666828" w:rsidRPr="00431183">
        <w:rPr>
          <w:rFonts w:ascii="Cambria" w:eastAsiaTheme="minorEastAsia" w:hAnsi="Cambria" w:cs="Arial"/>
          <w:sz w:val="24"/>
          <w:szCs w:val="24"/>
        </w:rPr>
        <w:t xml:space="preserve">existe una probabilidad de un </w:t>
      </w:r>
      <w:r w:rsidR="00AA05C0" w:rsidRPr="00431183">
        <w:rPr>
          <w:rFonts w:ascii="Cambria" w:eastAsiaTheme="minorEastAsia" w:hAnsi="Cambria" w:cs="Arial"/>
          <w:sz w:val="24"/>
          <w:szCs w:val="24"/>
        </w:rPr>
        <w:t xml:space="preserve">29% </w:t>
      </w:r>
      <w:r w:rsidR="00666828" w:rsidRPr="00431183">
        <w:rPr>
          <w:rFonts w:ascii="Cambria" w:eastAsiaTheme="minorEastAsia" w:hAnsi="Cambria" w:cs="Arial"/>
          <w:sz w:val="24"/>
          <w:szCs w:val="24"/>
        </w:rPr>
        <w:t>en</w:t>
      </w:r>
      <w:r w:rsidR="00783058" w:rsidRPr="00431183">
        <w:rPr>
          <w:rFonts w:ascii="Cambria" w:eastAsiaTheme="minorEastAsia" w:hAnsi="Cambria" w:cs="Arial"/>
          <w:sz w:val="24"/>
          <w:szCs w:val="24"/>
        </w:rPr>
        <w:t xml:space="preserve"> obtener</w:t>
      </w:r>
      <w:r w:rsidR="00666828" w:rsidRPr="00431183">
        <w:rPr>
          <w:rFonts w:ascii="Cambria" w:eastAsiaTheme="minorEastAsia" w:hAnsi="Cambria" w:cs="Arial"/>
          <w:sz w:val="24"/>
          <w:szCs w:val="24"/>
        </w:rPr>
        <w:t xml:space="preserve"> beneficios para la Zona de los Santos, </w:t>
      </w:r>
      <w:r w:rsidR="00105565" w:rsidRPr="00431183">
        <w:rPr>
          <w:rFonts w:ascii="Cambria" w:eastAsiaTheme="minorEastAsia" w:hAnsi="Cambria" w:cs="Arial"/>
          <w:sz w:val="24"/>
          <w:szCs w:val="24"/>
        </w:rPr>
        <w:t>s</w:t>
      </w:r>
      <w:r w:rsidR="002668EF" w:rsidRPr="00431183">
        <w:rPr>
          <w:rFonts w:ascii="Cambria" w:eastAsiaTheme="minorEastAsia" w:hAnsi="Cambria" w:cs="Arial"/>
          <w:sz w:val="24"/>
          <w:szCs w:val="24"/>
        </w:rPr>
        <w:t>i los productores</w:t>
      </w:r>
      <w:r w:rsidR="00105565" w:rsidRPr="00431183">
        <w:rPr>
          <w:rFonts w:ascii="Cambria" w:eastAsiaTheme="minorEastAsia" w:hAnsi="Cambria" w:cs="Arial"/>
          <w:sz w:val="24"/>
          <w:szCs w:val="24"/>
        </w:rPr>
        <w:t xml:space="preserve"> no cambia</w:t>
      </w:r>
      <w:r w:rsidR="00AA05C0" w:rsidRPr="00431183">
        <w:rPr>
          <w:rFonts w:ascii="Cambria" w:eastAsiaTheme="minorEastAsia" w:hAnsi="Cambria" w:cs="Arial"/>
          <w:sz w:val="24"/>
          <w:szCs w:val="24"/>
        </w:rPr>
        <w:t xml:space="preserve">n su forma actual de producir café, </w:t>
      </w:r>
      <w:r w:rsidR="00666828" w:rsidRPr="00431183">
        <w:rPr>
          <w:rFonts w:ascii="Cambria" w:eastAsiaTheme="minorEastAsia" w:hAnsi="Cambria" w:cs="Arial"/>
          <w:sz w:val="24"/>
          <w:szCs w:val="24"/>
        </w:rPr>
        <w:t>por ende,</w:t>
      </w:r>
      <w:r w:rsidR="00841A7C" w:rsidRPr="00431183">
        <w:rPr>
          <w:rFonts w:ascii="Cambria" w:eastAsiaTheme="minorEastAsia" w:hAnsi="Cambria" w:cs="Arial"/>
          <w:sz w:val="24"/>
          <w:szCs w:val="24"/>
        </w:rPr>
        <w:t xml:space="preserve"> aunque esta variable se plantea para que no obtenga significancia individual </w:t>
      </w:r>
      <w:r w:rsidR="00D47EBD">
        <w:rPr>
          <w:rFonts w:ascii="Cambria" w:eastAsiaTheme="minorEastAsia" w:hAnsi="Cambria" w:cs="Arial"/>
          <w:sz w:val="24"/>
          <w:szCs w:val="24"/>
        </w:rPr>
        <w:t xml:space="preserve">al momento de incluirla dentro del modelo, </w:t>
      </w:r>
      <w:r w:rsidR="00841A7C" w:rsidRPr="00431183">
        <w:rPr>
          <w:rFonts w:ascii="Cambria" w:eastAsiaTheme="minorEastAsia" w:hAnsi="Cambria" w:cs="Arial"/>
          <w:sz w:val="24"/>
          <w:szCs w:val="24"/>
        </w:rPr>
        <w:t xml:space="preserve">debido a que las aportaciones de la Denominación de Origen pretenden configurar algunas de las actuales formas de </w:t>
      </w:r>
      <w:r w:rsidR="00841A7C" w:rsidRPr="00431183">
        <w:rPr>
          <w:rFonts w:ascii="Cambria" w:eastAsiaTheme="minorEastAsia" w:hAnsi="Cambria" w:cs="Arial"/>
          <w:sz w:val="24"/>
          <w:szCs w:val="24"/>
        </w:rPr>
        <w:lastRenderedPageBreak/>
        <w:t>producción</w:t>
      </w:r>
      <w:r w:rsidR="009F6BEE">
        <w:rPr>
          <w:rFonts w:ascii="Cambria" w:eastAsiaTheme="minorEastAsia" w:hAnsi="Cambria" w:cs="Arial"/>
          <w:sz w:val="24"/>
          <w:szCs w:val="24"/>
        </w:rPr>
        <w:t xml:space="preserve">, </w:t>
      </w:r>
      <w:r w:rsidR="00B32C7E">
        <w:rPr>
          <w:rFonts w:ascii="Cambria" w:eastAsiaTheme="minorEastAsia" w:hAnsi="Cambria" w:cs="Arial"/>
          <w:sz w:val="24"/>
          <w:szCs w:val="24"/>
        </w:rPr>
        <w:t>debido a una eventual</w:t>
      </w:r>
      <w:r w:rsidR="009F6BEE">
        <w:rPr>
          <w:rFonts w:ascii="Cambria" w:eastAsiaTheme="minorEastAsia" w:hAnsi="Cambria" w:cs="Arial"/>
          <w:sz w:val="24"/>
          <w:szCs w:val="24"/>
        </w:rPr>
        <w:t xml:space="preserve"> resistencia al cambio por parte de un grupo de productores</w:t>
      </w:r>
      <w:r w:rsidR="00D47EBD">
        <w:rPr>
          <w:rFonts w:ascii="Cambria" w:eastAsiaTheme="minorEastAsia" w:hAnsi="Cambria" w:cs="Arial"/>
          <w:sz w:val="24"/>
          <w:szCs w:val="24"/>
        </w:rPr>
        <w:t xml:space="preserve">, se observa que se obtiene una significancia. </w:t>
      </w:r>
    </w:p>
    <w:p w14:paraId="696E3C39" w14:textId="22D9CC35" w:rsidR="00E82B05" w:rsidRDefault="00841A7C"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La explicación del hallazgo</w:t>
      </w:r>
      <w:r w:rsidR="003E6097" w:rsidRPr="00431183">
        <w:rPr>
          <w:rFonts w:ascii="Cambria" w:eastAsiaTheme="minorEastAsia" w:hAnsi="Cambria" w:cs="Arial"/>
          <w:sz w:val="24"/>
          <w:szCs w:val="24"/>
        </w:rPr>
        <w:t xml:space="preserve"> anterior</w:t>
      </w:r>
      <w:r w:rsidR="00A627BA" w:rsidRPr="00431183">
        <w:rPr>
          <w:rFonts w:ascii="Cambria" w:eastAsiaTheme="minorEastAsia" w:hAnsi="Cambria" w:cs="Arial"/>
          <w:sz w:val="24"/>
          <w:szCs w:val="24"/>
        </w:rPr>
        <w:t>,</w:t>
      </w:r>
      <w:r w:rsidR="002668EF" w:rsidRPr="00431183">
        <w:rPr>
          <w:rFonts w:ascii="Cambria" w:eastAsiaTheme="minorEastAsia" w:hAnsi="Cambria" w:cs="Arial"/>
          <w:sz w:val="24"/>
          <w:szCs w:val="24"/>
        </w:rPr>
        <w:t xml:space="preserve"> </w:t>
      </w:r>
      <w:r w:rsidRPr="00431183">
        <w:rPr>
          <w:rFonts w:ascii="Cambria" w:eastAsiaTheme="minorEastAsia" w:hAnsi="Cambria" w:cs="Arial"/>
          <w:sz w:val="24"/>
          <w:szCs w:val="24"/>
        </w:rPr>
        <w:t xml:space="preserve">es que el productor a nivel individual y </w:t>
      </w:r>
      <w:r w:rsidR="00DD5BF0" w:rsidRPr="00431183">
        <w:rPr>
          <w:rFonts w:ascii="Cambria" w:eastAsiaTheme="minorEastAsia" w:hAnsi="Cambria" w:cs="Arial"/>
          <w:sz w:val="24"/>
          <w:szCs w:val="24"/>
        </w:rPr>
        <w:t>colectivo,</w:t>
      </w:r>
      <w:r w:rsidRPr="00431183">
        <w:rPr>
          <w:rFonts w:ascii="Cambria" w:eastAsiaTheme="minorEastAsia" w:hAnsi="Cambria" w:cs="Arial"/>
          <w:sz w:val="24"/>
          <w:szCs w:val="24"/>
        </w:rPr>
        <w:t xml:space="preserve"> aunque perciben a la Denominación como un </w:t>
      </w:r>
      <w:r w:rsidR="00DD5BF0" w:rsidRPr="00431183">
        <w:rPr>
          <w:rFonts w:ascii="Cambria" w:eastAsiaTheme="minorEastAsia" w:hAnsi="Cambria" w:cs="Arial"/>
          <w:sz w:val="24"/>
          <w:szCs w:val="24"/>
        </w:rPr>
        <w:t>mecanicismo</w:t>
      </w:r>
      <w:r w:rsidRPr="00431183">
        <w:rPr>
          <w:rFonts w:ascii="Cambria" w:eastAsiaTheme="minorEastAsia" w:hAnsi="Cambria" w:cs="Arial"/>
          <w:sz w:val="24"/>
          <w:szCs w:val="24"/>
        </w:rPr>
        <w:t xml:space="preserve"> diferenciador conlleva un riesgo</w:t>
      </w:r>
      <w:r w:rsidR="00E82B05" w:rsidRPr="00431183">
        <w:rPr>
          <w:rFonts w:ascii="Cambria" w:eastAsiaTheme="minorEastAsia" w:hAnsi="Cambria" w:cs="Arial"/>
          <w:sz w:val="24"/>
          <w:szCs w:val="24"/>
        </w:rPr>
        <w:t xml:space="preserve">, conservar </w:t>
      </w:r>
      <w:r w:rsidR="00D47EBD">
        <w:rPr>
          <w:rFonts w:ascii="Cambria" w:eastAsiaTheme="minorEastAsia" w:hAnsi="Cambria" w:cs="Arial"/>
          <w:sz w:val="24"/>
          <w:szCs w:val="24"/>
        </w:rPr>
        <w:t>la forma tradicional de producir de café,</w:t>
      </w:r>
      <w:r w:rsidR="00B32C7E">
        <w:rPr>
          <w:rFonts w:ascii="Cambria" w:eastAsiaTheme="minorEastAsia" w:hAnsi="Cambria" w:cs="Arial"/>
          <w:sz w:val="24"/>
          <w:szCs w:val="24"/>
        </w:rPr>
        <w:t xml:space="preserve"> </w:t>
      </w:r>
      <w:r w:rsidR="00D47EBD">
        <w:rPr>
          <w:rFonts w:ascii="Cambria" w:eastAsiaTheme="minorEastAsia" w:hAnsi="Cambria" w:cs="Arial"/>
          <w:sz w:val="24"/>
          <w:szCs w:val="24"/>
        </w:rPr>
        <w:t xml:space="preserve"> también conlleva</w:t>
      </w:r>
      <w:r w:rsidR="00B32C7E">
        <w:rPr>
          <w:rFonts w:ascii="Cambria" w:eastAsiaTheme="minorEastAsia" w:hAnsi="Cambria" w:cs="Arial"/>
          <w:sz w:val="24"/>
          <w:szCs w:val="24"/>
        </w:rPr>
        <w:t xml:space="preserve"> otro </w:t>
      </w:r>
      <w:r w:rsidR="00D47EBD">
        <w:rPr>
          <w:rFonts w:ascii="Cambria" w:eastAsiaTheme="minorEastAsia" w:hAnsi="Cambria" w:cs="Arial"/>
          <w:sz w:val="24"/>
          <w:szCs w:val="24"/>
        </w:rPr>
        <w:t>riesgo de imp</w:t>
      </w:r>
      <w:r w:rsidR="00B32C7E">
        <w:rPr>
          <w:rFonts w:ascii="Cambria" w:eastAsiaTheme="minorEastAsia" w:hAnsi="Cambria" w:cs="Arial"/>
          <w:sz w:val="24"/>
          <w:szCs w:val="24"/>
        </w:rPr>
        <w:t>ortancia debido a la vulnerabilidad externa de los precios de café</w:t>
      </w:r>
      <w:r w:rsidR="00D47EBD">
        <w:rPr>
          <w:rFonts w:ascii="Cambria" w:eastAsiaTheme="minorEastAsia" w:hAnsi="Cambria" w:cs="Arial"/>
          <w:sz w:val="24"/>
          <w:szCs w:val="24"/>
        </w:rPr>
        <w:t xml:space="preserve">, pero </w:t>
      </w:r>
      <w:r w:rsidR="00B32C7E">
        <w:rPr>
          <w:rFonts w:ascii="Cambria" w:eastAsiaTheme="minorEastAsia" w:hAnsi="Cambria" w:cs="Arial"/>
          <w:sz w:val="24"/>
          <w:szCs w:val="24"/>
        </w:rPr>
        <w:t xml:space="preserve">se </w:t>
      </w:r>
      <w:r w:rsidR="00D47EBD">
        <w:rPr>
          <w:rFonts w:ascii="Cambria" w:eastAsiaTheme="minorEastAsia" w:hAnsi="Cambria" w:cs="Arial"/>
          <w:sz w:val="24"/>
          <w:szCs w:val="24"/>
        </w:rPr>
        <w:t xml:space="preserve">determinan que existen beneficios extraordinarios si la Denominación de Origen Tarrazu es correctamente impulsada. </w:t>
      </w:r>
    </w:p>
    <w:p w14:paraId="03B36BE4" w14:textId="0498E097" w:rsidR="0013272A" w:rsidRDefault="00D47EBD"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Aunque </w:t>
      </w:r>
      <w:r w:rsidR="0013272A">
        <w:rPr>
          <w:rFonts w:ascii="Cambria" w:eastAsiaTheme="minorEastAsia" w:hAnsi="Cambria" w:cs="Arial"/>
          <w:sz w:val="24"/>
          <w:szCs w:val="24"/>
        </w:rPr>
        <w:t xml:space="preserve">muchos de los productores aun no han realizado procesos iniciales como lo es el conocimiento de la calidad producida en finca, una mayor especialización productiva </w:t>
      </w:r>
      <w:r w:rsidR="00C22D7D">
        <w:rPr>
          <w:rFonts w:ascii="Cambria" w:eastAsiaTheme="minorEastAsia" w:hAnsi="Cambria" w:cs="Arial"/>
          <w:sz w:val="24"/>
          <w:szCs w:val="24"/>
        </w:rPr>
        <w:t xml:space="preserve">para lograr el máximo potencial productivo, aunque se han observado mejoras en productividad, la estrategia de la Denominación de Origen va orientada a logra un mayor valor agregado al producto comercializado. </w:t>
      </w:r>
    </w:p>
    <w:p w14:paraId="77ECC4AA" w14:textId="160EB415" w:rsidR="00B32C7E" w:rsidRDefault="00B32C7E"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Lo anterior se complementa al analizar la variable de calidad de café dado a su significancia individual</w:t>
      </w:r>
      <w:r w:rsidR="00F34BFA">
        <w:rPr>
          <w:rFonts w:ascii="Cambria" w:eastAsiaTheme="minorEastAsia" w:hAnsi="Cambria" w:cs="Arial"/>
          <w:sz w:val="24"/>
          <w:szCs w:val="24"/>
        </w:rPr>
        <w:t xml:space="preserve">, al aplicar el antilogaritmo se obtiene una probabilidad de 30%, es decir, la calidad del café producido en los santos contribuyen en obtener beneficios de la Denominación de Origen Tarrazú, que es el planteamiento original y principal del comité y que motiva la implementación de la DO en los Santos. </w:t>
      </w:r>
    </w:p>
    <w:p w14:paraId="45094646" w14:textId="53FCF988" w:rsidR="00376801" w:rsidRDefault="00376801"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Además,</w:t>
      </w:r>
      <w:r w:rsidR="004271A7">
        <w:rPr>
          <w:rFonts w:ascii="Cambria" w:eastAsiaTheme="minorEastAsia" w:hAnsi="Cambria" w:cs="Arial"/>
          <w:sz w:val="24"/>
          <w:szCs w:val="24"/>
        </w:rPr>
        <w:t xml:space="preserve"> se han encontrado otros factores que limitan la implementación de la Denominación de Origen</w:t>
      </w:r>
      <w:r>
        <w:rPr>
          <w:rFonts w:ascii="Cambria" w:eastAsiaTheme="minorEastAsia" w:hAnsi="Cambria" w:cs="Arial"/>
          <w:sz w:val="24"/>
          <w:szCs w:val="24"/>
        </w:rPr>
        <w:t xml:space="preserve"> como lo es la organización de la </w:t>
      </w:r>
      <w:r w:rsidR="00842018">
        <w:rPr>
          <w:rFonts w:ascii="Cambria" w:eastAsiaTheme="minorEastAsia" w:hAnsi="Cambria" w:cs="Arial"/>
          <w:sz w:val="24"/>
          <w:szCs w:val="24"/>
        </w:rPr>
        <w:t>producción</w:t>
      </w:r>
      <w:r>
        <w:rPr>
          <w:rFonts w:ascii="Cambria" w:eastAsiaTheme="minorEastAsia" w:hAnsi="Cambria" w:cs="Arial"/>
          <w:sz w:val="24"/>
          <w:szCs w:val="24"/>
        </w:rPr>
        <w:t xml:space="preserve"> y su forma de </w:t>
      </w:r>
      <w:r w:rsidR="00842018">
        <w:rPr>
          <w:rFonts w:ascii="Cambria" w:eastAsiaTheme="minorEastAsia" w:hAnsi="Cambria" w:cs="Arial"/>
          <w:sz w:val="24"/>
          <w:szCs w:val="24"/>
        </w:rPr>
        <w:t>comercialización</w:t>
      </w:r>
      <w:r>
        <w:rPr>
          <w:rFonts w:ascii="Cambria" w:eastAsiaTheme="minorEastAsia" w:hAnsi="Cambria" w:cs="Arial"/>
          <w:sz w:val="24"/>
          <w:szCs w:val="24"/>
        </w:rPr>
        <w:t xml:space="preserve">, se observa </w:t>
      </w:r>
      <w:r w:rsidR="00842018">
        <w:rPr>
          <w:rFonts w:ascii="Cambria" w:eastAsiaTheme="minorEastAsia" w:hAnsi="Cambria" w:cs="Arial"/>
          <w:sz w:val="24"/>
          <w:szCs w:val="24"/>
        </w:rPr>
        <w:t>además</w:t>
      </w:r>
      <w:r>
        <w:rPr>
          <w:rFonts w:ascii="Cambria" w:eastAsiaTheme="minorEastAsia" w:hAnsi="Cambria" w:cs="Arial"/>
          <w:sz w:val="24"/>
          <w:szCs w:val="24"/>
        </w:rPr>
        <w:t xml:space="preserve"> una resistencia por parte de los productores de abandonar sus </w:t>
      </w:r>
      <w:r w:rsidR="00842018">
        <w:rPr>
          <w:rFonts w:ascii="Cambria" w:eastAsiaTheme="minorEastAsia" w:hAnsi="Cambria" w:cs="Arial"/>
          <w:sz w:val="24"/>
          <w:szCs w:val="24"/>
        </w:rPr>
        <w:t>hábitos</w:t>
      </w:r>
      <w:r>
        <w:rPr>
          <w:rFonts w:ascii="Cambria" w:eastAsiaTheme="minorEastAsia" w:hAnsi="Cambria" w:cs="Arial"/>
          <w:sz w:val="24"/>
          <w:szCs w:val="24"/>
        </w:rPr>
        <w:t xml:space="preserve"> productivos actuales para migrar a una forma de producción.  </w:t>
      </w:r>
      <w:r w:rsidR="00815006">
        <w:rPr>
          <w:rFonts w:ascii="Cambria" w:eastAsiaTheme="minorEastAsia" w:hAnsi="Cambria" w:cs="Arial"/>
          <w:sz w:val="24"/>
          <w:szCs w:val="24"/>
        </w:rPr>
        <w:t xml:space="preserve">  Lo anterior es explicado desde el enfoque de cadenas globales de valor al estar en el primer </w:t>
      </w:r>
      <w:r w:rsidR="00F903C5">
        <w:rPr>
          <w:rFonts w:ascii="Cambria" w:eastAsiaTheme="minorEastAsia" w:hAnsi="Cambria" w:cs="Arial"/>
          <w:sz w:val="24"/>
          <w:szCs w:val="24"/>
        </w:rPr>
        <w:t>eslabón</w:t>
      </w:r>
      <w:r w:rsidR="00815006">
        <w:rPr>
          <w:rFonts w:ascii="Cambria" w:eastAsiaTheme="minorEastAsia" w:hAnsi="Cambria" w:cs="Arial"/>
          <w:sz w:val="24"/>
          <w:szCs w:val="24"/>
        </w:rPr>
        <w:t>, lo que el productor solo se limita en llevar una produ</w:t>
      </w:r>
      <w:r w:rsidR="00F903C5">
        <w:rPr>
          <w:rFonts w:ascii="Cambria" w:eastAsiaTheme="minorEastAsia" w:hAnsi="Cambria" w:cs="Arial"/>
          <w:sz w:val="24"/>
          <w:szCs w:val="24"/>
        </w:rPr>
        <w:t xml:space="preserve">cción sin conocer más allá donde se coloca. </w:t>
      </w:r>
    </w:p>
    <w:p w14:paraId="0FD9D708" w14:textId="77777777" w:rsidR="004271A7" w:rsidRPr="00431183" w:rsidRDefault="00376801"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Dado lo anterior</w:t>
      </w:r>
      <w:r w:rsidR="00842018">
        <w:rPr>
          <w:rFonts w:ascii="Cambria" w:eastAsiaTheme="minorEastAsia" w:hAnsi="Cambria" w:cs="Arial"/>
          <w:sz w:val="24"/>
          <w:szCs w:val="24"/>
        </w:rPr>
        <w:t>, se encuentra una inconsistencia sistemática que no permite que los productores actúen en armonía con la Denominación de Origen, dado no existe una acertada comunicación con los objetivos de la denominación con</w:t>
      </w:r>
      <w:r w:rsidR="001C064F">
        <w:rPr>
          <w:rFonts w:ascii="Cambria" w:eastAsiaTheme="minorEastAsia" w:hAnsi="Cambria" w:cs="Arial"/>
          <w:sz w:val="24"/>
          <w:szCs w:val="24"/>
        </w:rPr>
        <w:t xml:space="preserve"> los objetivos individuales que se ven reflejados en mejoras sustanciales en el desarrollo de los agentes económicos locales. </w:t>
      </w:r>
    </w:p>
    <w:p w14:paraId="331AFB17" w14:textId="4EC9BD32" w:rsidR="008060BE" w:rsidRPr="00431183" w:rsidRDefault="003E6097"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Cabe rescatar</w:t>
      </w:r>
      <w:r w:rsidR="00A627BA" w:rsidRPr="00431183">
        <w:rPr>
          <w:rFonts w:ascii="Cambria" w:eastAsiaTheme="minorEastAsia" w:hAnsi="Cambria" w:cs="Arial"/>
          <w:sz w:val="24"/>
          <w:szCs w:val="24"/>
        </w:rPr>
        <w:t>,</w:t>
      </w:r>
      <w:r w:rsidRPr="00431183">
        <w:rPr>
          <w:rFonts w:ascii="Cambria" w:eastAsiaTheme="minorEastAsia" w:hAnsi="Cambria" w:cs="Arial"/>
          <w:sz w:val="24"/>
          <w:szCs w:val="24"/>
        </w:rPr>
        <w:t xml:space="preserve"> que </w:t>
      </w:r>
      <w:r w:rsidR="00DF063F" w:rsidRPr="00431183">
        <w:rPr>
          <w:rFonts w:ascii="Cambria" w:eastAsiaTheme="minorEastAsia" w:hAnsi="Cambria" w:cs="Arial"/>
          <w:sz w:val="24"/>
          <w:szCs w:val="24"/>
        </w:rPr>
        <w:t xml:space="preserve">se contempla el tema de autonomía productiva, es decir, los </w:t>
      </w:r>
      <w:r w:rsidR="00E82B05" w:rsidRPr="00431183">
        <w:rPr>
          <w:rFonts w:ascii="Cambria" w:eastAsiaTheme="minorEastAsia" w:hAnsi="Cambria" w:cs="Arial"/>
          <w:sz w:val="24"/>
          <w:szCs w:val="24"/>
        </w:rPr>
        <w:t>productores</w:t>
      </w:r>
      <w:r w:rsidR="00DF063F" w:rsidRPr="00431183">
        <w:rPr>
          <w:rFonts w:ascii="Cambria" w:eastAsiaTheme="minorEastAsia" w:hAnsi="Cambria" w:cs="Arial"/>
          <w:sz w:val="24"/>
          <w:szCs w:val="24"/>
        </w:rPr>
        <w:t xml:space="preserve"> por si solos deciden los mercados</w:t>
      </w:r>
      <w:r w:rsidR="00E82B05" w:rsidRPr="00431183">
        <w:rPr>
          <w:rFonts w:ascii="Cambria" w:eastAsiaTheme="minorEastAsia" w:hAnsi="Cambria" w:cs="Arial"/>
          <w:sz w:val="24"/>
          <w:szCs w:val="24"/>
        </w:rPr>
        <w:t xml:space="preserve"> o las organizaciones</w:t>
      </w:r>
      <w:r w:rsidR="00DF063F" w:rsidRPr="00431183">
        <w:rPr>
          <w:rFonts w:ascii="Cambria" w:eastAsiaTheme="minorEastAsia" w:hAnsi="Cambria" w:cs="Arial"/>
          <w:sz w:val="24"/>
          <w:szCs w:val="24"/>
        </w:rPr>
        <w:t xml:space="preserve"> en donde van a colocar su producción</w:t>
      </w:r>
      <w:r w:rsidR="00E82B05" w:rsidRPr="00431183">
        <w:rPr>
          <w:rFonts w:ascii="Cambria" w:eastAsiaTheme="minorEastAsia" w:hAnsi="Cambria" w:cs="Arial"/>
          <w:sz w:val="24"/>
          <w:szCs w:val="24"/>
        </w:rPr>
        <w:t xml:space="preserve">, </w:t>
      </w:r>
      <w:r w:rsidR="00F34BFA">
        <w:rPr>
          <w:rFonts w:ascii="Cambria" w:eastAsiaTheme="minorEastAsia" w:hAnsi="Cambria" w:cs="Arial"/>
          <w:sz w:val="24"/>
          <w:szCs w:val="24"/>
        </w:rPr>
        <w:t xml:space="preserve">que esta intrínseca al momento de realizar el instrumento, </w:t>
      </w:r>
      <w:r w:rsidR="00E82B05" w:rsidRPr="00431183">
        <w:rPr>
          <w:rFonts w:ascii="Cambria" w:eastAsiaTheme="minorEastAsia" w:hAnsi="Cambria" w:cs="Arial"/>
          <w:sz w:val="24"/>
          <w:szCs w:val="24"/>
        </w:rPr>
        <w:t xml:space="preserve">lo que conlleva que los productores obtén por conservar rasgos tradicionales de producir café. </w:t>
      </w:r>
      <w:r w:rsidR="00D47EBD">
        <w:rPr>
          <w:rFonts w:ascii="Cambria" w:eastAsiaTheme="minorEastAsia" w:hAnsi="Cambria" w:cs="Arial"/>
          <w:sz w:val="24"/>
          <w:szCs w:val="24"/>
        </w:rPr>
        <w:t xml:space="preserve">  Esta inconsistencia sistémica fue determinada mediante el uso del modelo econométrico planteado, al observar la no significancia de</w:t>
      </w:r>
      <w:r w:rsidR="00F34BFA">
        <w:rPr>
          <w:rFonts w:ascii="Cambria" w:eastAsiaTheme="minorEastAsia" w:hAnsi="Cambria" w:cs="Arial"/>
          <w:sz w:val="24"/>
          <w:szCs w:val="24"/>
        </w:rPr>
        <w:t xml:space="preserve"> la variable de contribuciones de Banca para el Desarrollo.</w:t>
      </w:r>
    </w:p>
    <w:p w14:paraId="2D1F6923" w14:textId="187BC84D" w:rsidR="009C42E8" w:rsidRPr="00431183" w:rsidRDefault="009C42E8"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Además, existe una probabilidad del 16% de obtener mayores beneficios para los agentes locales dada las condiciones actuales de la región, con esta variable se miden en especial los temas </w:t>
      </w:r>
      <w:r w:rsidR="00F34BFA">
        <w:rPr>
          <w:rFonts w:ascii="Cambria" w:eastAsiaTheme="minorEastAsia" w:hAnsi="Cambria" w:cs="Arial"/>
          <w:sz w:val="24"/>
          <w:szCs w:val="24"/>
        </w:rPr>
        <w:t>de</w:t>
      </w:r>
      <w:r w:rsidRPr="00431183">
        <w:rPr>
          <w:rFonts w:ascii="Cambria" w:eastAsiaTheme="minorEastAsia" w:hAnsi="Cambria" w:cs="Arial"/>
          <w:sz w:val="24"/>
          <w:szCs w:val="24"/>
        </w:rPr>
        <w:t xml:space="preserve"> producción e inversión en finca </w:t>
      </w:r>
      <w:r w:rsidR="00DF063F" w:rsidRPr="00431183">
        <w:rPr>
          <w:rFonts w:ascii="Cambria" w:eastAsiaTheme="minorEastAsia" w:hAnsi="Cambria" w:cs="Arial"/>
          <w:sz w:val="24"/>
          <w:szCs w:val="24"/>
        </w:rPr>
        <w:t xml:space="preserve">que son llevados actualmente. El resultado anterior, evidencia una necesidad por parte del comité en trabajar en otros </w:t>
      </w:r>
      <w:r w:rsidR="00DF063F" w:rsidRPr="00431183">
        <w:rPr>
          <w:rFonts w:ascii="Cambria" w:eastAsiaTheme="minorEastAsia" w:hAnsi="Cambria" w:cs="Arial"/>
          <w:sz w:val="24"/>
          <w:szCs w:val="24"/>
        </w:rPr>
        <w:lastRenderedPageBreak/>
        <w:t>temas para obtener mayores beneficio</w:t>
      </w:r>
      <w:r w:rsidR="003E6097" w:rsidRPr="00431183">
        <w:rPr>
          <w:rFonts w:ascii="Cambria" w:eastAsiaTheme="minorEastAsia" w:hAnsi="Cambria" w:cs="Arial"/>
          <w:sz w:val="24"/>
          <w:szCs w:val="24"/>
        </w:rPr>
        <w:t>s de la denominación de origen</w:t>
      </w:r>
      <w:r w:rsidR="00E82B05" w:rsidRPr="00431183">
        <w:rPr>
          <w:rFonts w:ascii="Cambria" w:eastAsiaTheme="minorEastAsia" w:hAnsi="Cambria" w:cs="Arial"/>
          <w:sz w:val="24"/>
          <w:szCs w:val="24"/>
        </w:rPr>
        <w:t xml:space="preserve"> y sobre todo en el tema de alcances de la Denominación de Origen.</w:t>
      </w:r>
    </w:p>
    <w:p w14:paraId="29113E01" w14:textId="6A66BBBB" w:rsidR="00E82B05" w:rsidRPr="00431183" w:rsidRDefault="00E82B05"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Al momento de plantear esta variable, se parte de la premisa que existe una claridad por parte del comité hacia el productor, se determina que aunque existe información no así una definición acotada por parte de los productores de las implicaciones a nivel de producción que conlleva e</w:t>
      </w:r>
      <w:r w:rsidR="00F34BFA">
        <w:rPr>
          <w:rFonts w:ascii="Cambria" w:eastAsiaTheme="minorEastAsia" w:hAnsi="Cambria" w:cs="Arial"/>
          <w:sz w:val="24"/>
          <w:szCs w:val="24"/>
        </w:rPr>
        <w:t>l</w:t>
      </w:r>
      <w:r w:rsidRPr="00431183">
        <w:rPr>
          <w:rFonts w:ascii="Cambria" w:eastAsiaTheme="minorEastAsia" w:hAnsi="Cambria" w:cs="Arial"/>
          <w:sz w:val="24"/>
          <w:szCs w:val="24"/>
        </w:rPr>
        <w:t xml:space="preserve"> signo distintivo</w:t>
      </w:r>
      <w:r w:rsidR="00F34BFA">
        <w:rPr>
          <w:rFonts w:ascii="Cambria" w:eastAsiaTheme="minorEastAsia" w:hAnsi="Cambria" w:cs="Arial"/>
          <w:sz w:val="24"/>
          <w:szCs w:val="24"/>
        </w:rPr>
        <w:t xml:space="preserve">, por ende, el productor observa la DO como un distintivo más de los que ya poseen las organizaciones locales a las que pertenecen. </w:t>
      </w:r>
    </w:p>
    <w:p w14:paraId="1584817C" w14:textId="023CDCA3" w:rsidR="00E82B05" w:rsidRPr="00431183" w:rsidRDefault="00E82B05"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Por ende, se encuentra la razón del porque muchos productores no quieran abandonar las formas de producción tradicional para migrar a </w:t>
      </w:r>
      <w:r w:rsidR="00A627BA" w:rsidRPr="00431183">
        <w:rPr>
          <w:rFonts w:ascii="Cambria" w:eastAsiaTheme="minorEastAsia" w:hAnsi="Cambria" w:cs="Arial"/>
          <w:sz w:val="24"/>
          <w:szCs w:val="24"/>
        </w:rPr>
        <w:t>prácticas</w:t>
      </w:r>
      <w:r w:rsidRPr="00431183">
        <w:rPr>
          <w:rFonts w:ascii="Cambria" w:eastAsiaTheme="minorEastAsia" w:hAnsi="Cambria" w:cs="Arial"/>
          <w:sz w:val="24"/>
          <w:szCs w:val="24"/>
        </w:rPr>
        <w:t xml:space="preserve"> relacionadas a la calidad en finca del café que es producido</w:t>
      </w:r>
      <w:r w:rsidR="00613425">
        <w:rPr>
          <w:rFonts w:ascii="Cambria" w:eastAsiaTheme="minorEastAsia" w:hAnsi="Cambria" w:cs="Arial"/>
          <w:sz w:val="24"/>
          <w:szCs w:val="24"/>
        </w:rPr>
        <w:t xml:space="preserve">, y que no están preparados para llevar a cabo procesos de transformación productiva de manera individual, que es un tema que plantea la DO al agregar mayor autonomía de los productores hacia su producción. </w:t>
      </w:r>
    </w:p>
    <w:p w14:paraId="176832B6" w14:textId="73E91BAC" w:rsidR="00107F94" w:rsidRPr="00431183" w:rsidRDefault="00DD5BF0"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E</w:t>
      </w:r>
      <w:r w:rsidR="003E6097" w:rsidRPr="00431183">
        <w:rPr>
          <w:rFonts w:ascii="Cambria" w:eastAsiaTheme="minorEastAsia" w:hAnsi="Cambria" w:cs="Arial"/>
          <w:sz w:val="24"/>
          <w:szCs w:val="24"/>
        </w:rPr>
        <w:t xml:space="preserve">xisten otros </w:t>
      </w:r>
      <w:r w:rsidR="007D3C54" w:rsidRPr="00431183">
        <w:rPr>
          <w:rFonts w:ascii="Cambria" w:eastAsiaTheme="minorEastAsia" w:hAnsi="Cambria" w:cs="Arial"/>
          <w:sz w:val="24"/>
          <w:szCs w:val="24"/>
        </w:rPr>
        <w:t>temas observados</w:t>
      </w:r>
      <w:r w:rsidR="003E6097" w:rsidRPr="00431183">
        <w:rPr>
          <w:rFonts w:ascii="Cambria" w:eastAsiaTheme="minorEastAsia" w:hAnsi="Cambria" w:cs="Arial"/>
          <w:sz w:val="24"/>
          <w:szCs w:val="24"/>
        </w:rPr>
        <w:t xml:space="preserve"> con la estimación que</w:t>
      </w:r>
      <w:r w:rsidR="00107F94" w:rsidRPr="00431183">
        <w:rPr>
          <w:rFonts w:ascii="Cambria" w:eastAsiaTheme="minorEastAsia" w:hAnsi="Cambria" w:cs="Arial"/>
          <w:sz w:val="24"/>
          <w:szCs w:val="24"/>
        </w:rPr>
        <w:t xml:space="preserve"> son explicados con las contribuciones de Banca para el Desarrollo como lo es la capacidad productiva instalada y las mejoras en la producción</w:t>
      </w:r>
      <w:r w:rsidR="00613425">
        <w:rPr>
          <w:rFonts w:ascii="Cambria" w:eastAsiaTheme="minorEastAsia" w:hAnsi="Cambria" w:cs="Arial"/>
          <w:sz w:val="24"/>
          <w:szCs w:val="24"/>
        </w:rPr>
        <w:t xml:space="preserve">, que actualmente son abastecidas mediante una Banca de Segundo Piso y no de manera directa con Banca para el Desarrollo. </w:t>
      </w:r>
    </w:p>
    <w:p w14:paraId="136E4098" w14:textId="50D79A1C" w:rsidR="00DF063F" w:rsidRPr="00431183" w:rsidRDefault="00107F94"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Al analizar los efectos de la </w:t>
      </w:r>
      <w:r w:rsidR="00DF063F" w:rsidRPr="00431183">
        <w:rPr>
          <w:rFonts w:ascii="Cambria" w:eastAsiaTheme="minorEastAsia" w:hAnsi="Cambria" w:cs="Arial"/>
          <w:sz w:val="24"/>
          <w:szCs w:val="24"/>
        </w:rPr>
        <w:t xml:space="preserve">transformación de la producción por parte de los agentes locales </w:t>
      </w:r>
      <w:r w:rsidR="007D3C54" w:rsidRPr="00431183">
        <w:rPr>
          <w:rFonts w:ascii="Cambria" w:eastAsiaTheme="minorEastAsia" w:hAnsi="Cambria" w:cs="Arial"/>
          <w:sz w:val="24"/>
          <w:szCs w:val="24"/>
        </w:rPr>
        <w:t xml:space="preserve">al momento de </w:t>
      </w:r>
      <w:r w:rsidR="00DF063F" w:rsidRPr="00431183">
        <w:rPr>
          <w:rFonts w:ascii="Cambria" w:eastAsiaTheme="minorEastAsia" w:hAnsi="Cambria" w:cs="Arial"/>
          <w:sz w:val="24"/>
          <w:szCs w:val="24"/>
        </w:rPr>
        <w:t xml:space="preserve">acceder a la </w:t>
      </w:r>
      <w:r w:rsidR="00A627BA" w:rsidRPr="00431183">
        <w:rPr>
          <w:rFonts w:ascii="Cambria" w:eastAsiaTheme="minorEastAsia" w:hAnsi="Cambria" w:cs="Arial"/>
          <w:sz w:val="24"/>
          <w:szCs w:val="24"/>
        </w:rPr>
        <w:t>DO</w:t>
      </w:r>
      <w:r w:rsidR="00DF063F" w:rsidRPr="00431183">
        <w:rPr>
          <w:rFonts w:ascii="Cambria" w:eastAsiaTheme="minorEastAsia" w:hAnsi="Cambria" w:cs="Arial"/>
          <w:sz w:val="24"/>
          <w:szCs w:val="24"/>
        </w:rPr>
        <w:t xml:space="preserve"> utilizando financiamiento de Banca para el Desarrollo, </w:t>
      </w:r>
      <w:r w:rsidRPr="00431183">
        <w:rPr>
          <w:rFonts w:ascii="Cambria" w:eastAsiaTheme="minorEastAsia" w:hAnsi="Cambria" w:cs="Arial"/>
          <w:sz w:val="24"/>
          <w:szCs w:val="24"/>
        </w:rPr>
        <w:t xml:space="preserve">se determina una probabilidad de </w:t>
      </w:r>
      <w:r w:rsidR="00DD5BF0" w:rsidRPr="00431183">
        <w:rPr>
          <w:rFonts w:ascii="Cambria" w:eastAsiaTheme="minorEastAsia" w:hAnsi="Cambria" w:cs="Arial"/>
          <w:sz w:val="24"/>
          <w:szCs w:val="24"/>
        </w:rPr>
        <w:t>12,45</w:t>
      </w:r>
      <w:r w:rsidR="00DF063F" w:rsidRPr="00431183">
        <w:rPr>
          <w:rFonts w:ascii="Cambria" w:eastAsiaTheme="minorEastAsia" w:hAnsi="Cambria" w:cs="Arial"/>
          <w:sz w:val="24"/>
          <w:szCs w:val="24"/>
        </w:rPr>
        <w:t xml:space="preserve">% </w:t>
      </w:r>
      <w:r w:rsidRPr="00431183">
        <w:rPr>
          <w:rFonts w:ascii="Cambria" w:eastAsiaTheme="minorEastAsia" w:hAnsi="Cambria" w:cs="Arial"/>
          <w:sz w:val="24"/>
          <w:szCs w:val="24"/>
        </w:rPr>
        <w:t>de o</w:t>
      </w:r>
      <w:r w:rsidR="007D3C54" w:rsidRPr="00431183">
        <w:rPr>
          <w:rFonts w:ascii="Cambria" w:eastAsiaTheme="minorEastAsia" w:hAnsi="Cambria" w:cs="Arial"/>
          <w:sz w:val="24"/>
          <w:szCs w:val="24"/>
        </w:rPr>
        <w:t>btener beneficios de la denominación</w:t>
      </w:r>
      <w:r w:rsidR="00613425">
        <w:rPr>
          <w:rFonts w:ascii="Cambria" w:eastAsiaTheme="minorEastAsia" w:hAnsi="Cambria" w:cs="Arial"/>
          <w:sz w:val="24"/>
          <w:szCs w:val="24"/>
        </w:rPr>
        <w:t xml:space="preserve">, este resultado desde el modelo puede resultar evidente, pero, posee sus implicaciones técnicas porque son necesarias una serie de transformaciones, por ende, se determina la forma de financiamiento mediante una Banca de Segundo Piso (a pesar de que usa recursos de Banca de Desarrollo), compite con las contribuciones adicionales que brinda el programa de Banca para el Desarrollo. </w:t>
      </w:r>
    </w:p>
    <w:p w14:paraId="36547DA8" w14:textId="049BC3C8" w:rsidR="00613425" w:rsidRDefault="00682176" w:rsidP="00431183">
      <w:pPr>
        <w:spacing w:line="240" w:lineRule="auto"/>
        <w:ind w:firstLine="708"/>
        <w:jc w:val="both"/>
        <w:rPr>
          <w:rFonts w:ascii="Cambria" w:eastAsiaTheme="minorEastAsia" w:hAnsi="Cambria" w:cs="Arial"/>
          <w:sz w:val="24"/>
          <w:szCs w:val="24"/>
        </w:rPr>
      </w:pPr>
      <w:r w:rsidRPr="00431183">
        <w:rPr>
          <w:rFonts w:ascii="Cambria" w:eastAsiaTheme="minorEastAsia" w:hAnsi="Cambria" w:cs="Arial"/>
          <w:sz w:val="24"/>
          <w:szCs w:val="24"/>
        </w:rPr>
        <w:t xml:space="preserve">Es decir, al realizar un análisis de las variables seleccionadas para medir el efecto por medio de una regresión logística, </w:t>
      </w:r>
      <w:r w:rsidR="00A33A81" w:rsidRPr="00431183">
        <w:rPr>
          <w:rFonts w:ascii="Cambria" w:eastAsiaTheme="minorEastAsia" w:hAnsi="Cambria" w:cs="Arial"/>
          <w:sz w:val="24"/>
          <w:szCs w:val="24"/>
        </w:rPr>
        <w:t xml:space="preserve">existe una causalidad entre el Sistema de Banca para el Desarrollo y la </w:t>
      </w:r>
      <w:r w:rsidR="00A627BA" w:rsidRPr="00431183">
        <w:rPr>
          <w:rFonts w:ascii="Cambria" w:eastAsiaTheme="minorEastAsia" w:hAnsi="Cambria" w:cs="Arial"/>
          <w:sz w:val="24"/>
          <w:szCs w:val="24"/>
        </w:rPr>
        <w:t>DO,</w:t>
      </w:r>
      <w:r w:rsidR="00A33A81" w:rsidRPr="00431183">
        <w:rPr>
          <w:rFonts w:ascii="Cambria" w:eastAsiaTheme="minorEastAsia" w:hAnsi="Cambria" w:cs="Arial"/>
          <w:sz w:val="24"/>
          <w:szCs w:val="24"/>
        </w:rPr>
        <w:t xml:space="preserve"> como se analizó en </w:t>
      </w:r>
      <w:r w:rsidR="00613425">
        <w:rPr>
          <w:rFonts w:ascii="Cambria" w:eastAsiaTheme="minorEastAsia" w:hAnsi="Cambria" w:cs="Arial"/>
          <w:sz w:val="24"/>
          <w:szCs w:val="24"/>
        </w:rPr>
        <w:t>secciones</w:t>
      </w:r>
      <w:r w:rsidR="00A33A81" w:rsidRPr="00431183">
        <w:rPr>
          <w:rFonts w:ascii="Cambria" w:eastAsiaTheme="minorEastAsia" w:hAnsi="Cambria" w:cs="Arial"/>
          <w:sz w:val="24"/>
          <w:szCs w:val="24"/>
        </w:rPr>
        <w:t xml:space="preserve"> anteriores</w:t>
      </w:r>
      <w:r w:rsidR="00613425">
        <w:rPr>
          <w:rFonts w:ascii="Cambria" w:eastAsiaTheme="minorEastAsia" w:hAnsi="Cambria" w:cs="Arial"/>
          <w:sz w:val="24"/>
          <w:szCs w:val="24"/>
        </w:rPr>
        <w:t>,</w:t>
      </w:r>
      <w:r w:rsidR="00A33A81" w:rsidRPr="00431183">
        <w:rPr>
          <w:rFonts w:ascii="Cambria" w:eastAsiaTheme="minorEastAsia" w:hAnsi="Cambria" w:cs="Arial"/>
          <w:sz w:val="24"/>
          <w:szCs w:val="24"/>
        </w:rPr>
        <w:t xml:space="preserve"> una de las exigencias para </w:t>
      </w:r>
      <w:r w:rsidR="00A627BA" w:rsidRPr="00431183">
        <w:rPr>
          <w:rFonts w:ascii="Cambria" w:eastAsiaTheme="minorEastAsia" w:hAnsi="Cambria" w:cs="Arial"/>
          <w:sz w:val="24"/>
          <w:szCs w:val="24"/>
        </w:rPr>
        <w:t>ésta última</w:t>
      </w:r>
      <w:r w:rsidR="00A33A81" w:rsidRPr="00431183">
        <w:rPr>
          <w:rFonts w:ascii="Cambria" w:eastAsiaTheme="minorEastAsia" w:hAnsi="Cambria" w:cs="Arial"/>
          <w:sz w:val="24"/>
          <w:szCs w:val="24"/>
        </w:rPr>
        <w:t xml:space="preserve"> es lo referente a la </w:t>
      </w:r>
      <w:r w:rsidR="00DD5BF0" w:rsidRPr="00431183">
        <w:rPr>
          <w:rFonts w:ascii="Cambria" w:eastAsiaTheme="minorEastAsia" w:hAnsi="Cambria" w:cs="Arial"/>
          <w:sz w:val="24"/>
          <w:szCs w:val="24"/>
        </w:rPr>
        <w:t>inversión,</w:t>
      </w:r>
      <w:r w:rsidR="00A33A81" w:rsidRPr="00431183">
        <w:rPr>
          <w:rFonts w:ascii="Cambria" w:eastAsiaTheme="minorEastAsia" w:hAnsi="Cambria" w:cs="Arial"/>
          <w:sz w:val="24"/>
          <w:szCs w:val="24"/>
        </w:rPr>
        <w:t xml:space="preserve"> </w:t>
      </w:r>
      <w:r w:rsidR="00DD5BF0" w:rsidRPr="00431183">
        <w:rPr>
          <w:rFonts w:ascii="Cambria" w:eastAsiaTheme="minorEastAsia" w:hAnsi="Cambria" w:cs="Arial"/>
          <w:sz w:val="24"/>
          <w:szCs w:val="24"/>
        </w:rPr>
        <w:t xml:space="preserve">pero de escaso aporte en términos de beneficios para el productor. </w:t>
      </w:r>
      <w:r w:rsidR="00613425">
        <w:rPr>
          <w:rFonts w:ascii="Cambria" w:eastAsiaTheme="minorEastAsia" w:hAnsi="Cambria" w:cs="Arial"/>
          <w:sz w:val="24"/>
          <w:szCs w:val="24"/>
        </w:rPr>
        <w:t xml:space="preserve">  El modelo determina una debilidad sistémica, el productor puede mejorar la calidad de su producción, cambiar su forma de producción para acoplarse a las exigencias de la Denominación de Origen, un efecto positivo la antigüedad por la experiencia aportada, pero sin observar alguna contribución de Banca de Desarrollo para llevar a el proyecto productivo. </w:t>
      </w:r>
    </w:p>
    <w:p w14:paraId="66C123DB" w14:textId="71F24B39" w:rsidR="00613425" w:rsidRPr="00431183" w:rsidRDefault="00613425" w:rsidP="00431183">
      <w:pPr>
        <w:spacing w:line="240" w:lineRule="auto"/>
        <w:ind w:firstLine="708"/>
        <w:jc w:val="both"/>
        <w:rPr>
          <w:rFonts w:ascii="Cambria" w:eastAsiaTheme="minorEastAsia" w:hAnsi="Cambria" w:cs="Arial"/>
          <w:sz w:val="24"/>
          <w:szCs w:val="24"/>
        </w:rPr>
      </w:pPr>
      <w:r>
        <w:rPr>
          <w:rFonts w:ascii="Cambria" w:eastAsiaTheme="minorEastAsia" w:hAnsi="Cambria" w:cs="Arial"/>
          <w:sz w:val="24"/>
          <w:szCs w:val="24"/>
        </w:rPr>
        <w:t xml:space="preserve">Lo anterior plantea una nueva necesidad hacia el comité de Denominación de Origen al plantear el origen de los recursos para hacer operativo el distintivo a nivel individual debido al orden de prioridad que brinda el productor sobre su fuente de recursos, </w:t>
      </w:r>
      <w:r w:rsidR="0045794D">
        <w:rPr>
          <w:rFonts w:ascii="Cambria" w:eastAsiaTheme="minorEastAsia" w:hAnsi="Cambria" w:cs="Arial"/>
          <w:sz w:val="24"/>
          <w:szCs w:val="24"/>
        </w:rPr>
        <w:t xml:space="preserve">eligiendo financiamiento de segundo piso que es brindado por organizaciones locales como Cooperativas de la región. </w:t>
      </w:r>
    </w:p>
    <w:p w14:paraId="35C7EC0A" w14:textId="77777777" w:rsidR="007A605B" w:rsidRPr="00431183" w:rsidRDefault="007A605B" w:rsidP="00AF1E1D">
      <w:pPr>
        <w:spacing w:line="240" w:lineRule="auto"/>
        <w:ind w:firstLine="708"/>
        <w:jc w:val="both"/>
        <w:rPr>
          <w:rFonts w:ascii="Cambria" w:hAnsi="Cambria" w:cs="Arial"/>
          <w:sz w:val="24"/>
          <w:szCs w:val="24"/>
        </w:rPr>
      </w:pPr>
    </w:p>
    <w:p w14:paraId="4454099E" w14:textId="3E432AFC" w:rsidR="007E066D" w:rsidRDefault="007E066D" w:rsidP="00431183">
      <w:pPr>
        <w:spacing w:line="240" w:lineRule="auto"/>
        <w:jc w:val="both"/>
        <w:rPr>
          <w:rFonts w:ascii="Cambria" w:hAnsi="Cambria" w:cs="Arial"/>
          <w:sz w:val="24"/>
          <w:szCs w:val="24"/>
        </w:rPr>
      </w:pPr>
    </w:p>
    <w:p w14:paraId="309ECAC7" w14:textId="7A8B2522" w:rsidR="00922A87" w:rsidRPr="00AF1E1D" w:rsidRDefault="00CE6395" w:rsidP="00AF1E1D">
      <w:pPr>
        <w:pStyle w:val="Ttulo1"/>
        <w:jc w:val="center"/>
        <w:rPr>
          <w:rFonts w:ascii="Cambria" w:hAnsi="Cambria"/>
          <w:b/>
          <w:color w:val="auto"/>
          <w:sz w:val="28"/>
          <w:szCs w:val="28"/>
        </w:rPr>
      </w:pPr>
      <w:bookmarkStart w:id="118" w:name="_Toc454571289"/>
      <w:bookmarkStart w:id="119" w:name="_Toc527576968"/>
      <w:r w:rsidRPr="00AF1E1D">
        <w:rPr>
          <w:rFonts w:ascii="Cambria" w:hAnsi="Cambria"/>
          <w:b/>
          <w:color w:val="auto"/>
          <w:sz w:val="28"/>
          <w:szCs w:val="28"/>
        </w:rPr>
        <w:lastRenderedPageBreak/>
        <w:t>Capítulo</w:t>
      </w:r>
      <w:bookmarkEnd w:id="118"/>
      <w:r w:rsidR="00E862E3" w:rsidRPr="00AF1E1D">
        <w:rPr>
          <w:rFonts w:ascii="Cambria" w:hAnsi="Cambria"/>
          <w:b/>
          <w:color w:val="auto"/>
          <w:sz w:val="28"/>
          <w:szCs w:val="28"/>
        </w:rPr>
        <w:t xml:space="preserve"> </w:t>
      </w:r>
      <w:r w:rsidR="00C9117E">
        <w:rPr>
          <w:rFonts w:ascii="Cambria" w:hAnsi="Cambria"/>
          <w:b/>
          <w:color w:val="auto"/>
          <w:sz w:val="28"/>
          <w:szCs w:val="28"/>
        </w:rPr>
        <w:t>V</w:t>
      </w:r>
      <w:r w:rsidR="0013272A" w:rsidRPr="00AF1E1D">
        <w:rPr>
          <w:rFonts w:ascii="Cambria" w:hAnsi="Cambria"/>
          <w:b/>
          <w:color w:val="auto"/>
          <w:sz w:val="28"/>
          <w:szCs w:val="28"/>
        </w:rPr>
        <w:t>:</w:t>
      </w:r>
      <w:r>
        <w:rPr>
          <w:rFonts w:ascii="Cambria" w:hAnsi="Cambria"/>
          <w:b/>
          <w:color w:val="auto"/>
          <w:sz w:val="28"/>
          <w:szCs w:val="28"/>
        </w:rPr>
        <w:t xml:space="preserve"> </w:t>
      </w:r>
      <w:bookmarkStart w:id="120" w:name="_Toc454571290"/>
      <w:r>
        <w:rPr>
          <w:rFonts w:ascii="Cambria" w:hAnsi="Cambria"/>
          <w:b/>
          <w:color w:val="auto"/>
          <w:sz w:val="28"/>
          <w:szCs w:val="28"/>
        </w:rPr>
        <w:t>C</w:t>
      </w:r>
      <w:r w:rsidRPr="00AF1E1D">
        <w:rPr>
          <w:rFonts w:ascii="Cambria" w:hAnsi="Cambria"/>
          <w:b/>
          <w:color w:val="auto"/>
          <w:sz w:val="28"/>
          <w:szCs w:val="28"/>
        </w:rPr>
        <w:t xml:space="preserve">onclusiones y </w:t>
      </w:r>
      <w:r>
        <w:rPr>
          <w:rFonts w:ascii="Cambria" w:hAnsi="Cambria"/>
          <w:b/>
          <w:color w:val="auto"/>
          <w:sz w:val="28"/>
          <w:szCs w:val="28"/>
        </w:rPr>
        <w:t>R</w:t>
      </w:r>
      <w:r w:rsidRPr="00AF1E1D">
        <w:rPr>
          <w:rFonts w:ascii="Cambria" w:hAnsi="Cambria"/>
          <w:b/>
          <w:color w:val="auto"/>
          <w:sz w:val="28"/>
          <w:szCs w:val="28"/>
        </w:rPr>
        <w:t>ecomendaciones</w:t>
      </w:r>
      <w:bookmarkEnd w:id="119"/>
      <w:bookmarkEnd w:id="120"/>
    </w:p>
    <w:p w14:paraId="56D611E1" w14:textId="77777777" w:rsidR="002F5512" w:rsidRPr="00431183" w:rsidRDefault="002F5512" w:rsidP="00431183">
      <w:pPr>
        <w:spacing w:line="240" w:lineRule="auto"/>
        <w:jc w:val="both"/>
        <w:rPr>
          <w:rFonts w:ascii="Cambria" w:eastAsiaTheme="minorEastAsia" w:hAnsi="Cambria" w:cs="Arial"/>
          <w:sz w:val="24"/>
          <w:szCs w:val="24"/>
        </w:rPr>
      </w:pPr>
    </w:p>
    <w:p w14:paraId="6D78B98E" w14:textId="77777777" w:rsidR="003B6E4F" w:rsidRPr="00431183" w:rsidRDefault="003B6E4F"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Se encontró una estructura poco flexible por parte del Sistema de Banca de Desarrollo lo que puede dificultar una eventual implementación de la Denominación de Origen, además, desde el productor este utiliza otros mecanismos como la Banca de Segundo Piso que ofrecen las organizaciones locales, </w:t>
      </w:r>
      <w:r w:rsidR="00442110" w:rsidRPr="00431183">
        <w:rPr>
          <w:rFonts w:ascii="Cambria" w:hAnsi="Cambria" w:cs="Arial"/>
          <w:sz w:val="24"/>
          <w:szCs w:val="24"/>
        </w:rPr>
        <w:t xml:space="preserve">pero </w:t>
      </w:r>
      <w:r w:rsidRPr="00431183">
        <w:rPr>
          <w:rFonts w:ascii="Cambria" w:hAnsi="Cambria" w:cs="Arial"/>
          <w:sz w:val="24"/>
          <w:szCs w:val="24"/>
        </w:rPr>
        <w:t xml:space="preserve">que utilizan los recursos de Banca para el Desarrollo. </w:t>
      </w:r>
    </w:p>
    <w:p w14:paraId="4B736E1A" w14:textId="12F908E8" w:rsidR="003B6E4F" w:rsidRDefault="003B6E4F"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Sin duda alguna, al realizar una valoración económica-financiera de la </w:t>
      </w:r>
      <w:r w:rsidR="00A627BA" w:rsidRPr="00431183">
        <w:rPr>
          <w:rFonts w:ascii="Cambria" w:hAnsi="Cambria" w:cs="Arial"/>
          <w:sz w:val="24"/>
          <w:szCs w:val="24"/>
        </w:rPr>
        <w:t xml:space="preserve">DO </w:t>
      </w:r>
      <w:r w:rsidRPr="00431183">
        <w:rPr>
          <w:rFonts w:ascii="Cambria" w:hAnsi="Cambria" w:cs="Arial"/>
          <w:sz w:val="24"/>
          <w:szCs w:val="24"/>
        </w:rPr>
        <w:t>está aporta un valor significativo a la producción de café en la Zona de los Santos</w:t>
      </w:r>
      <w:r w:rsidR="00A627BA" w:rsidRPr="00431183">
        <w:rPr>
          <w:rFonts w:ascii="Cambria" w:hAnsi="Cambria" w:cs="Arial"/>
          <w:sz w:val="24"/>
          <w:szCs w:val="24"/>
        </w:rPr>
        <w:t>,</w:t>
      </w:r>
      <w:r w:rsidRPr="00431183">
        <w:rPr>
          <w:rFonts w:ascii="Cambria" w:hAnsi="Cambria" w:cs="Arial"/>
          <w:sz w:val="24"/>
          <w:szCs w:val="24"/>
        </w:rPr>
        <w:t xml:space="preserve"> pero se han encontrado problemas en especial entre las actividades que tiene que hacer un productor </w:t>
      </w:r>
      <w:r w:rsidR="00442110" w:rsidRPr="00431183">
        <w:rPr>
          <w:rFonts w:ascii="Cambria" w:hAnsi="Cambria" w:cs="Arial"/>
          <w:sz w:val="24"/>
          <w:szCs w:val="24"/>
        </w:rPr>
        <w:t>para hacerla operativa,  no existe una claridad</w:t>
      </w:r>
      <w:r w:rsidR="00BB7D72">
        <w:rPr>
          <w:rFonts w:ascii="Cambria" w:hAnsi="Cambria" w:cs="Arial"/>
          <w:sz w:val="24"/>
          <w:szCs w:val="24"/>
        </w:rPr>
        <w:t xml:space="preserve"> </w:t>
      </w:r>
      <w:r w:rsidR="005376BA">
        <w:rPr>
          <w:rFonts w:ascii="Cambria" w:hAnsi="Cambria" w:cs="Arial"/>
          <w:sz w:val="24"/>
          <w:szCs w:val="24"/>
        </w:rPr>
        <w:t xml:space="preserve">si afecta la </w:t>
      </w:r>
      <w:r w:rsidR="00BB7D72">
        <w:rPr>
          <w:rFonts w:ascii="Cambria" w:hAnsi="Cambria" w:cs="Arial"/>
          <w:sz w:val="24"/>
          <w:szCs w:val="24"/>
        </w:rPr>
        <w:t xml:space="preserve">organización productiva actual, sobre todo, si modifica las relaciones </w:t>
      </w:r>
      <w:r w:rsidR="005376BA">
        <w:rPr>
          <w:rFonts w:ascii="Cambria" w:hAnsi="Cambria" w:cs="Arial"/>
          <w:sz w:val="24"/>
          <w:szCs w:val="24"/>
        </w:rPr>
        <w:t>socioeconómicas</w:t>
      </w:r>
      <w:r w:rsidR="00BB7D72">
        <w:rPr>
          <w:rFonts w:ascii="Cambria" w:hAnsi="Cambria" w:cs="Arial"/>
          <w:sz w:val="24"/>
          <w:szCs w:val="24"/>
        </w:rPr>
        <w:t xml:space="preserve"> </w:t>
      </w:r>
      <w:r w:rsidR="005376BA">
        <w:rPr>
          <w:rFonts w:ascii="Cambria" w:hAnsi="Cambria" w:cs="Arial"/>
          <w:sz w:val="24"/>
          <w:szCs w:val="24"/>
        </w:rPr>
        <w:t>históricas que se han mantenido en la región</w:t>
      </w:r>
      <w:r w:rsidR="00BB7D72">
        <w:rPr>
          <w:rFonts w:ascii="Cambria" w:hAnsi="Cambria" w:cs="Arial"/>
          <w:sz w:val="24"/>
          <w:szCs w:val="24"/>
        </w:rPr>
        <w:t xml:space="preserve">, debido a que se observa una resistencia por parte de los productores por </w:t>
      </w:r>
      <w:r w:rsidR="005376BA">
        <w:rPr>
          <w:rFonts w:ascii="Cambria" w:hAnsi="Cambria" w:cs="Arial"/>
          <w:sz w:val="24"/>
          <w:szCs w:val="24"/>
        </w:rPr>
        <w:t xml:space="preserve">abandonar la forma de financiación actual que es mediante Banca de Segundo Piso. </w:t>
      </w:r>
      <w:r w:rsidR="00442110" w:rsidRPr="00431183">
        <w:rPr>
          <w:rFonts w:ascii="Cambria" w:hAnsi="Cambria" w:cs="Arial"/>
          <w:sz w:val="24"/>
          <w:szCs w:val="24"/>
        </w:rPr>
        <w:t xml:space="preserve"> </w:t>
      </w:r>
    </w:p>
    <w:p w14:paraId="09555FDC" w14:textId="01B842CE" w:rsidR="005376BA" w:rsidRDefault="005376BA" w:rsidP="005376BA">
      <w:pPr>
        <w:spacing w:line="240" w:lineRule="auto"/>
        <w:ind w:firstLine="708"/>
        <w:jc w:val="both"/>
        <w:rPr>
          <w:rFonts w:ascii="Cambria" w:hAnsi="Cambria" w:cs="Arial"/>
          <w:sz w:val="24"/>
          <w:szCs w:val="24"/>
        </w:rPr>
      </w:pPr>
      <w:r>
        <w:rPr>
          <w:rFonts w:ascii="Cambria" w:hAnsi="Cambria" w:cs="Arial"/>
          <w:sz w:val="24"/>
          <w:szCs w:val="24"/>
        </w:rPr>
        <w:t>U</w:t>
      </w:r>
      <w:r w:rsidR="00B32380">
        <w:rPr>
          <w:rFonts w:ascii="Cambria" w:hAnsi="Cambria" w:cs="Arial"/>
          <w:sz w:val="24"/>
          <w:szCs w:val="24"/>
        </w:rPr>
        <w:t xml:space="preserve">no de </w:t>
      </w:r>
      <w:r w:rsidR="001C064F">
        <w:rPr>
          <w:rFonts w:ascii="Cambria" w:hAnsi="Cambria" w:cs="Arial"/>
          <w:sz w:val="24"/>
          <w:szCs w:val="24"/>
        </w:rPr>
        <w:t xml:space="preserve">los principales </w:t>
      </w:r>
      <w:r w:rsidR="00B32380">
        <w:rPr>
          <w:rFonts w:ascii="Cambria" w:hAnsi="Cambria" w:cs="Arial"/>
          <w:sz w:val="24"/>
          <w:szCs w:val="24"/>
        </w:rPr>
        <w:t>h</w:t>
      </w:r>
      <w:r w:rsidR="001C064F">
        <w:rPr>
          <w:rFonts w:ascii="Cambria" w:hAnsi="Cambria" w:cs="Arial"/>
          <w:sz w:val="24"/>
          <w:szCs w:val="24"/>
        </w:rPr>
        <w:t>a</w:t>
      </w:r>
      <w:r>
        <w:rPr>
          <w:rFonts w:ascii="Cambria" w:hAnsi="Cambria" w:cs="Arial"/>
          <w:sz w:val="24"/>
          <w:szCs w:val="24"/>
        </w:rPr>
        <w:t>llazgos</w:t>
      </w:r>
      <w:r w:rsidR="001C064F">
        <w:rPr>
          <w:rFonts w:ascii="Cambria" w:hAnsi="Cambria" w:cs="Arial"/>
          <w:sz w:val="24"/>
          <w:szCs w:val="24"/>
        </w:rPr>
        <w:t xml:space="preserve"> es que desde un punto de vista teórico de cadenas</w:t>
      </w:r>
      <w:r>
        <w:rPr>
          <w:rFonts w:ascii="Cambria" w:hAnsi="Cambria" w:cs="Arial"/>
          <w:sz w:val="24"/>
          <w:szCs w:val="24"/>
        </w:rPr>
        <w:t xml:space="preserve"> globales de valor</w:t>
      </w:r>
      <w:r w:rsidR="001C064F">
        <w:rPr>
          <w:rFonts w:ascii="Cambria" w:hAnsi="Cambria" w:cs="Arial"/>
          <w:sz w:val="24"/>
          <w:szCs w:val="24"/>
        </w:rPr>
        <w:t xml:space="preserve">, se observa </w:t>
      </w:r>
      <w:r>
        <w:rPr>
          <w:rFonts w:ascii="Cambria" w:hAnsi="Cambria" w:cs="Arial"/>
          <w:sz w:val="24"/>
          <w:szCs w:val="24"/>
        </w:rPr>
        <w:t>un esfuerzo por modificar</w:t>
      </w:r>
      <w:r w:rsidR="001C064F">
        <w:rPr>
          <w:rFonts w:ascii="Cambria" w:hAnsi="Cambria" w:cs="Arial"/>
          <w:sz w:val="24"/>
          <w:szCs w:val="24"/>
        </w:rPr>
        <w:t xml:space="preserve"> la estructura actual de la producción de café en la región de los Santos, por ende, aunque la propuesta de DO puede fungir como un mecanismo para diferenciar la producción, no lo realiza de manera eficiente y </w:t>
      </w:r>
      <w:r>
        <w:rPr>
          <w:rFonts w:ascii="Cambria" w:hAnsi="Cambria" w:cs="Arial"/>
          <w:sz w:val="24"/>
          <w:szCs w:val="24"/>
        </w:rPr>
        <w:t xml:space="preserve">por características propias de los productores a mediano plazo puede generar desigualdades entre productores. </w:t>
      </w:r>
    </w:p>
    <w:p w14:paraId="646EBED1" w14:textId="14E783C6" w:rsidR="005376BA" w:rsidRPr="00431183" w:rsidRDefault="005376BA" w:rsidP="00AF1E1D">
      <w:pPr>
        <w:spacing w:line="240" w:lineRule="auto"/>
        <w:ind w:firstLine="708"/>
        <w:jc w:val="both"/>
        <w:rPr>
          <w:rFonts w:ascii="Cambria" w:hAnsi="Cambria" w:cs="Arial"/>
          <w:sz w:val="24"/>
          <w:szCs w:val="24"/>
        </w:rPr>
      </w:pPr>
      <w:r>
        <w:rPr>
          <w:rFonts w:ascii="Cambria" w:hAnsi="Cambria" w:cs="Arial"/>
          <w:sz w:val="24"/>
          <w:szCs w:val="24"/>
        </w:rPr>
        <w:t>Lo anterior, aunque desde el punto de vista territorial, los productores comparten aspectos y características, esto podría generar  distorsiones donde los beneficios se concentren en productores que están más preparados y tienen un mayor conocimiento sobre la calidad de su producción.</w:t>
      </w:r>
    </w:p>
    <w:p w14:paraId="757276C6" w14:textId="57A32061" w:rsidR="00442110" w:rsidRPr="00431183" w:rsidRDefault="00442110"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Aunque el planteamiento desde el comité de </w:t>
      </w:r>
      <w:r w:rsidR="00A627BA" w:rsidRPr="00431183">
        <w:rPr>
          <w:rFonts w:ascii="Cambria" w:hAnsi="Cambria" w:cs="Arial"/>
          <w:sz w:val="24"/>
          <w:szCs w:val="24"/>
        </w:rPr>
        <w:t>DO</w:t>
      </w:r>
      <w:r w:rsidRPr="00431183">
        <w:rPr>
          <w:rFonts w:ascii="Cambria" w:hAnsi="Cambria" w:cs="Arial"/>
          <w:sz w:val="24"/>
          <w:szCs w:val="24"/>
        </w:rPr>
        <w:t xml:space="preserve"> es dotar de una herramienta de negociación al productor local que le permita diferenciarse, este</w:t>
      </w:r>
      <w:r w:rsidR="000734FC">
        <w:rPr>
          <w:rFonts w:ascii="Cambria" w:hAnsi="Cambria" w:cs="Arial"/>
          <w:sz w:val="24"/>
          <w:szCs w:val="24"/>
        </w:rPr>
        <w:t xml:space="preserve"> (productor)</w:t>
      </w:r>
      <w:r w:rsidRPr="00431183">
        <w:rPr>
          <w:rFonts w:ascii="Cambria" w:hAnsi="Cambria" w:cs="Arial"/>
          <w:sz w:val="24"/>
          <w:szCs w:val="24"/>
        </w:rPr>
        <w:t xml:space="preserve"> no tiene una noción de la cadena global de valor de café </w:t>
      </w:r>
      <w:r w:rsidR="000734FC">
        <w:rPr>
          <w:rFonts w:ascii="Cambria" w:hAnsi="Cambria" w:cs="Arial"/>
          <w:sz w:val="24"/>
          <w:szCs w:val="24"/>
        </w:rPr>
        <w:t>de especialidad</w:t>
      </w:r>
      <w:r w:rsidRPr="00431183">
        <w:rPr>
          <w:rFonts w:ascii="Cambria" w:hAnsi="Cambria" w:cs="Arial"/>
          <w:sz w:val="24"/>
          <w:szCs w:val="24"/>
        </w:rPr>
        <w:t>, por ende, es probable como se encontró en el modelo econométrico, que este no cambie la forma de producir café</w:t>
      </w:r>
      <w:r w:rsidR="000734FC">
        <w:rPr>
          <w:rFonts w:ascii="Cambria" w:hAnsi="Cambria" w:cs="Arial"/>
          <w:sz w:val="24"/>
          <w:szCs w:val="24"/>
        </w:rPr>
        <w:t xml:space="preserve">, aunque, Banca para el Desarrollo pueda ser un programa que lo dote de recursos, el productor no la observa como un programa viable a utilizar, apostando por mantener su vínculo con las organizaciones locales que lo dotan de recursos financieros. </w:t>
      </w:r>
    </w:p>
    <w:p w14:paraId="43437DB2" w14:textId="77777777" w:rsidR="00922A87" w:rsidRPr="00431183" w:rsidRDefault="00922A87"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La creciente importancia de los activos intangibles y las marcas en la creación de valor ha sido ampliamente documentada, y en la actualidad gran parte del valor de las compañías está explicado por el valor de los activos intangibles, de ahí que este estudio proponga un modelo de valoración de marca, para cuantificar, la </w:t>
      </w:r>
      <w:r w:rsidR="005D5139" w:rsidRPr="00431183">
        <w:rPr>
          <w:rFonts w:ascii="Cambria" w:hAnsi="Cambria" w:cs="Arial"/>
          <w:sz w:val="24"/>
          <w:szCs w:val="24"/>
        </w:rPr>
        <w:t xml:space="preserve">DO </w:t>
      </w:r>
      <w:r w:rsidRPr="00431183">
        <w:rPr>
          <w:rFonts w:ascii="Cambria" w:hAnsi="Cambria" w:cs="Arial"/>
          <w:sz w:val="24"/>
          <w:szCs w:val="24"/>
        </w:rPr>
        <w:t xml:space="preserve">del café de Tarrazú. </w:t>
      </w:r>
    </w:p>
    <w:p w14:paraId="0F39E192" w14:textId="77777777" w:rsidR="00922A87" w:rsidRPr="00431183" w:rsidRDefault="00922A87" w:rsidP="00AF1E1D">
      <w:pPr>
        <w:spacing w:line="240" w:lineRule="auto"/>
        <w:ind w:firstLine="708"/>
        <w:jc w:val="both"/>
        <w:rPr>
          <w:rFonts w:ascii="Cambria" w:hAnsi="Cambria" w:cs="Arial"/>
          <w:sz w:val="24"/>
          <w:szCs w:val="24"/>
        </w:rPr>
      </w:pPr>
      <w:r w:rsidRPr="00AF1E1D">
        <w:rPr>
          <w:rFonts w:ascii="Cambria" w:hAnsi="Cambria" w:cs="Arial"/>
          <w:sz w:val="24"/>
          <w:szCs w:val="24"/>
        </w:rPr>
        <w:t xml:space="preserve">Con el fenómeno de la economía colaborativa y sus modelos de negocio intensivos en activos intangibles, se vuelve primordial realizar este tipo de valoraciones, aún más como lo es el caso de la </w:t>
      </w:r>
      <w:r w:rsidR="005D5139" w:rsidRPr="00AF1E1D">
        <w:rPr>
          <w:rFonts w:ascii="Cambria" w:hAnsi="Cambria" w:cs="Arial"/>
          <w:sz w:val="24"/>
          <w:szCs w:val="24"/>
        </w:rPr>
        <w:t>DO</w:t>
      </w:r>
      <w:r w:rsidRPr="00AF1E1D">
        <w:rPr>
          <w:rFonts w:ascii="Cambria" w:hAnsi="Cambria" w:cs="Arial"/>
          <w:sz w:val="24"/>
          <w:szCs w:val="24"/>
        </w:rPr>
        <w:t xml:space="preserve"> del Café de Tarrazú, que pretende agrupar a productores y cooperativas bajo su marca.</w:t>
      </w:r>
    </w:p>
    <w:p w14:paraId="3A8F5197" w14:textId="77777777" w:rsidR="00922A87" w:rsidRPr="00431183" w:rsidRDefault="00922A87" w:rsidP="00AF1E1D">
      <w:pPr>
        <w:spacing w:line="240" w:lineRule="auto"/>
        <w:ind w:firstLine="708"/>
        <w:jc w:val="both"/>
        <w:rPr>
          <w:rFonts w:ascii="Cambria" w:hAnsi="Cambria" w:cs="Arial"/>
          <w:sz w:val="24"/>
          <w:szCs w:val="24"/>
        </w:rPr>
      </w:pPr>
      <w:r w:rsidRPr="00431183">
        <w:rPr>
          <w:rFonts w:ascii="Cambria" w:hAnsi="Cambria" w:cs="Arial"/>
          <w:sz w:val="24"/>
          <w:szCs w:val="24"/>
        </w:rPr>
        <w:lastRenderedPageBreak/>
        <w:t>Está valoración</w:t>
      </w:r>
      <w:r w:rsidR="002A3F2D">
        <w:rPr>
          <w:rFonts w:ascii="Cambria" w:hAnsi="Cambria" w:cs="Arial"/>
          <w:sz w:val="24"/>
          <w:szCs w:val="24"/>
        </w:rPr>
        <w:t xml:space="preserve"> financiera</w:t>
      </w:r>
      <w:r w:rsidRPr="00431183">
        <w:rPr>
          <w:rFonts w:ascii="Cambria" w:hAnsi="Cambria" w:cs="Arial"/>
          <w:sz w:val="24"/>
          <w:szCs w:val="24"/>
        </w:rPr>
        <w:t xml:space="preserve"> es de suma importancia debido al rol que desempeñan los activos intangibles en la creación de valor y que cada vez cobra una mayor relevancia, en los mercados actuales</w:t>
      </w:r>
      <w:r w:rsidR="00C47DEA" w:rsidRPr="00431183">
        <w:rPr>
          <w:rFonts w:ascii="Cambria" w:hAnsi="Cambria" w:cs="Arial"/>
          <w:sz w:val="24"/>
          <w:szCs w:val="24"/>
        </w:rPr>
        <w:t xml:space="preserve">, permite a los productores tener conocimiento sobre las ventajas de utilizar el distintivo como mecanismo de negociación ante otros agentes económicos. </w:t>
      </w:r>
    </w:p>
    <w:p w14:paraId="2739E67F" w14:textId="77777777" w:rsidR="00922A87" w:rsidRPr="00431183" w:rsidRDefault="00C47DEA"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El valor de la </w:t>
      </w:r>
      <w:r w:rsidR="005D5139" w:rsidRPr="00431183">
        <w:rPr>
          <w:rFonts w:ascii="Cambria" w:hAnsi="Cambria" w:cs="Arial"/>
          <w:sz w:val="24"/>
          <w:szCs w:val="24"/>
        </w:rPr>
        <w:t>DO</w:t>
      </w:r>
      <w:r w:rsidRPr="00431183">
        <w:rPr>
          <w:rFonts w:ascii="Cambria" w:hAnsi="Cambria" w:cs="Arial"/>
          <w:sz w:val="24"/>
          <w:szCs w:val="24"/>
        </w:rPr>
        <w:t xml:space="preserve"> </w:t>
      </w:r>
      <w:r w:rsidR="00922A87" w:rsidRPr="00431183">
        <w:rPr>
          <w:rFonts w:ascii="Cambria" w:hAnsi="Cambria" w:cs="Arial"/>
          <w:sz w:val="24"/>
          <w:szCs w:val="24"/>
        </w:rPr>
        <w:t xml:space="preserve">es una </w:t>
      </w:r>
      <w:r w:rsidR="003B771C" w:rsidRPr="00431183">
        <w:rPr>
          <w:rFonts w:ascii="Cambria" w:hAnsi="Cambria" w:cs="Arial"/>
          <w:sz w:val="24"/>
          <w:szCs w:val="24"/>
        </w:rPr>
        <w:t xml:space="preserve">función de la fortaleza; está </w:t>
      </w:r>
      <w:r w:rsidR="00922A87" w:rsidRPr="00431183">
        <w:rPr>
          <w:rFonts w:ascii="Cambria" w:hAnsi="Cambria" w:cs="Arial"/>
          <w:sz w:val="24"/>
          <w:szCs w:val="24"/>
        </w:rPr>
        <w:t>en función del mercado nacional, regional e internacional; es un indic</w:t>
      </w:r>
      <w:r w:rsidR="003B771C" w:rsidRPr="00431183">
        <w:rPr>
          <w:rFonts w:ascii="Cambria" w:hAnsi="Cambria" w:cs="Arial"/>
          <w:sz w:val="24"/>
          <w:szCs w:val="24"/>
        </w:rPr>
        <w:t>ador de cómo se percibe el nombre Tarrazú</w:t>
      </w:r>
      <w:r w:rsidR="00922A87" w:rsidRPr="00431183">
        <w:rPr>
          <w:rFonts w:ascii="Cambria" w:hAnsi="Cambria" w:cs="Arial"/>
          <w:sz w:val="24"/>
          <w:szCs w:val="24"/>
        </w:rPr>
        <w:t xml:space="preserve">, para los consumidores; de ahí que en la investigación </w:t>
      </w:r>
      <w:r w:rsidR="005D5139" w:rsidRPr="00431183">
        <w:rPr>
          <w:rFonts w:ascii="Cambria" w:hAnsi="Cambria" w:cs="Arial"/>
          <w:sz w:val="24"/>
          <w:szCs w:val="24"/>
        </w:rPr>
        <w:t xml:space="preserve">se utiliza </w:t>
      </w:r>
      <w:r w:rsidR="00922A87" w:rsidRPr="00431183">
        <w:rPr>
          <w:rFonts w:ascii="Cambria" w:hAnsi="Cambria" w:cs="Arial"/>
          <w:sz w:val="24"/>
          <w:szCs w:val="24"/>
        </w:rPr>
        <w:t xml:space="preserve">una matriz fundamentada en siete variables: Mercado, Estabilidad, Liderazgo, Internacionalidad, Tendencia, Soporte y Protección; con los que se </w:t>
      </w:r>
      <w:r w:rsidR="003B771C" w:rsidRPr="00431183">
        <w:rPr>
          <w:rFonts w:ascii="Cambria" w:hAnsi="Cambria" w:cs="Arial"/>
          <w:sz w:val="24"/>
          <w:szCs w:val="24"/>
        </w:rPr>
        <w:t xml:space="preserve">determinó el valor </w:t>
      </w:r>
      <w:r w:rsidR="00922A87" w:rsidRPr="00431183">
        <w:rPr>
          <w:rFonts w:ascii="Cambria" w:hAnsi="Cambria" w:cs="Arial"/>
          <w:sz w:val="24"/>
          <w:szCs w:val="24"/>
        </w:rPr>
        <w:t xml:space="preserve">marca, bajo </w:t>
      </w:r>
      <w:r w:rsidR="005D5139" w:rsidRPr="00431183">
        <w:rPr>
          <w:rFonts w:ascii="Cambria" w:hAnsi="Cambria" w:cs="Arial"/>
          <w:sz w:val="24"/>
          <w:szCs w:val="24"/>
        </w:rPr>
        <w:t>la DO.</w:t>
      </w:r>
    </w:p>
    <w:p w14:paraId="734C6B67" w14:textId="77777777" w:rsidR="00922A87" w:rsidRPr="00431183" w:rsidRDefault="003B771C"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De la valoración se obtiene un resultado de </w:t>
      </w:r>
      <w:r w:rsidR="00922A87" w:rsidRPr="00431183">
        <w:rPr>
          <w:rFonts w:ascii="Cambria" w:hAnsi="Cambria" w:cs="Arial"/>
          <w:sz w:val="24"/>
          <w:szCs w:val="24"/>
        </w:rPr>
        <w:t>Marca Fuerte</w:t>
      </w:r>
      <w:r w:rsidRPr="00431183">
        <w:rPr>
          <w:rFonts w:ascii="Cambria" w:hAnsi="Cambria" w:cs="Arial"/>
          <w:sz w:val="24"/>
          <w:szCs w:val="24"/>
        </w:rPr>
        <w:t xml:space="preserve"> a nivel Internacional, lo que permite definir la</w:t>
      </w:r>
      <w:r w:rsidR="00922A87" w:rsidRPr="00431183">
        <w:rPr>
          <w:rFonts w:ascii="Cambria" w:hAnsi="Cambria" w:cs="Arial"/>
          <w:sz w:val="24"/>
          <w:szCs w:val="24"/>
        </w:rPr>
        <w:t xml:space="preserve"> Denominació</w:t>
      </w:r>
      <w:r w:rsidRPr="00431183">
        <w:rPr>
          <w:rFonts w:ascii="Cambria" w:hAnsi="Cambria" w:cs="Arial"/>
          <w:sz w:val="24"/>
          <w:szCs w:val="24"/>
        </w:rPr>
        <w:t>n de Origen del café de Tarrazú de alto alcance en los mercados de alta especialidad</w:t>
      </w:r>
      <w:r w:rsidR="00922A87" w:rsidRPr="00431183">
        <w:rPr>
          <w:rFonts w:ascii="Cambria" w:hAnsi="Cambria" w:cs="Arial"/>
          <w:sz w:val="24"/>
          <w:szCs w:val="24"/>
        </w:rPr>
        <w:t xml:space="preserve"> derivado del estudio y consulta a productores, cooperativas, importadores y consumidores.</w:t>
      </w:r>
    </w:p>
    <w:p w14:paraId="55C14361" w14:textId="77777777" w:rsidR="00442110" w:rsidRPr="00431183" w:rsidRDefault="00442110"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Pero se determina una debilidad directa en el comité de Denominación de Origen, porque estos se han concentrado en la aprobación, olvidando las implicaciones financieras para hacerla operativa en el corto, mediano y largo plazo, lo que se encuentra que no existe una claridad referente a los alcances y objetivos de la denominación de origen. </w:t>
      </w:r>
    </w:p>
    <w:p w14:paraId="7242CEE8" w14:textId="77777777" w:rsidR="00442110" w:rsidRPr="00431183" w:rsidRDefault="00442110" w:rsidP="00AF1E1D">
      <w:pPr>
        <w:spacing w:line="240" w:lineRule="auto"/>
        <w:ind w:firstLine="708"/>
        <w:jc w:val="both"/>
        <w:rPr>
          <w:rFonts w:ascii="Cambria" w:hAnsi="Cambria" w:cs="Arial"/>
          <w:sz w:val="24"/>
          <w:szCs w:val="24"/>
        </w:rPr>
      </w:pPr>
      <w:r w:rsidRPr="00431183">
        <w:rPr>
          <w:rFonts w:ascii="Cambria" w:hAnsi="Cambria" w:cs="Arial"/>
          <w:sz w:val="24"/>
          <w:szCs w:val="24"/>
        </w:rPr>
        <w:t>Lo anterior puede derivar que los productores de café locales no aprovechen la fortaleza de marca “Tarrazú”</w:t>
      </w:r>
      <w:r w:rsidR="00E80260" w:rsidRPr="00431183">
        <w:rPr>
          <w:rFonts w:ascii="Cambria" w:hAnsi="Cambria" w:cs="Arial"/>
          <w:sz w:val="24"/>
          <w:szCs w:val="24"/>
        </w:rPr>
        <w:t xml:space="preserve">, lo que deriva que la negociación de los contratos de café no experimente cambios significativos debido a la resistencia encontrada por parte de los productores en cambiar la producción e incluir otras actividades como la transformación y procesamiento del café. </w:t>
      </w:r>
      <w:r w:rsidRPr="00431183">
        <w:rPr>
          <w:rFonts w:ascii="Cambria" w:hAnsi="Cambria" w:cs="Arial"/>
          <w:sz w:val="24"/>
          <w:szCs w:val="24"/>
        </w:rPr>
        <w:t xml:space="preserve"> </w:t>
      </w:r>
    </w:p>
    <w:p w14:paraId="08087EFD" w14:textId="77777777" w:rsidR="00922A87" w:rsidRPr="00431183" w:rsidRDefault="00922A87" w:rsidP="00AF1E1D">
      <w:pPr>
        <w:spacing w:line="240" w:lineRule="auto"/>
        <w:ind w:firstLine="708"/>
        <w:jc w:val="both"/>
        <w:rPr>
          <w:rFonts w:ascii="Cambria" w:hAnsi="Cambria" w:cs="Arial"/>
          <w:b/>
          <w:sz w:val="24"/>
          <w:szCs w:val="24"/>
        </w:rPr>
      </w:pPr>
      <w:r w:rsidRPr="00431183">
        <w:rPr>
          <w:rFonts w:ascii="Cambria" w:hAnsi="Cambria" w:cs="Arial"/>
          <w:sz w:val="24"/>
          <w:szCs w:val="24"/>
        </w:rPr>
        <w:t xml:space="preserve">La determinación del beneficio económico atribuible a la marca </w:t>
      </w:r>
      <w:r w:rsidRPr="00431183">
        <w:rPr>
          <w:rFonts w:ascii="Cambria" w:hAnsi="Cambria" w:cs="Arial"/>
          <w:sz w:val="24"/>
          <w:szCs w:val="24"/>
        </w:rPr>
        <w:br/>
        <w:t>Denominaci</w:t>
      </w:r>
      <w:r w:rsidR="003B771C" w:rsidRPr="00431183">
        <w:rPr>
          <w:rFonts w:ascii="Cambria" w:hAnsi="Cambria" w:cs="Arial"/>
          <w:sz w:val="24"/>
          <w:szCs w:val="24"/>
        </w:rPr>
        <w:t xml:space="preserve">ón de Origen del café Tarrazú, </w:t>
      </w:r>
      <w:r w:rsidRPr="00431183">
        <w:rPr>
          <w:rFonts w:ascii="Cambria" w:hAnsi="Cambria" w:cs="Arial"/>
          <w:sz w:val="24"/>
          <w:szCs w:val="24"/>
        </w:rPr>
        <w:t xml:space="preserve">es el elemento central del proceso de valoración. El beneficio económico atribuible a la marca puede determinarse de diferentes formas, en este caso la </w:t>
      </w:r>
      <w:r w:rsidR="003B771C" w:rsidRPr="00431183">
        <w:rPr>
          <w:rFonts w:ascii="Cambria" w:hAnsi="Cambria" w:cs="Arial"/>
          <w:sz w:val="24"/>
          <w:szCs w:val="24"/>
        </w:rPr>
        <w:t xml:space="preserve">metodología utilizada es la de </w:t>
      </w:r>
      <w:r w:rsidRPr="00431183">
        <w:rPr>
          <w:rFonts w:ascii="Cambria" w:hAnsi="Cambria" w:cs="Arial"/>
          <w:sz w:val="24"/>
          <w:szCs w:val="24"/>
        </w:rPr>
        <w:t xml:space="preserve">“ahorro de royalties”. La elección de la metodología apropiada es determinante en los </w:t>
      </w:r>
      <w:r w:rsidR="003B771C" w:rsidRPr="00431183">
        <w:rPr>
          <w:rFonts w:ascii="Cambria" w:hAnsi="Cambria" w:cs="Arial"/>
          <w:sz w:val="24"/>
          <w:szCs w:val="24"/>
        </w:rPr>
        <w:t>Propósitos</w:t>
      </w:r>
      <w:r w:rsidRPr="00431183">
        <w:rPr>
          <w:rFonts w:ascii="Cambria" w:hAnsi="Cambria" w:cs="Arial"/>
          <w:sz w:val="24"/>
          <w:szCs w:val="24"/>
        </w:rPr>
        <w:t xml:space="preserve"> del Comité de Denominación de origen y el valor que la marca adquiere en el tiempo como potencial diferenciador de sus productos.</w:t>
      </w:r>
    </w:p>
    <w:p w14:paraId="48FC682E" w14:textId="77777777" w:rsidR="00922A87" w:rsidRPr="00431183" w:rsidRDefault="00922A87"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Para entender en profundidad </w:t>
      </w:r>
      <w:r w:rsidR="003B771C" w:rsidRPr="00431183">
        <w:rPr>
          <w:rFonts w:ascii="Cambria" w:hAnsi="Cambria" w:cs="Arial"/>
          <w:sz w:val="24"/>
          <w:szCs w:val="24"/>
        </w:rPr>
        <w:t>las variables utilizadas en la</w:t>
      </w:r>
      <w:r w:rsidRPr="00431183">
        <w:rPr>
          <w:rFonts w:ascii="Cambria" w:hAnsi="Cambria" w:cs="Arial"/>
          <w:sz w:val="24"/>
          <w:szCs w:val="24"/>
        </w:rPr>
        <w:t xml:space="preserve"> valoración y brindar una opinión sólida sobre el valor de la marca, es necesario conocer la estrategia de negocio, la protección legal de la marca, los planes de extensión, del Comité de Denominación de origen; por ello, es necesaria la participación de</w:t>
      </w:r>
      <w:r w:rsidR="003B771C" w:rsidRPr="00431183">
        <w:rPr>
          <w:rFonts w:ascii="Cambria" w:hAnsi="Cambria" w:cs="Arial"/>
          <w:sz w:val="24"/>
          <w:szCs w:val="24"/>
        </w:rPr>
        <w:t xml:space="preserve"> los beneficiarios implicados</w:t>
      </w:r>
      <w:r w:rsidRPr="00431183">
        <w:rPr>
          <w:rFonts w:ascii="Cambria" w:hAnsi="Cambria" w:cs="Arial"/>
          <w:sz w:val="24"/>
          <w:szCs w:val="24"/>
        </w:rPr>
        <w:t>. La valoración bien entendida, debería ser siempre un ejercicio multidisciplinar, que recomendamos realizar cada dos años.</w:t>
      </w:r>
    </w:p>
    <w:p w14:paraId="1635965D" w14:textId="77777777" w:rsidR="00081D6E" w:rsidRPr="00431183" w:rsidRDefault="00081D6E" w:rsidP="00AF1E1D">
      <w:pPr>
        <w:spacing w:line="240" w:lineRule="auto"/>
        <w:ind w:firstLine="708"/>
        <w:jc w:val="both"/>
        <w:rPr>
          <w:rFonts w:ascii="Cambria" w:hAnsi="Cambria" w:cs="Arial"/>
          <w:sz w:val="24"/>
          <w:szCs w:val="24"/>
        </w:rPr>
      </w:pPr>
      <w:r w:rsidRPr="00431183">
        <w:rPr>
          <w:rFonts w:ascii="Cambria" w:hAnsi="Cambria" w:cs="Arial"/>
          <w:sz w:val="24"/>
          <w:szCs w:val="24"/>
        </w:rPr>
        <w:t>El entendimiento de lo que es el SBD y sus alcances dentro de varios sectores es muchas veces equivocado; esto constituye una amenaza porque se originan planteamientos de cambios en la Ley, cuando no es posible esperar que el SBD sea un instrumento de política pública tan amplio y disperso en alcance y recursos como para atender todas las demandas.</w:t>
      </w:r>
    </w:p>
    <w:p w14:paraId="20D6259C" w14:textId="219541A2" w:rsidR="00081D6E" w:rsidRPr="00431183" w:rsidRDefault="005D5139" w:rsidP="00AF1E1D">
      <w:pPr>
        <w:spacing w:line="240" w:lineRule="auto"/>
        <w:ind w:firstLine="708"/>
        <w:jc w:val="both"/>
        <w:rPr>
          <w:rFonts w:ascii="Cambria" w:hAnsi="Cambria" w:cs="Arial"/>
          <w:sz w:val="24"/>
          <w:szCs w:val="24"/>
        </w:rPr>
      </w:pPr>
      <w:r w:rsidRPr="00431183">
        <w:rPr>
          <w:rFonts w:ascii="Cambria" w:hAnsi="Cambria" w:cs="Arial"/>
          <w:sz w:val="24"/>
          <w:szCs w:val="24"/>
        </w:rPr>
        <w:lastRenderedPageBreak/>
        <w:t>Aunado a lo anterior, la presente investigación precisa</w:t>
      </w:r>
      <w:r w:rsidR="00081D6E" w:rsidRPr="00431183">
        <w:rPr>
          <w:rFonts w:ascii="Cambria" w:hAnsi="Cambria" w:cs="Arial"/>
          <w:sz w:val="24"/>
          <w:szCs w:val="24"/>
        </w:rPr>
        <w:t xml:space="preserve"> la falta de una estrategia de sensibilización dirigida a los operadores financieros e instituciones colaboradoras o participantes en el sistema, produce que muchas de las frustraciones y opiniones negativas sobre el SBD provengan de la mala atención por parte de operadores, colaboradores o sus funcionarios.</w:t>
      </w:r>
    </w:p>
    <w:p w14:paraId="526D9183" w14:textId="77777777" w:rsidR="00081D6E" w:rsidRPr="00431183" w:rsidRDefault="00081D6E" w:rsidP="00AF1E1D">
      <w:pPr>
        <w:spacing w:line="240" w:lineRule="auto"/>
        <w:ind w:firstLine="708"/>
        <w:jc w:val="both"/>
        <w:rPr>
          <w:rFonts w:ascii="Cambria" w:hAnsi="Cambria" w:cs="Arial"/>
          <w:sz w:val="24"/>
          <w:szCs w:val="24"/>
        </w:rPr>
      </w:pPr>
      <w:r w:rsidRPr="00431183">
        <w:rPr>
          <w:rFonts w:ascii="Cambria" w:hAnsi="Cambria" w:cs="Arial"/>
          <w:sz w:val="24"/>
          <w:szCs w:val="24"/>
        </w:rPr>
        <w:t xml:space="preserve">El trabajo conjunto con el Instituto Nacional de Aprendizaje como ente de apoyo aún no se ha logrado, lo cual es </w:t>
      </w:r>
      <w:r w:rsidR="003B771C" w:rsidRPr="00431183">
        <w:rPr>
          <w:rFonts w:ascii="Cambria" w:hAnsi="Cambria" w:cs="Arial"/>
          <w:sz w:val="24"/>
          <w:szCs w:val="24"/>
        </w:rPr>
        <w:t>primordial para</w:t>
      </w:r>
      <w:r w:rsidRPr="00431183">
        <w:rPr>
          <w:rFonts w:ascii="Cambria" w:hAnsi="Cambria" w:cs="Arial"/>
          <w:sz w:val="24"/>
          <w:szCs w:val="24"/>
        </w:rPr>
        <w:t xml:space="preserve"> no limitar el acceso y acompañamiento que requieren sectores prioritarios de la Ley 9274. </w:t>
      </w:r>
      <w:r w:rsidR="003B771C" w:rsidRPr="00431183">
        <w:rPr>
          <w:rFonts w:ascii="Cambria" w:hAnsi="Cambria" w:cs="Arial"/>
          <w:sz w:val="24"/>
          <w:szCs w:val="24"/>
        </w:rPr>
        <w:t xml:space="preserve"> </w:t>
      </w:r>
      <w:r w:rsidRPr="00431183">
        <w:rPr>
          <w:rFonts w:ascii="Cambria" w:hAnsi="Cambria" w:cs="Arial"/>
          <w:sz w:val="24"/>
          <w:szCs w:val="24"/>
        </w:rPr>
        <w:t>Los intereses alrededor del SBD han tenido históricamente un fuerte componente político, por lo que el SBD estará en la visión central de grupos políticos para impulsar nuevas propuestas, que impliquen modificaciones del enfoque actualmente dado al sistema, desviando y hasta debilitando su alcance.</w:t>
      </w:r>
    </w:p>
    <w:p w14:paraId="50741F23" w14:textId="77777777" w:rsidR="00E80260" w:rsidRPr="00431183" w:rsidRDefault="00E80260" w:rsidP="00AF1E1D">
      <w:pPr>
        <w:spacing w:line="240" w:lineRule="auto"/>
        <w:ind w:firstLine="708"/>
        <w:jc w:val="both"/>
        <w:rPr>
          <w:rFonts w:ascii="Cambria" w:hAnsi="Cambria" w:cs="Arial"/>
          <w:sz w:val="24"/>
          <w:szCs w:val="24"/>
        </w:rPr>
      </w:pPr>
      <w:r w:rsidRPr="00431183">
        <w:rPr>
          <w:rFonts w:ascii="Cambria" w:hAnsi="Cambria" w:cs="Arial"/>
          <w:sz w:val="24"/>
          <w:szCs w:val="24"/>
        </w:rPr>
        <w:t>Lo anterior deriva en que</w:t>
      </w:r>
      <w:r w:rsidR="005D5139" w:rsidRPr="00431183">
        <w:rPr>
          <w:rFonts w:ascii="Cambria" w:hAnsi="Cambria" w:cs="Arial"/>
          <w:sz w:val="24"/>
          <w:szCs w:val="24"/>
        </w:rPr>
        <w:t>,</w:t>
      </w:r>
      <w:r w:rsidRPr="00431183">
        <w:rPr>
          <w:rFonts w:ascii="Cambria" w:hAnsi="Cambria" w:cs="Arial"/>
          <w:sz w:val="24"/>
          <w:szCs w:val="24"/>
        </w:rPr>
        <w:t xml:space="preserve"> existe una debilidad en la fuente de recursos debido a la dinámica cambiante del Sistema de Banca de Desarrollo, que complique aún más el hacer operativo la Denominación de Origen Tarrazú y alimente las resistencias encontradas por parte de los productores de café. </w:t>
      </w:r>
    </w:p>
    <w:p w14:paraId="11DB65AC" w14:textId="77777777" w:rsidR="005D5139" w:rsidRPr="00431183" w:rsidRDefault="00081D6E" w:rsidP="00AF1E1D">
      <w:pPr>
        <w:spacing w:line="240" w:lineRule="auto"/>
        <w:ind w:firstLine="708"/>
        <w:jc w:val="both"/>
        <w:rPr>
          <w:rFonts w:ascii="Cambria" w:hAnsi="Cambria" w:cs="Arial"/>
          <w:sz w:val="24"/>
          <w:szCs w:val="24"/>
        </w:rPr>
      </w:pPr>
      <w:r w:rsidRPr="00431183">
        <w:rPr>
          <w:rFonts w:ascii="Cambria" w:hAnsi="Cambria" w:cs="Arial"/>
          <w:sz w:val="24"/>
          <w:szCs w:val="24"/>
        </w:rPr>
        <w:t>La Ley 9274 ha contemplado un impuesto a la llamada banca de “maletín”. Si la recaudación de este impuesto no llega oportunamente, se limi</w:t>
      </w:r>
      <w:r w:rsidRPr="00431183">
        <w:rPr>
          <w:rFonts w:ascii="Cambria" w:hAnsi="Cambria" w:cs="Arial"/>
          <w:sz w:val="24"/>
          <w:szCs w:val="24"/>
        </w:rPr>
        <w:softHyphen/>
        <w:t>tara aún más la expansión del sistema.</w:t>
      </w:r>
      <w:r w:rsidR="003B771C" w:rsidRPr="00431183">
        <w:rPr>
          <w:rFonts w:ascii="Cambria" w:hAnsi="Cambria" w:cs="Arial"/>
          <w:sz w:val="24"/>
          <w:szCs w:val="24"/>
        </w:rPr>
        <w:t xml:space="preserve"> </w:t>
      </w:r>
    </w:p>
    <w:p w14:paraId="28D836CD" w14:textId="77777777" w:rsidR="00081D6E" w:rsidRPr="00431183" w:rsidRDefault="00682176" w:rsidP="00AF1E1D">
      <w:pPr>
        <w:spacing w:line="240" w:lineRule="auto"/>
        <w:ind w:firstLine="708"/>
        <w:jc w:val="both"/>
        <w:rPr>
          <w:rFonts w:ascii="Cambria" w:hAnsi="Cambria" w:cs="Arial"/>
          <w:sz w:val="24"/>
          <w:szCs w:val="24"/>
        </w:rPr>
      </w:pPr>
      <w:r w:rsidRPr="00431183">
        <w:rPr>
          <w:rFonts w:ascii="Cambria" w:hAnsi="Cambria" w:cs="Arial"/>
          <w:sz w:val="24"/>
          <w:szCs w:val="24"/>
        </w:rPr>
        <w:t>Otro aspecto importante que tomar</w:t>
      </w:r>
      <w:r w:rsidR="003B771C" w:rsidRPr="00431183">
        <w:rPr>
          <w:rFonts w:ascii="Cambria" w:hAnsi="Cambria" w:cs="Arial"/>
          <w:sz w:val="24"/>
          <w:szCs w:val="24"/>
        </w:rPr>
        <w:t xml:space="preserve"> en consideración son los</w:t>
      </w:r>
      <w:r w:rsidR="00081D6E" w:rsidRPr="00431183">
        <w:rPr>
          <w:rFonts w:ascii="Cambria" w:hAnsi="Cambria" w:cs="Arial"/>
          <w:sz w:val="24"/>
          <w:szCs w:val="24"/>
        </w:rPr>
        <w:t xml:space="preserve"> cambio</w:t>
      </w:r>
      <w:r w:rsidR="003B771C" w:rsidRPr="00431183">
        <w:rPr>
          <w:rFonts w:ascii="Cambria" w:hAnsi="Cambria" w:cs="Arial"/>
          <w:sz w:val="24"/>
          <w:szCs w:val="24"/>
        </w:rPr>
        <w:t>s</w:t>
      </w:r>
      <w:r w:rsidR="00081D6E" w:rsidRPr="00431183">
        <w:rPr>
          <w:rFonts w:ascii="Cambria" w:hAnsi="Cambria" w:cs="Arial"/>
          <w:sz w:val="24"/>
          <w:szCs w:val="24"/>
        </w:rPr>
        <w:t xml:space="preserve"> de gobierno cada cuatro años puede constituirse en una amenaza para la estabilidad del sistema</w:t>
      </w:r>
      <w:r w:rsidR="003B771C" w:rsidRPr="00431183">
        <w:rPr>
          <w:rFonts w:ascii="Cambria" w:hAnsi="Cambria" w:cs="Arial"/>
          <w:sz w:val="24"/>
          <w:szCs w:val="24"/>
        </w:rPr>
        <w:t xml:space="preserve">, debido a que se encontró una constante de modificaciones jurídicos al programa que no contribuye en el desarrollo de sectores. </w:t>
      </w:r>
    </w:p>
    <w:p w14:paraId="09BB1C9C" w14:textId="77777777" w:rsidR="00081D6E" w:rsidRPr="00431183" w:rsidRDefault="00E80260" w:rsidP="00AF1E1D">
      <w:pPr>
        <w:spacing w:line="240" w:lineRule="auto"/>
        <w:ind w:firstLine="360"/>
        <w:jc w:val="both"/>
        <w:rPr>
          <w:rFonts w:ascii="Cambria" w:hAnsi="Cambria" w:cs="Arial"/>
          <w:sz w:val="24"/>
          <w:szCs w:val="24"/>
        </w:rPr>
      </w:pPr>
      <w:r w:rsidRPr="00431183">
        <w:rPr>
          <w:rFonts w:ascii="Cambria" w:hAnsi="Cambria" w:cs="Arial"/>
          <w:sz w:val="24"/>
          <w:szCs w:val="24"/>
        </w:rPr>
        <w:t xml:space="preserve">De las conclusiones anteriores se derivan las siguientes recomendaciones para la implementación de la Denominación de Origen Tarrazú: </w:t>
      </w:r>
    </w:p>
    <w:p w14:paraId="6A4540BF" w14:textId="77777777" w:rsidR="00E80260" w:rsidRDefault="00E80260" w:rsidP="00431183">
      <w:pPr>
        <w:pStyle w:val="Prrafodelista"/>
        <w:numPr>
          <w:ilvl w:val="0"/>
          <w:numId w:val="26"/>
        </w:numPr>
        <w:spacing w:line="240" w:lineRule="auto"/>
        <w:jc w:val="both"/>
        <w:rPr>
          <w:rFonts w:ascii="Cambria" w:hAnsi="Cambria" w:cs="Arial"/>
          <w:sz w:val="24"/>
          <w:szCs w:val="24"/>
        </w:rPr>
      </w:pPr>
      <w:r w:rsidRPr="00431183">
        <w:rPr>
          <w:rFonts w:ascii="Cambria" w:hAnsi="Cambria" w:cs="Arial"/>
          <w:sz w:val="24"/>
          <w:szCs w:val="24"/>
        </w:rPr>
        <w:t xml:space="preserve">Desde el comité de </w:t>
      </w:r>
      <w:r w:rsidR="00DC01D4" w:rsidRPr="00431183">
        <w:rPr>
          <w:rFonts w:ascii="Cambria" w:hAnsi="Cambria" w:cs="Arial"/>
          <w:sz w:val="24"/>
          <w:szCs w:val="24"/>
        </w:rPr>
        <w:t>Do</w:t>
      </w:r>
      <w:r w:rsidRPr="00431183">
        <w:rPr>
          <w:rFonts w:ascii="Cambria" w:hAnsi="Cambria" w:cs="Arial"/>
          <w:sz w:val="24"/>
          <w:szCs w:val="24"/>
        </w:rPr>
        <w:t xml:space="preserve"> </w:t>
      </w:r>
      <w:r w:rsidR="00DC01D4" w:rsidRPr="00431183">
        <w:rPr>
          <w:rFonts w:ascii="Cambria" w:hAnsi="Cambria" w:cs="Arial"/>
          <w:sz w:val="24"/>
          <w:szCs w:val="24"/>
        </w:rPr>
        <w:t xml:space="preserve">se debe esclarecer </w:t>
      </w:r>
      <w:r w:rsidRPr="00431183">
        <w:rPr>
          <w:rFonts w:ascii="Cambria" w:hAnsi="Cambria" w:cs="Arial"/>
          <w:sz w:val="24"/>
          <w:szCs w:val="24"/>
        </w:rPr>
        <w:t xml:space="preserve">los </w:t>
      </w:r>
      <w:r w:rsidR="00E44B1F" w:rsidRPr="00431183">
        <w:rPr>
          <w:rFonts w:ascii="Cambria" w:hAnsi="Cambria" w:cs="Arial"/>
          <w:sz w:val="24"/>
          <w:szCs w:val="24"/>
        </w:rPr>
        <w:t>alcances referentes</w:t>
      </w:r>
      <w:r w:rsidRPr="00431183">
        <w:rPr>
          <w:rFonts w:ascii="Cambria" w:hAnsi="Cambria" w:cs="Arial"/>
          <w:sz w:val="24"/>
          <w:szCs w:val="24"/>
        </w:rPr>
        <w:t xml:space="preserve"> a la producción de café y sobre todo como un instrumento jurídico puede generar beneficios económicos en los tres cantones respectivamente, lo que implica un trabajo con el productor para que este comprenda las actividades que tienen que realizar para ser uso del Sello Distintivo. </w:t>
      </w:r>
    </w:p>
    <w:p w14:paraId="7DD1C270" w14:textId="77777777" w:rsidR="00E44B1F" w:rsidRDefault="00E44B1F" w:rsidP="00431183">
      <w:pPr>
        <w:pStyle w:val="Prrafodelista"/>
        <w:numPr>
          <w:ilvl w:val="0"/>
          <w:numId w:val="26"/>
        </w:numPr>
        <w:spacing w:line="240" w:lineRule="auto"/>
        <w:jc w:val="both"/>
        <w:rPr>
          <w:rFonts w:ascii="Cambria" w:hAnsi="Cambria" w:cs="Arial"/>
          <w:sz w:val="24"/>
          <w:szCs w:val="24"/>
        </w:rPr>
      </w:pPr>
      <w:r>
        <w:rPr>
          <w:rFonts w:ascii="Cambria" w:hAnsi="Cambria" w:cs="Arial"/>
          <w:sz w:val="24"/>
          <w:szCs w:val="24"/>
        </w:rPr>
        <w:t xml:space="preserve">La capacitación por medio del Comité de Denominación de Origen hacia los productores debe ser constante para fortalecer la marca y su posicionamiento. </w:t>
      </w:r>
    </w:p>
    <w:p w14:paraId="731D47D5" w14:textId="77777777" w:rsidR="00E44B1F" w:rsidRPr="00431183" w:rsidRDefault="00E44B1F" w:rsidP="00431183">
      <w:pPr>
        <w:pStyle w:val="Prrafodelista"/>
        <w:numPr>
          <w:ilvl w:val="0"/>
          <w:numId w:val="26"/>
        </w:numPr>
        <w:spacing w:line="240" w:lineRule="auto"/>
        <w:jc w:val="both"/>
        <w:rPr>
          <w:rFonts w:ascii="Cambria" w:hAnsi="Cambria" w:cs="Arial"/>
          <w:sz w:val="24"/>
          <w:szCs w:val="24"/>
        </w:rPr>
      </w:pPr>
      <w:r>
        <w:rPr>
          <w:rFonts w:ascii="Cambria" w:hAnsi="Cambria" w:cs="Arial"/>
          <w:sz w:val="24"/>
          <w:szCs w:val="24"/>
        </w:rPr>
        <w:t xml:space="preserve">La marca debe ayudar a diversificar la cantidad de productos que se ofrecen y esto implica lograr un mejor aprovechamiento del </w:t>
      </w:r>
      <w:r w:rsidR="001F4151">
        <w:rPr>
          <w:rFonts w:ascii="Cambria" w:hAnsi="Cambria" w:cs="Arial"/>
          <w:sz w:val="24"/>
          <w:szCs w:val="24"/>
        </w:rPr>
        <w:t>café mediante constantes procesos de innovación y desarrollo; por lo que creemos de suma importancia crear una unidad dentro del Comité que atienda estos procesos.</w:t>
      </w:r>
    </w:p>
    <w:p w14:paraId="4559AE0A" w14:textId="2E69E04B" w:rsidR="00E80260" w:rsidRPr="00431183" w:rsidRDefault="00E80260" w:rsidP="00431183">
      <w:pPr>
        <w:pStyle w:val="Prrafodelista"/>
        <w:numPr>
          <w:ilvl w:val="0"/>
          <w:numId w:val="26"/>
        </w:numPr>
        <w:spacing w:line="240" w:lineRule="auto"/>
        <w:jc w:val="both"/>
        <w:rPr>
          <w:rFonts w:ascii="Cambria" w:hAnsi="Cambria" w:cs="Arial"/>
          <w:sz w:val="24"/>
          <w:szCs w:val="24"/>
        </w:rPr>
      </w:pPr>
      <w:r w:rsidRPr="00431183">
        <w:rPr>
          <w:rFonts w:ascii="Cambria" w:hAnsi="Cambria" w:cs="Arial"/>
          <w:sz w:val="24"/>
          <w:szCs w:val="24"/>
        </w:rPr>
        <w:t>El comité se ha concentrado en proteger el nombre “Tarrazú” de manera legal</w:t>
      </w:r>
      <w:r w:rsidR="00FB2A5A" w:rsidRPr="00431183">
        <w:rPr>
          <w:rFonts w:ascii="Cambria" w:hAnsi="Cambria" w:cs="Arial"/>
          <w:sz w:val="24"/>
          <w:szCs w:val="24"/>
        </w:rPr>
        <w:t xml:space="preserve"> pero no ha trabajado las relaciones económicas que se pueden construir a partir de este distintivo, por ende, </w:t>
      </w:r>
      <w:r w:rsidR="00FB2A5A" w:rsidRPr="00ED3B61">
        <w:rPr>
          <w:rFonts w:ascii="Cambria" w:hAnsi="Cambria" w:cs="Arial"/>
          <w:sz w:val="24"/>
          <w:szCs w:val="24"/>
        </w:rPr>
        <w:t xml:space="preserve">se recomienda que el comité defina su ruta </w:t>
      </w:r>
      <w:r w:rsidR="00DC01D4" w:rsidRPr="00ED3B61">
        <w:rPr>
          <w:rFonts w:ascii="Cambria" w:hAnsi="Cambria" w:cs="Arial"/>
          <w:sz w:val="24"/>
          <w:szCs w:val="24"/>
        </w:rPr>
        <w:t>crítica</w:t>
      </w:r>
      <w:r w:rsidR="00FB2A5A" w:rsidRPr="00ED3B61">
        <w:rPr>
          <w:rFonts w:ascii="Cambria" w:hAnsi="Cambria" w:cs="Arial"/>
          <w:sz w:val="24"/>
          <w:szCs w:val="24"/>
        </w:rPr>
        <w:t xml:space="preserve"> </w:t>
      </w:r>
      <w:r w:rsidR="00ED3B61" w:rsidRPr="00ED3B61">
        <w:rPr>
          <w:rFonts w:ascii="Cambria" w:hAnsi="Cambria" w:cs="Arial"/>
          <w:sz w:val="24"/>
          <w:szCs w:val="24"/>
        </w:rPr>
        <w:t>que</w:t>
      </w:r>
      <w:r w:rsidR="00ED3B61">
        <w:rPr>
          <w:rFonts w:ascii="Cambria" w:hAnsi="Cambria" w:cs="Arial"/>
          <w:sz w:val="24"/>
          <w:szCs w:val="24"/>
        </w:rPr>
        <w:t xml:space="preserve"> se plantea más adelante </w:t>
      </w:r>
      <w:r w:rsidR="00FB2A5A" w:rsidRPr="00431183">
        <w:rPr>
          <w:rFonts w:ascii="Cambria" w:hAnsi="Cambria" w:cs="Arial"/>
          <w:sz w:val="24"/>
          <w:szCs w:val="24"/>
        </w:rPr>
        <w:t xml:space="preserve">de actividades una vez que la denominación de origen ha sido aprobada. </w:t>
      </w:r>
    </w:p>
    <w:p w14:paraId="1C76929F" w14:textId="77777777" w:rsidR="00FB2A5A" w:rsidRPr="00431183" w:rsidRDefault="00DC01D4" w:rsidP="00431183">
      <w:pPr>
        <w:pStyle w:val="Prrafodelista"/>
        <w:numPr>
          <w:ilvl w:val="0"/>
          <w:numId w:val="26"/>
        </w:numPr>
        <w:spacing w:line="240" w:lineRule="auto"/>
        <w:jc w:val="both"/>
        <w:rPr>
          <w:rFonts w:ascii="Cambria" w:hAnsi="Cambria" w:cs="Arial"/>
          <w:sz w:val="24"/>
          <w:szCs w:val="24"/>
        </w:rPr>
      </w:pPr>
      <w:r w:rsidRPr="00431183">
        <w:rPr>
          <w:rFonts w:ascii="Cambria" w:hAnsi="Cambria" w:cs="Arial"/>
          <w:sz w:val="24"/>
          <w:szCs w:val="24"/>
        </w:rPr>
        <w:lastRenderedPageBreak/>
        <w:t>E</w:t>
      </w:r>
      <w:r w:rsidR="00FB2A5A" w:rsidRPr="00431183">
        <w:rPr>
          <w:rFonts w:ascii="Cambria" w:hAnsi="Cambria" w:cs="Arial"/>
          <w:sz w:val="24"/>
          <w:szCs w:val="24"/>
        </w:rPr>
        <w:t xml:space="preserve">l productor apela por mecanismos que le permita obtener mayor valor al momento de negociar su producción, pero no es consiente que tiene que realizar otras actividades para mejorar la calidad del café producida y que la denominación por </w:t>
      </w:r>
      <w:r w:rsidRPr="00431183">
        <w:rPr>
          <w:rFonts w:ascii="Cambria" w:hAnsi="Cambria" w:cs="Arial"/>
          <w:sz w:val="24"/>
          <w:szCs w:val="24"/>
        </w:rPr>
        <w:t>sí</w:t>
      </w:r>
      <w:r w:rsidR="00FB2A5A" w:rsidRPr="00431183">
        <w:rPr>
          <w:rFonts w:ascii="Cambria" w:hAnsi="Cambria" w:cs="Arial"/>
          <w:sz w:val="24"/>
          <w:szCs w:val="24"/>
        </w:rPr>
        <w:t xml:space="preserve"> sola no va a brindar ese mecanismo diferenciador. </w:t>
      </w:r>
    </w:p>
    <w:p w14:paraId="0BE3A133" w14:textId="5E2211D7" w:rsidR="00FB2A5A" w:rsidRDefault="00DC01D4" w:rsidP="00AF1E1D">
      <w:pPr>
        <w:spacing w:line="240" w:lineRule="auto"/>
        <w:ind w:firstLine="360"/>
        <w:jc w:val="both"/>
        <w:rPr>
          <w:rFonts w:ascii="Cambria" w:hAnsi="Cambria" w:cs="Arial"/>
          <w:sz w:val="24"/>
          <w:szCs w:val="24"/>
        </w:rPr>
      </w:pPr>
      <w:r w:rsidRPr="00431183">
        <w:rPr>
          <w:rFonts w:ascii="Cambria" w:hAnsi="Cambria" w:cs="Arial"/>
          <w:sz w:val="24"/>
          <w:szCs w:val="24"/>
        </w:rPr>
        <w:t xml:space="preserve">Por tanto, se hace necesario que </w:t>
      </w:r>
      <w:r w:rsidR="00FB2A5A" w:rsidRPr="00431183">
        <w:rPr>
          <w:rFonts w:ascii="Cambria" w:hAnsi="Cambria" w:cs="Arial"/>
          <w:sz w:val="24"/>
          <w:szCs w:val="24"/>
        </w:rPr>
        <w:t>el comité trabaje en conjunto con los productores de café para dimensionen cada una de las implicaciones que trae consigo la Denominación de Origen Tarrazú</w:t>
      </w:r>
      <w:r w:rsidRPr="00431183">
        <w:rPr>
          <w:rFonts w:ascii="Cambria" w:hAnsi="Cambria" w:cs="Arial"/>
          <w:sz w:val="24"/>
          <w:szCs w:val="24"/>
        </w:rPr>
        <w:t>,</w:t>
      </w:r>
      <w:r w:rsidR="00FB2A5A" w:rsidRPr="00431183">
        <w:rPr>
          <w:rFonts w:ascii="Cambria" w:hAnsi="Cambria" w:cs="Arial"/>
          <w:sz w:val="24"/>
          <w:szCs w:val="24"/>
        </w:rPr>
        <w:t xml:space="preserve"> para que este no se convierta en un peso adicional para el productor, en especial, los planes de Inversión necesarios a nivel de finca que en este trabajo investigativo fueron aproximados y cuantificados.</w:t>
      </w:r>
    </w:p>
    <w:p w14:paraId="5C1352A6" w14:textId="77777777" w:rsidR="008A692F" w:rsidRDefault="008A692F" w:rsidP="00431183">
      <w:pPr>
        <w:spacing w:line="240" w:lineRule="auto"/>
        <w:ind w:left="708"/>
        <w:jc w:val="both"/>
        <w:rPr>
          <w:rFonts w:ascii="Cambria" w:hAnsi="Cambria" w:cs="Arial"/>
          <w:sz w:val="24"/>
          <w:szCs w:val="24"/>
        </w:rPr>
      </w:pPr>
    </w:p>
    <w:p w14:paraId="0AB9F368" w14:textId="77777777" w:rsidR="008A692F" w:rsidRPr="00AF1E1D" w:rsidRDefault="008A692F" w:rsidP="00AF1E1D">
      <w:pPr>
        <w:spacing w:line="240" w:lineRule="auto"/>
        <w:rPr>
          <w:rFonts w:ascii="Cambria" w:hAnsi="Cambria" w:cs="Arial"/>
          <w:b/>
          <w:sz w:val="24"/>
          <w:szCs w:val="24"/>
        </w:rPr>
      </w:pPr>
      <w:r w:rsidRPr="00AF1E1D">
        <w:rPr>
          <w:rFonts w:ascii="Cambria" w:hAnsi="Cambria" w:cs="Arial"/>
          <w:b/>
          <w:sz w:val="24"/>
          <w:szCs w:val="24"/>
        </w:rPr>
        <w:t>Propuesta de mejora Sistema de Banca para el Desarrollo</w:t>
      </w:r>
    </w:p>
    <w:p w14:paraId="1ABB8ACA" w14:textId="77777777" w:rsidR="008A692F" w:rsidRPr="00AF1E1D" w:rsidRDefault="008A692F" w:rsidP="00AF1E1D">
      <w:pPr>
        <w:spacing w:line="240" w:lineRule="auto"/>
        <w:ind w:firstLine="708"/>
        <w:jc w:val="both"/>
        <w:rPr>
          <w:rFonts w:ascii="Cambria" w:hAnsi="Cambria" w:cs="Arial"/>
          <w:sz w:val="24"/>
          <w:szCs w:val="24"/>
        </w:rPr>
      </w:pPr>
      <w:r w:rsidRPr="00AF1E1D">
        <w:rPr>
          <w:rFonts w:ascii="Cambria" w:hAnsi="Cambria" w:cs="Arial"/>
          <w:sz w:val="24"/>
          <w:szCs w:val="24"/>
        </w:rPr>
        <w:t>Las propuestas de mejora para el Sistema de Banca para el Desarrollo van direccionadas en aspectos o inconsistencias que fueron encontrados en la investigación realizada y que necesitan de un abordaje inmediato para subsanar las posibles debilidades que presente el sistema.</w:t>
      </w:r>
    </w:p>
    <w:p w14:paraId="27C82F17" w14:textId="77777777" w:rsidR="008A692F" w:rsidRPr="00AF1E1D" w:rsidRDefault="008A692F" w:rsidP="00AF1E1D">
      <w:pPr>
        <w:spacing w:line="240" w:lineRule="auto"/>
        <w:ind w:firstLine="708"/>
        <w:jc w:val="both"/>
        <w:rPr>
          <w:rFonts w:ascii="Cambria" w:hAnsi="Cambria" w:cs="Arial"/>
          <w:sz w:val="24"/>
          <w:szCs w:val="24"/>
        </w:rPr>
      </w:pPr>
      <w:r w:rsidRPr="00AF1E1D">
        <w:rPr>
          <w:rFonts w:ascii="Cambria" w:hAnsi="Cambria" w:cs="Arial"/>
          <w:sz w:val="24"/>
          <w:szCs w:val="24"/>
        </w:rPr>
        <w:t>Con Ley 9274 del 27 de noviembre de 2014, se reformó integralmente la Ley anterior (Ley 8634, “Ley del SBD, y reforma de otras leyes”), sin embargo, existen puntos de mejora para lograr una mayor transparencia, eficiencia y efectividad en el alcance del sistema.</w:t>
      </w:r>
    </w:p>
    <w:p w14:paraId="45C358AD" w14:textId="77777777" w:rsidR="008A692F" w:rsidRPr="00AF1E1D" w:rsidRDefault="008A692F" w:rsidP="00AF1E1D">
      <w:pPr>
        <w:spacing w:line="240" w:lineRule="auto"/>
        <w:ind w:firstLine="708"/>
        <w:jc w:val="both"/>
        <w:rPr>
          <w:rFonts w:ascii="Cambria" w:hAnsi="Cambria" w:cs="Arial"/>
          <w:sz w:val="24"/>
          <w:szCs w:val="24"/>
        </w:rPr>
      </w:pPr>
      <w:r w:rsidRPr="00AF1E1D">
        <w:rPr>
          <w:rFonts w:ascii="Cambria" w:hAnsi="Cambria" w:cs="Arial"/>
          <w:sz w:val="24"/>
          <w:szCs w:val="24"/>
        </w:rPr>
        <w:t>El principal aspecto identificado y en el que se encuentra un gran rezago es en la colaboración que el Instituto Nacional de Aprendizaje (INA) tiene que brindar al Sistema de Banca para el Desarrollo establecido desde la Ley 8634 (Art. 40), para lo cual dicha institución debía dedicar como mínimo un quince por ciento (15%) de sus presupuestos ordinarios y extraordinarios para el apoyo empresarial y capacitación de los proyectos financiando mediante el SBD.</w:t>
      </w:r>
    </w:p>
    <w:p w14:paraId="722DBE16" w14:textId="77777777" w:rsidR="008A692F" w:rsidRPr="00AF1E1D" w:rsidRDefault="008A692F" w:rsidP="00AF1E1D">
      <w:pPr>
        <w:spacing w:line="240" w:lineRule="auto"/>
        <w:ind w:firstLine="708"/>
        <w:jc w:val="both"/>
        <w:rPr>
          <w:rFonts w:ascii="Cambria" w:hAnsi="Cambria" w:cs="Arial"/>
          <w:sz w:val="24"/>
          <w:szCs w:val="24"/>
        </w:rPr>
      </w:pPr>
      <w:r w:rsidRPr="00AF1E1D">
        <w:rPr>
          <w:rFonts w:ascii="Cambria" w:hAnsi="Cambria" w:cs="Arial"/>
          <w:sz w:val="24"/>
          <w:szCs w:val="24"/>
        </w:rPr>
        <w:t>La propuesta de mejora en este caso va direccionada al cumpliendo de la Ley 9274 por parte del INA y se establezca de forma inmediata la creación de la unidad especializada en Banca para el Desarrollo, de tal forma que está brinde de manera pronta y cumplida el asesoramiento y capacitación requeridas por los beneficiarios de los fondos del SBD.</w:t>
      </w:r>
    </w:p>
    <w:p w14:paraId="5FE238A4" w14:textId="77777777" w:rsidR="008A692F" w:rsidRPr="00AF1E1D" w:rsidRDefault="008A692F" w:rsidP="00AF1E1D">
      <w:pPr>
        <w:spacing w:line="240" w:lineRule="auto"/>
        <w:ind w:firstLine="708"/>
        <w:jc w:val="both"/>
        <w:rPr>
          <w:rFonts w:ascii="Cambria" w:hAnsi="Cambria" w:cs="Arial"/>
          <w:sz w:val="24"/>
          <w:szCs w:val="24"/>
        </w:rPr>
      </w:pPr>
      <w:r w:rsidRPr="00AF1E1D">
        <w:rPr>
          <w:rFonts w:ascii="Cambria" w:hAnsi="Cambria" w:cs="Arial"/>
          <w:sz w:val="24"/>
          <w:szCs w:val="24"/>
        </w:rPr>
        <w:t>Para llevar a cabo esto se debe realizar una coordinación efectiva de las autoridades del gobierno en conjunto con el Presidente Ejecutivo del INA, el Consejo Rector (SBD) dada la importancia que tiene el trabajo conjunto para lograr resultados efectivos; así mismo es necesaria la fiscalización por parte de la Contraloría General de la República (CGR) para dar seguimiento a las disposiciones giradas al INA desde el informe No DFOE-EC-IF-27-2015, donde inclusive ya se hacían algunos señalamientos de manera general al desalineamiento entre el apoyo que realiza el INA al SBD.</w:t>
      </w:r>
    </w:p>
    <w:p w14:paraId="04A3E617" w14:textId="77777777" w:rsidR="008A692F" w:rsidRPr="00AF1E1D" w:rsidRDefault="008A692F" w:rsidP="00AF1E1D">
      <w:pPr>
        <w:spacing w:line="240" w:lineRule="auto"/>
        <w:ind w:firstLine="708"/>
        <w:jc w:val="both"/>
        <w:rPr>
          <w:rFonts w:ascii="Cambria" w:hAnsi="Cambria" w:cs="Arial"/>
          <w:sz w:val="24"/>
          <w:szCs w:val="24"/>
        </w:rPr>
      </w:pPr>
      <w:r w:rsidRPr="00AF1E1D">
        <w:rPr>
          <w:rFonts w:ascii="Cambria" w:hAnsi="Cambria" w:cs="Arial"/>
          <w:sz w:val="24"/>
          <w:szCs w:val="24"/>
        </w:rPr>
        <w:t xml:space="preserve">Particularmente, es necesario fiscalizar los Estados Financieros del Instituto Nacional de Aprendizaje para verificar la asignación del 15% del presupuesto, así como indicadores de gestión e impacto que estos generen en el SBD; además es de suma importancia tomar en consideración que el Sistema de Banca del Desarrollo no solo es </w:t>
      </w:r>
      <w:r w:rsidRPr="00AF1E1D">
        <w:rPr>
          <w:rFonts w:ascii="Cambria" w:hAnsi="Cambria" w:cs="Arial"/>
          <w:sz w:val="24"/>
          <w:szCs w:val="24"/>
        </w:rPr>
        <w:lastRenderedPageBreak/>
        <w:t>crédito, si no que los servicios desarrollo empresarial para los cuales este se encuentra facultado son claves, es por esto que el INA debe incorporarse de manera inmediata al SBD.</w:t>
      </w:r>
    </w:p>
    <w:p w14:paraId="1EBEB329" w14:textId="77777777" w:rsidR="008A692F" w:rsidRPr="00AF1E1D" w:rsidRDefault="008A692F" w:rsidP="00AF1E1D">
      <w:pPr>
        <w:spacing w:line="240" w:lineRule="auto"/>
        <w:ind w:firstLine="708"/>
        <w:jc w:val="both"/>
        <w:rPr>
          <w:rFonts w:ascii="Cambria" w:hAnsi="Cambria" w:cs="Arial"/>
          <w:color w:val="000000" w:themeColor="text1"/>
          <w:sz w:val="24"/>
          <w:szCs w:val="24"/>
        </w:rPr>
      </w:pPr>
      <w:r w:rsidRPr="00AF1E1D">
        <w:rPr>
          <w:rFonts w:ascii="Cambria" w:hAnsi="Cambria" w:cs="Arial"/>
          <w:sz w:val="24"/>
          <w:szCs w:val="24"/>
        </w:rPr>
        <w:t xml:space="preserve">En la </w:t>
      </w:r>
      <w:r w:rsidRPr="00AF1E1D">
        <w:rPr>
          <w:rFonts w:ascii="Cambria" w:hAnsi="Cambria" w:cs="Arial"/>
          <w:color w:val="000000" w:themeColor="text1"/>
          <w:sz w:val="24"/>
          <w:szCs w:val="24"/>
        </w:rPr>
        <w:t>aplicación de la encuesta realizada como parte de está tesis, fueron recurrentes por parte de los productores de café de la Zona de los Santos los señalamientos en cuanto a las oportunidades de mejora que a su consideración requiere el Sistema de Banca para el Desarrollo (SBD), relacionados con la mejora de trámites y en una mejor orientación de los programas con que actualmente cuenta el sistema; las sugerencias más recurrentes fueron las siguientes; mayor cantidad de capacitaciones, tasas de interés más bajas, tramites y procedimientos más ágiles.</w:t>
      </w:r>
    </w:p>
    <w:p w14:paraId="14EBE538" w14:textId="24C83DC6" w:rsidR="008A692F" w:rsidRPr="00AF1E1D" w:rsidRDefault="008A692F" w:rsidP="00AF1E1D">
      <w:pPr>
        <w:spacing w:line="240" w:lineRule="auto"/>
        <w:ind w:firstLine="708"/>
        <w:jc w:val="both"/>
        <w:rPr>
          <w:rFonts w:ascii="Cambria" w:hAnsi="Cambria" w:cs="Arial"/>
          <w:color w:val="000000" w:themeColor="text1"/>
          <w:sz w:val="24"/>
          <w:szCs w:val="24"/>
        </w:rPr>
      </w:pPr>
      <w:r w:rsidRPr="00AF1E1D">
        <w:rPr>
          <w:rFonts w:ascii="Cambria" w:hAnsi="Cambria" w:cs="Arial"/>
          <w:color w:val="000000" w:themeColor="text1"/>
          <w:sz w:val="24"/>
          <w:szCs w:val="24"/>
        </w:rPr>
        <w:t xml:space="preserve">De ahí que nuestra recomendación en </w:t>
      </w:r>
      <w:r w:rsidR="008805B2" w:rsidRPr="00AF1E1D">
        <w:rPr>
          <w:rFonts w:ascii="Cambria" w:hAnsi="Cambria" w:cs="Arial"/>
          <w:color w:val="000000" w:themeColor="text1"/>
          <w:sz w:val="24"/>
          <w:szCs w:val="24"/>
        </w:rPr>
        <w:t>esta</w:t>
      </w:r>
      <w:r w:rsidRPr="00AF1E1D">
        <w:rPr>
          <w:rFonts w:ascii="Cambria" w:hAnsi="Cambria" w:cs="Arial"/>
          <w:color w:val="000000" w:themeColor="text1"/>
          <w:sz w:val="24"/>
          <w:szCs w:val="24"/>
        </w:rPr>
        <w:t xml:space="preserve"> parte vaya direccionada a mejorar los canales de comunicación entre el SBD, operadores, beneficiarios y el propio INA con la finalidad de lograr un mayor aprovechamiento de los recursos y un mejor abordaje de la población objetivo del sistema.</w:t>
      </w:r>
    </w:p>
    <w:p w14:paraId="38C54719" w14:textId="77777777" w:rsidR="008A692F" w:rsidRPr="00AF1E1D" w:rsidRDefault="008A692F" w:rsidP="00AF1E1D">
      <w:pPr>
        <w:spacing w:line="240" w:lineRule="auto"/>
        <w:ind w:firstLine="708"/>
        <w:jc w:val="both"/>
        <w:rPr>
          <w:rFonts w:ascii="Cambria" w:hAnsi="Cambria" w:cs="Arial"/>
          <w:color w:val="000000" w:themeColor="text1"/>
          <w:sz w:val="24"/>
          <w:szCs w:val="24"/>
        </w:rPr>
      </w:pPr>
      <w:r w:rsidRPr="00AF1E1D">
        <w:rPr>
          <w:rFonts w:ascii="Cambria" w:hAnsi="Cambria" w:cs="Arial"/>
          <w:color w:val="000000" w:themeColor="text1"/>
          <w:sz w:val="24"/>
          <w:szCs w:val="24"/>
        </w:rPr>
        <w:t>Otro aspecto fundamental y que requiere de gran atención es la gran cantidad de objetivos y alcance que fueron establecidos para el Sistema de Banca para el Desarrollo, debido a que puede existir una dispersión de esfuerzos y recursos, producto de interpretaciones incorrectas de ordenamiento lógico que se debe de tener con el uso de los recursos provenientes del SBD, para producir un mayor impacto en la población objetivo del sistema.</w:t>
      </w:r>
    </w:p>
    <w:p w14:paraId="15D84046" w14:textId="30F69093" w:rsidR="008A692F" w:rsidRPr="00AF1E1D" w:rsidRDefault="008A692F" w:rsidP="00AF1E1D">
      <w:pPr>
        <w:spacing w:line="240" w:lineRule="auto"/>
        <w:ind w:firstLine="708"/>
        <w:jc w:val="both"/>
        <w:rPr>
          <w:rFonts w:ascii="Cambria" w:hAnsi="Cambria" w:cs="Arial"/>
          <w:color w:val="000000" w:themeColor="text1"/>
          <w:sz w:val="24"/>
          <w:szCs w:val="24"/>
        </w:rPr>
      </w:pPr>
      <w:r w:rsidRPr="00AF1E1D">
        <w:rPr>
          <w:rFonts w:ascii="Cambria" w:hAnsi="Cambria" w:cs="Arial"/>
          <w:color w:val="000000" w:themeColor="text1"/>
          <w:sz w:val="24"/>
          <w:szCs w:val="24"/>
        </w:rPr>
        <w:t>Por último, es importante considerar la exposición constante a la que es sometido el SBD por aspectos políticos cada cuatro años cuando se presenta el cambio de gobierno, debido a las reformulaciones de objetivos y con esto debilitando el alcance y desarrollo que se ha logrado con la Ley 9274.</w:t>
      </w:r>
    </w:p>
    <w:p w14:paraId="2426830B" w14:textId="77777777" w:rsidR="008A692F" w:rsidRPr="00AF1E1D" w:rsidRDefault="008A692F" w:rsidP="00AF1E1D">
      <w:pPr>
        <w:spacing w:line="240" w:lineRule="auto"/>
        <w:rPr>
          <w:rFonts w:ascii="Cambria" w:hAnsi="Cambria" w:cs="Arial"/>
          <w:b/>
          <w:sz w:val="24"/>
          <w:szCs w:val="24"/>
        </w:rPr>
      </w:pPr>
      <w:r w:rsidRPr="00AF1E1D">
        <w:rPr>
          <w:rFonts w:ascii="Cambria" w:hAnsi="Cambria" w:cs="Arial"/>
          <w:b/>
          <w:sz w:val="24"/>
          <w:szCs w:val="24"/>
        </w:rPr>
        <w:t>Propuesta de mejora Comité Regulador de la DO Tarrazú (Productores de café)</w:t>
      </w:r>
    </w:p>
    <w:p w14:paraId="747DFDA8" w14:textId="77777777" w:rsidR="008A692F" w:rsidRPr="00AF1E1D" w:rsidRDefault="008A692F" w:rsidP="00AF1E1D">
      <w:pPr>
        <w:spacing w:line="240" w:lineRule="auto"/>
        <w:ind w:firstLine="708"/>
        <w:jc w:val="both"/>
        <w:rPr>
          <w:rFonts w:ascii="Cambria" w:hAnsi="Cambria" w:cs="Arial"/>
          <w:sz w:val="24"/>
          <w:szCs w:val="24"/>
        </w:rPr>
      </w:pPr>
      <w:r w:rsidRPr="00AF1E1D">
        <w:rPr>
          <w:rFonts w:ascii="Cambria" w:hAnsi="Cambria" w:cs="Arial"/>
          <w:sz w:val="24"/>
          <w:szCs w:val="24"/>
        </w:rPr>
        <w:t xml:space="preserve">Las propuestas de mejora para los productores van direccionadas en debilidades encontradas en la investigación realizada y que están estrechamente relacionadas a la organización del Comité Regulador de la DO Tarrazú, por lo que es de suma importancia tomarlas en consideración para el fortalecimiento del Comité y de la propia Denominación de Origen. </w:t>
      </w:r>
    </w:p>
    <w:p w14:paraId="20790CDF" w14:textId="77777777" w:rsidR="008A692F" w:rsidRPr="00AF1E1D" w:rsidRDefault="008A692F" w:rsidP="00AF1E1D">
      <w:pPr>
        <w:spacing w:line="240" w:lineRule="auto"/>
        <w:ind w:firstLine="708"/>
        <w:jc w:val="both"/>
        <w:rPr>
          <w:rFonts w:ascii="Cambria" w:hAnsi="Cambria" w:cs="Arial"/>
          <w:color w:val="000000"/>
          <w:sz w:val="24"/>
          <w:szCs w:val="24"/>
          <w:shd w:val="clear" w:color="auto" w:fill="FFFFFF"/>
        </w:rPr>
      </w:pPr>
      <w:r w:rsidRPr="00AF1E1D">
        <w:rPr>
          <w:rFonts w:ascii="Cambria" w:hAnsi="Cambria" w:cs="Arial"/>
          <w:sz w:val="24"/>
          <w:szCs w:val="24"/>
        </w:rPr>
        <w:t xml:space="preserve">En el caso de los productores y propiamente desde el Comité de Denominación de Origen se evidenció en esta investigación algunos problemas administrativos de la organización que hacen que muchos de los procesos para obtener la denominación de origen se hayan tardado más del tiempo previsto, como sucedió en 2015 con el conflicto que se mantuvo por 3 años con el Instituto del Café de Costa Rica (ICAFE), debido a que este quería aplicar la DO a una región ampliada que incluía las zonas de </w:t>
      </w:r>
      <w:r w:rsidRPr="00AF1E1D">
        <w:rPr>
          <w:rFonts w:ascii="Cambria" w:hAnsi="Cambria" w:cs="Arial"/>
          <w:color w:val="000000"/>
          <w:sz w:val="24"/>
          <w:szCs w:val="24"/>
          <w:shd w:val="clear" w:color="auto" w:fill="FFFFFF"/>
        </w:rPr>
        <w:t>Aserrí, Acosta, Desamparados y Corralillo de Cartago.</w:t>
      </w:r>
    </w:p>
    <w:p w14:paraId="5EEF7DC8" w14:textId="1DFCF691" w:rsidR="008A692F" w:rsidRPr="00AF1E1D" w:rsidRDefault="008A692F" w:rsidP="00AF1E1D">
      <w:pPr>
        <w:spacing w:line="240" w:lineRule="auto"/>
        <w:ind w:firstLine="708"/>
        <w:jc w:val="both"/>
        <w:rPr>
          <w:rFonts w:ascii="Cambria" w:hAnsi="Cambria" w:cs="Arial"/>
          <w:sz w:val="24"/>
          <w:szCs w:val="24"/>
        </w:rPr>
      </w:pPr>
      <w:r w:rsidRPr="00AF1E1D">
        <w:rPr>
          <w:rFonts w:ascii="Cambria" w:hAnsi="Cambria" w:cs="Arial"/>
          <w:sz w:val="24"/>
          <w:szCs w:val="24"/>
        </w:rPr>
        <w:t xml:space="preserve">Otro aspecto de mejora que debe implementarse es la capacitación hacia los productores es fundamental que ellos comprendan cada una de las etapas del proceso de DO para lograr una mejorar integración entre cada uno de los actores. En esta investigación realizada se </w:t>
      </w:r>
      <w:r w:rsidR="008805B2" w:rsidRPr="00AF1E1D">
        <w:rPr>
          <w:rFonts w:ascii="Cambria" w:hAnsi="Cambria" w:cs="Arial"/>
          <w:sz w:val="24"/>
          <w:szCs w:val="24"/>
        </w:rPr>
        <w:t>logró</w:t>
      </w:r>
      <w:r w:rsidRPr="00AF1E1D">
        <w:rPr>
          <w:rFonts w:ascii="Cambria" w:hAnsi="Cambria" w:cs="Arial"/>
          <w:sz w:val="24"/>
          <w:szCs w:val="24"/>
        </w:rPr>
        <w:t xml:space="preserve"> determinar el poco o nulo conocimiento de la mayoría </w:t>
      </w:r>
      <w:r w:rsidRPr="00AF1E1D">
        <w:rPr>
          <w:rFonts w:ascii="Cambria" w:hAnsi="Cambria" w:cs="Arial"/>
          <w:sz w:val="24"/>
          <w:szCs w:val="24"/>
        </w:rPr>
        <w:lastRenderedPageBreak/>
        <w:t xml:space="preserve">de los productores sobre temas fundamentales de la DO y que estos a su vez dejaban toda la responsabilidad de los procedimientos y procesos al Comité sin informarse sobre la etapa en la que se encuentra actualmente la DO. Además se </w:t>
      </w:r>
      <w:r w:rsidR="008805B2" w:rsidRPr="00AF1E1D">
        <w:rPr>
          <w:rFonts w:ascii="Cambria" w:hAnsi="Cambria" w:cs="Arial"/>
          <w:sz w:val="24"/>
          <w:szCs w:val="24"/>
        </w:rPr>
        <w:t>logró</w:t>
      </w:r>
      <w:r w:rsidRPr="00AF1E1D">
        <w:rPr>
          <w:rFonts w:ascii="Cambria" w:hAnsi="Cambria" w:cs="Arial"/>
          <w:sz w:val="24"/>
          <w:szCs w:val="24"/>
        </w:rPr>
        <w:t xml:space="preserve"> identificar que las capacitaciones o charlas impartidas eran poco entendibles por los productores dado que las mismas se ofrecían con muchos tecnicismos o no existía la claridad deseable en las explicaciones que les brindaban.  </w:t>
      </w:r>
    </w:p>
    <w:p w14:paraId="24B95965" w14:textId="6B335F01" w:rsidR="008A692F" w:rsidRPr="00AF1E1D" w:rsidRDefault="008805B2" w:rsidP="00AF1E1D">
      <w:pPr>
        <w:spacing w:line="240" w:lineRule="auto"/>
        <w:ind w:firstLine="708"/>
        <w:jc w:val="both"/>
        <w:rPr>
          <w:rFonts w:ascii="Cambria" w:hAnsi="Cambria" w:cs="Arial"/>
          <w:sz w:val="24"/>
          <w:szCs w:val="24"/>
        </w:rPr>
      </w:pPr>
      <w:r>
        <w:rPr>
          <w:rFonts w:ascii="Cambria" w:hAnsi="Cambria" w:cs="Arial"/>
          <w:sz w:val="24"/>
          <w:szCs w:val="24"/>
        </w:rPr>
        <w:t xml:space="preserve">Es </w:t>
      </w:r>
      <w:r w:rsidR="008A692F" w:rsidRPr="00AF1E1D">
        <w:rPr>
          <w:rFonts w:ascii="Cambria" w:hAnsi="Cambria" w:cs="Arial"/>
          <w:sz w:val="24"/>
          <w:szCs w:val="24"/>
        </w:rPr>
        <w:t>importante</w:t>
      </w:r>
      <w:r>
        <w:rPr>
          <w:rFonts w:ascii="Cambria" w:hAnsi="Cambria" w:cs="Arial"/>
          <w:sz w:val="24"/>
          <w:szCs w:val="24"/>
        </w:rPr>
        <w:t xml:space="preserve"> </w:t>
      </w:r>
      <w:r w:rsidR="008A692F" w:rsidRPr="00AF1E1D">
        <w:rPr>
          <w:rFonts w:ascii="Cambria" w:hAnsi="Cambria" w:cs="Arial"/>
          <w:sz w:val="24"/>
          <w:szCs w:val="24"/>
        </w:rPr>
        <w:t xml:space="preserve">considerar que debe servir como experiencia </w:t>
      </w:r>
      <w:r>
        <w:rPr>
          <w:rFonts w:ascii="Cambria" w:hAnsi="Cambria" w:cs="Arial"/>
          <w:sz w:val="24"/>
          <w:szCs w:val="24"/>
        </w:rPr>
        <w:t>para</w:t>
      </w:r>
      <w:r w:rsidR="008A692F" w:rsidRPr="00AF1E1D">
        <w:rPr>
          <w:rFonts w:ascii="Cambria" w:hAnsi="Cambria" w:cs="Arial"/>
          <w:sz w:val="24"/>
          <w:szCs w:val="24"/>
        </w:rPr>
        <w:t xml:space="preserve"> los productores de la Zona de los Santos en temas de Denominación de Origen en Costa Rica es el de los lecheros de la zona de Santa Cruz y Santa Teresita de Turrialba, quienes a pesar de contar con una DO para el queso bajo la marca Turrialba, han tenido problemas en la organización que les ha impedido aplicarlo causando que todavía el queso de esa región no se venda con esa denominación.</w:t>
      </w:r>
    </w:p>
    <w:p w14:paraId="75A73534" w14:textId="77777777" w:rsidR="008A692F" w:rsidRPr="00AF1E1D" w:rsidRDefault="008A692F" w:rsidP="00AF1E1D">
      <w:pPr>
        <w:spacing w:line="240" w:lineRule="auto"/>
        <w:ind w:firstLine="708"/>
        <w:jc w:val="both"/>
        <w:rPr>
          <w:rFonts w:ascii="Cambria" w:hAnsi="Cambria" w:cs="Arial"/>
          <w:sz w:val="24"/>
          <w:szCs w:val="24"/>
        </w:rPr>
      </w:pPr>
      <w:r w:rsidRPr="00AF1E1D">
        <w:rPr>
          <w:rFonts w:ascii="Cambria" w:hAnsi="Cambria" w:cs="Arial"/>
          <w:sz w:val="24"/>
          <w:szCs w:val="24"/>
        </w:rPr>
        <w:t>Es de suma importancia solventar los actuales problemas administrativos y de organización son necesarios debido a que el proceso de DO exige por parte del Registro de la Propiedad Industrial, la integración de un Comité Técnico, este garantizaría que se cumplan los requisitos para que un productor pueda hacer uso de la DO; además de realizar inspecciones periódicas para verificar ese cumplimiento. Asimismo, se tendrá que conformar un Consejo Regulador que se encargará de ver todos los aspectos relacionados con la DO.</w:t>
      </w:r>
    </w:p>
    <w:p w14:paraId="2AB110F7" w14:textId="32E6757A" w:rsidR="008A692F" w:rsidRDefault="008A692F" w:rsidP="00AF1E1D">
      <w:pPr>
        <w:spacing w:line="240" w:lineRule="auto"/>
        <w:ind w:firstLine="708"/>
        <w:jc w:val="both"/>
        <w:rPr>
          <w:rFonts w:ascii="Arial" w:hAnsi="Arial" w:cs="Arial"/>
          <w:sz w:val="24"/>
          <w:szCs w:val="24"/>
        </w:rPr>
      </w:pPr>
      <w:r w:rsidRPr="00AF1E1D">
        <w:rPr>
          <w:rFonts w:ascii="Cambria" w:hAnsi="Cambria" w:cs="Arial"/>
          <w:sz w:val="24"/>
          <w:szCs w:val="24"/>
        </w:rPr>
        <w:t>La DO es de suma importancia para el desarrollo y crecimiento de la Zona de los Santos, el registro que tramitan los cafetaleros de la Zona de los Santos permitirá que la denominación sea utilizada tanto por los productores, los beneficios y por café tostado que cumplan con los requisitos previamente establecidos</w:t>
      </w:r>
      <w:r w:rsidRPr="007B3150">
        <w:rPr>
          <w:rFonts w:ascii="Arial" w:hAnsi="Arial" w:cs="Arial"/>
          <w:sz w:val="24"/>
          <w:szCs w:val="24"/>
        </w:rPr>
        <w:t>.</w:t>
      </w:r>
    </w:p>
    <w:p w14:paraId="629B6455" w14:textId="1F1CD62E" w:rsidR="00F903C5" w:rsidRPr="007B3150" w:rsidRDefault="00F903C5" w:rsidP="00AF1E1D">
      <w:pPr>
        <w:spacing w:line="240" w:lineRule="auto"/>
        <w:jc w:val="both"/>
        <w:rPr>
          <w:rFonts w:ascii="Arial" w:hAnsi="Arial" w:cs="Arial"/>
          <w:sz w:val="24"/>
          <w:szCs w:val="24"/>
        </w:rPr>
      </w:pPr>
    </w:p>
    <w:p w14:paraId="65E49DFB" w14:textId="77777777" w:rsidR="008A692F" w:rsidRPr="00DE3137" w:rsidRDefault="008A692F" w:rsidP="008A692F">
      <w:pPr>
        <w:jc w:val="both"/>
        <w:rPr>
          <w:rFonts w:ascii="Arial" w:hAnsi="Arial" w:cs="Arial"/>
          <w:sz w:val="24"/>
          <w:szCs w:val="24"/>
        </w:rPr>
      </w:pPr>
    </w:p>
    <w:p w14:paraId="3234311B" w14:textId="174CA011" w:rsidR="007545D7" w:rsidRDefault="007545D7" w:rsidP="00431183">
      <w:pPr>
        <w:spacing w:line="240" w:lineRule="auto"/>
        <w:ind w:left="708"/>
        <w:jc w:val="both"/>
        <w:rPr>
          <w:rFonts w:ascii="Cambria" w:hAnsi="Cambria" w:cs="Arial"/>
          <w:sz w:val="24"/>
          <w:szCs w:val="24"/>
        </w:rPr>
      </w:pPr>
    </w:p>
    <w:p w14:paraId="71A57C0C" w14:textId="7494CA53" w:rsidR="007545D7" w:rsidRDefault="007545D7" w:rsidP="00431183">
      <w:pPr>
        <w:spacing w:line="240" w:lineRule="auto"/>
        <w:ind w:left="708"/>
        <w:jc w:val="both"/>
        <w:rPr>
          <w:rFonts w:ascii="Cambria" w:hAnsi="Cambria" w:cs="Arial"/>
          <w:sz w:val="24"/>
          <w:szCs w:val="24"/>
        </w:rPr>
      </w:pPr>
    </w:p>
    <w:p w14:paraId="0B22B6A2" w14:textId="4DC52EA8" w:rsidR="007545D7" w:rsidRDefault="007545D7" w:rsidP="00431183">
      <w:pPr>
        <w:spacing w:line="240" w:lineRule="auto"/>
        <w:ind w:left="708"/>
        <w:jc w:val="both"/>
        <w:rPr>
          <w:rFonts w:ascii="Cambria" w:hAnsi="Cambria" w:cs="Arial"/>
          <w:sz w:val="24"/>
          <w:szCs w:val="24"/>
        </w:rPr>
      </w:pPr>
    </w:p>
    <w:p w14:paraId="209BB9A7" w14:textId="112DEE3F" w:rsidR="007545D7" w:rsidRDefault="007545D7" w:rsidP="00431183">
      <w:pPr>
        <w:spacing w:line="240" w:lineRule="auto"/>
        <w:ind w:left="708"/>
        <w:jc w:val="both"/>
        <w:rPr>
          <w:rFonts w:ascii="Cambria" w:hAnsi="Cambria" w:cs="Arial"/>
          <w:sz w:val="24"/>
          <w:szCs w:val="24"/>
        </w:rPr>
      </w:pPr>
    </w:p>
    <w:p w14:paraId="2A19B1AB" w14:textId="36C1AB3D" w:rsidR="007545D7" w:rsidRDefault="007545D7" w:rsidP="00431183">
      <w:pPr>
        <w:spacing w:line="240" w:lineRule="auto"/>
        <w:ind w:left="708"/>
        <w:jc w:val="both"/>
        <w:rPr>
          <w:rFonts w:ascii="Cambria" w:hAnsi="Cambria" w:cs="Arial"/>
          <w:sz w:val="24"/>
          <w:szCs w:val="24"/>
        </w:rPr>
      </w:pPr>
    </w:p>
    <w:p w14:paraId="3ED30CE4" w14:textId="41A2567A" w:rsidR="007545D7" w:rsidRDefault="007545D7" w:rsidP="00431183">
      <w:pPr>
        <w:spacing w:line="240" w:lineRule="auto"/>
        <w:ind w:left="708"/>
        <w:jc w:val="both"/>
        <w:rPr>
          <w:rFonts w:ascii="Cambria" w:hAnsi="Cambria" w:cs="Arial"/>
          <w:sz w:val="24"/>
          <w:szCs w:val="24"/>
        </w:rPr>
      </w:pPr>
    </w:p>
    <w:p w14:paraId="0BDC6362" w14:textId="20DD7102" w:rsidR="007545D7" w:rsidRDefault="007545D7" w:rsidP="00431183">
      <w:pPr>
        <w:spacing w:line="240" w:lineRule="auto"/>
        <w:ind w:left="708"/>
        <w:jc w:val="both"/>
        <w:rPr>
          <w:rFonts w:ascii="Cambria" w:hAnsi="Cambria" w:cs="Arial"/>
          <w:sz w:val="24"/>
          <w:szCs w:val="24"/>
        </w:rPr>
      </w:pPr>
    </w:p>
    <w:p w14:paraId="6A451B5D" w14:textId="78379D1E" w:rsidR="007545D7" w:rsidRDefault="007545D7" w:rsidP="00431183">
      <w:pPr>
        <w:spacing w:line="240" w:lineRule="auto"/>
        <w:ind w:left="708"/>
        <w:jc w:val="both"/>
        <w:rPr>
          <w:rFonts w:ascii="Cambria" w:hAnsi="Cambria" w:cs="Arial"/>
          <w:sz w:val="24"/>
          <w:szCs w:val="24"/>
        </w:rPr>
      </w:pPr>
    </w:p>
    <w:p w14:paraId="67654585" w14:textId="77777777" w:rsidR="00922A87" w:rsidRPr="00431183" w:rsidRDefault="00922A87" w:rsidP="00431183">
      <w:pPr>
        <w:spacing w:line="240" w:lineRule="auto"/>
        <w:jc w:val="both"/>
        <w:rPr>
          <w:rFonts w:ascii="Cambria" w:hAnsi="Cambria" w:cs="Arial"/>
          <w:sz w:val="24"/>
          <w:szCs w:val="24"/>
        </w:rPr>
      </w:pPr>
    </w:p>
    <w:p w14:paraId="3328E286" w14:textId="77777777" w:rsidR="00922A87" w:rsidRPr="00431183" w:rsidRDefault="00922A87" w:rsidP="00431183">
      <w:pPr>
        <w:spacing w:line="240" w:lineRule="auto"/>
        <w:jc w:val="both"/>
        <w:rPr>
          <w:rFonts w:ascii="Cambria" w:hAnsi="Cambria" w:cs="Arial"/>
          <w:sz w:val="24"/>
          <w:szCs w:val="24"/>
        </w:rPr>
      </w:pPr>
    </w:p>
    <w:p w14:paraId="4286F50A" w14:textId="77777777" w:rsidR="00922A87" w:rsidRPr="00431183" w:rsidRDefault="00922A87" w:rsidP="00431183">
      <w:pPr>
        <w:spacing w:line="240" w:lineRule="auto"/>
        <w:jc w:val="both"/>
        <w:rPr>
          <w:rFonts w:ascii="Cambria" w:hAnsi="Cambria" w:cs="Arial"/>
          <w:sz w:val="24"/>
          <w:szCs w:val="24"/>
        </w:rPr>
      </w:pPr>
    </w:p>
    <w:bookmarkStart w:id="121" w:name="_Toc527576969" w:displacedByCustomXml="next"/>
    <w:sdt>
      <w:sdtPr>
        <w:rPr>
          <w:rFonts w:ascii="Cambria" w:eastAsiaTheme="minorHAnsi" w:hAnsi="Cambria" w:cs="Arial"/>
          <w:color w:val="auto"/>
          <w:sz w:val="24"/>
          <w:szCs w:val="24"/>
          <w:lang w:val="es-ES" w:eastAsia="en-US"/>
        </w:rPr>
        <w:id w:val="-252823315"/>
        <w:docPartObj>
          <w:docPartGallery w:val="Bibliographies"/>
          <w:docPartUnique/>
        </w:docPartObj>
      </w:sdtPr>
      <w:sdtEndPr>
        <w:rPr>
          <w:b/>
          <w:bCs/>
          <w:lang w:val="es-CR"/>
        </w:rPr>
      </w:sdtEndPr>
      <w:sdtContent>
        <w:p w14:paraId="4E73499D" w14:textId="77777777" w:rsidR="003149B3" w:rsidRPr="00431183" w:rsidRDefault="003149B3" w:rsidP="00431183">
          <w:pPr>
            <w:pStyle w:val="Ttulo1"/>
            <w:spacing w:line="240" w:lineRule="auto"/>
            <w:jc w:val="center"/>
            <w:rPr>
              <w:rFonts w:ascii="Cambria" w:hAnsi="Cambria" w:cs="Arial"/>
              <w:b/>
              <w:color w:val="auto"/>
              <w:sz w:val="24"/>
              <w:szCs w:val="24"/>
              <w:lang w:val="es-ES"/>
            </w:rPr>
          </w:pPr>
          <w:r w:rsidRPr="00431183">
            <w:rPr>
              <w:rFonts w:ascii="Cambria" w:hAnsi="Cambria" w:cs="Arial"/>
              <w:b/>
              <w:color w:val="auto"/>
              <w:sz w:val="24"/>
              <w:szCs w:val="24"/>
              <w:lang w:val="es-ES"/>
            </w:rPr>
            <w:t>Bibliografía</w:t>
          </w:r>
          <w:bookmarkEnd w:id="121"/>
        </w:p>
        <w:p w14:paraId="4CE187D7" w14:textId="77777777" w:rsidR="00AF1E1D" w:rsidRPr="00AF1E1D" w:rsidRDefault="005C7CB3" w:rsidP="00AF1E1D">
          <w:pPr>
            <w:pStyle w:val="Bibliografa"/>
            <w:ind w:left="720" w:hanging="720"/>
            <w:jc w:val="both"/>
            <w:rPr>
              <w:rFonts w:cstheme="minorHAnsi"/>
              <w:noProof/>
              <w:sz w:val="24"/>
              <w:szCs w:val="24"/>
              <w:lang w:val="es-ES"/>
            </w:rPr>
          </w:pPr>
          <w:r w:rsidRPr="00AF1E1D">
            <w:rPr>
              <w:rFonts w:cstheme="minorHAnsi"/>
              <w:sz w:val="24"/>
              <w:szCs w:val="24"/>
            </w:rPr>
            <w:fldChar w:fldCharType="begin"/>
          </w:r>
          <w:r w:rsidR="003149B3" w:rsidRPr="00AF1E1D">
            <w:rPr>
              <w:rFonts w:cstheme="minorHAnsi"/>
              <w:sz w:val="24"/>
              <w:szCs w:val="24"/>
            </w:rPr>
            <w:instrText>BIBLIOGRAPHY</w:instrText>
          </w:r>
          <w:r w:rsidRPr="00AF1E1D">
            <w:rPr>
              <w:rFonts w:cstheme="minorHAnsi"/>
              <w:sz w:val="24"/>
              <w:szCs w:val="24"/>
            </w:rPr>
            <w:fldChar w:fldCharType="separate"/>
          </w:r>
          <w:r w:rsidR="00AF1E1D" w:rsidRPr="00AF1E1D">
            <w:rPr>
              <w:rFonts w:cstheme="minorHAnsi"/>
              <w:noProof/>
              <w:sz w:val="24"/>
              <w:szCs w:val="24"/>
              <w:lang w:val="es-ES"/>
            </w:rPr>
            <w:t xml:space="preserve">Alfaro Azofeifa, C. (2012). </w:t>
          </w:r>
          <w:r w:rsidR="00AF1E1D" w:rsidRPr="00AF1E1D">
            <w:rPr>
              <w:rFonts w:cstheme="minorHAnsi"/>
              <w:i/>
              <w:iCs/>
              <w:noProof/>
              <w:sz w:val="24"/>
              <w:szCs w:val="24"/>
              <w:lang w:val="es-ES"/>
            </w:rPr>
            <w:t>Analisis del sector vivienda en Costa Rica.</w:t>
          </w:r>
          <w:r w:rsidR="00AF1E1D" w:rsidRPr="00AF1E1D">
            <w:rPr>
              <w:rFonts w:cstheme="minorHAnsi"/>
              <w:noProof/>
              <w:sz w:val="24"/>
              <w:szCs w:val="24"/>
              <w:lang w:val="es-ES"/>
            </w:rPr>
            <w:t xml:space="preserve"> San José: SCRiesgo.</w:t>
          </w:r>
        </w:p>
        <w:p w14:paraId="03252E7B"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Araújo, A. M. (2009). Nuevos apuntes para el desarrollo local. . </w:t>
          </w:r>
          <w:r w:rsidRPr="00AF1E1D">
            <w:rPr>
              <w:rFonts w:cstheme="minorHAnsi"/>
              <w:i/>
              <w:iCs/>
              <w:noProof/>
              <w:sz w:val="24"/>
              <w:szCs w:val="24"/>
              <w:lang w:val="es-ES"/>
            </w:rPr>
            <w:t>Cuadernos del Claeh</w:t>
          </w:r>
          <w:r w:rsidRPr="00AF1E1D">
            <w:rPr>
              <w:rFonts w:cstheme="minorHAnsi"/>
              <w:noProof/>
              <w:sz w:val="24"/>
              <w:szCs w:val="24"/>
              <w:lang w:val="es-ES"/>
            </w:rPr>
            <w:t>, 109-142.</w:t>
          </w:r>
        </w:p>
        <w:p w14:paraId="4474E353"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Arce, A. (2006). </w:t>
          </w:r>
          <w:r w:rsidRPr="00AF1E1D">
            <w:rPr>
              <w:rFonts w:cstheme="minorHAnsi"/>
              <w:i/>
              <w:iCs/>
              <w:noProof/>
              <w:sz w:val="24"/>
              <w:szCs w:val="24"/>
              <w:lang w:val="es-ES"/>
            </w:rPr>
            <w:t>Reformas Financieras en Costa Rica para una banca competitiva y Solidad .</w:t>
          </w:r>
          <w:r w:rsidRPr="00AF1E1D">
            <w:rPr>
              <w:rFonts w:cstheme="minorHAnsi"/>
              <w:noProof/>
              <w:sz w:val="24"/>
              <w:szCs w:val="24"/>
              <w:lang w:val="es-ES"/>
            </w:rPr>
            <w:t xml:space="preserve"> San José: Universidad Estatal a Distancia .</w:t>
          </w:r>
        </w:p>
        <w:p w14:paraId="5341BB4C"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Arrighi, G., &amp; Grangel, J. (1986). The Stratification of the World-economy: An Exploration of the Semiperipheral Zone. </w:t>
          </w:r>
          <w:r w:rsidRPr="00AF1E1D">
            <w:rPr>
              <w:rFonts w:cstheme="minorHAnsi"/>
              <w:i/>
              <w:iCs/>
              <w:noProof/>
              <w:sz w:val="24"/>
              <w:szCs w:val="24"/>
              <w:lang w:val="es-ES"/>
            </w:rPr>
            <w:t>Review</w:t>
          </w:r>
          <w:r w:rsidRPr="00AF1E1D">
            <w:rPr>
              <w:rFonts w:cstheme="minorHAnsi"/>
              <w:noProof/>
              <w:sz w:val="24"/>
              <w:szCs w:val="24"/>
              <w:lang w:val="es-ES"/>
            </w:rPr>
            <w:t>, 9-74.</w:t>
          </w:r>
        </w:p>
        <w:p w14:paraId="1BBB42C8"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Banco Mundial. (1989). Financial Liberalization in Developing Countries . </w:t>
          </w:r>
          <w:r w:rsidRPr="00AF1E1D">
            <w:rPr>
              <w:rFonts w:cstheme="minorHAnsi"/>
              <w:i/>
              <w:iCs/>
              <w:noProof/>
              <w:sz w:val="24"/>
              <w:szCs w:val="24"/>
              <w:lang w:val="es-ES"/>
            </w:rPr>
            <w:t xml:space="preserve">Banco Mundial </w:t>
          </w:r>
          <w:r w:rsidRPr="00AF1E1D">
            <w:rPr>
              <w:rFonts w:cstheme="minorHAnsi"/>
              <w:noProof/>
              <w:sz w:val="24"/>
              <w:szCs w:val="24"/>
              <w:lang w:val="es-ES"/>
            </w:rPr>
            <w:t>, 1-21.</w:t>
          </w:r>
        </w:p>
        <w:p w14:paraId="79FDA2E8"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Berges, M., &amp; Casellas, K. (2009). Confianza en las certificaciones y disposición a pagar por la calidad de los alimentos. </w:t>
          </w:r>
          <w:r w:rsidRPr="00AF1E1D">
            <w:rPr>
              <w:rFonts w:cstheme="minorHAnsi"/>
              <w:i/>
              <w:iCs/>
              <w:noProof/>
              <w:sz w:val="24"/>
              <w:szCs w:val="24"/>
              <w:lang w:val="es-ES"/>
            </w:rPr>
            <w:t>FACES</w:t>
          </w:r>
          <w:r w:rsidRPr="00AF1E1D">
            <w:rPr>
              <w:rFonts w:cstheme="minorHAnsi"/>
              <w:noProof/>
              <w:sz w:val="24"/>
              <w:szCs w:val="24"/>
              <w:lang w:val="es-ES"/>
            </w:rPr>
            <w:t>, 32-33.</w:t>
          </w:r>
        </w:p>
        <w:p w14:paraId="125F9D96"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Boisier, S. (2004). Desarrollo Territorial y Descentralización. El desarrollo en el lugar y en las manos de la gente . </w:t>
          </w:r>
          <w:r w:rsidRPr="00AF1E1D">
            <w:rPr>
              <w:rFonts w:cstheme="minorHAnsi"/>
              <w:i/>
              <w:iCs/>
              <w:noProof/>
              <w:sz w:val="24"/>
              <w:szCs w:val="24"/>
              <w:lang w:val="es-ES"/>
            </w:rPr>
            <w:t>Eure</w:t>
          </w:r>
          <w:r w:rsidRPr="00AF1E1D">
            <w:rPr>
              <w:rFonts w:cstheme="minorHAnsi"/>
              <w:noProof/>
              <w:sz w:val="24"/>
              <w:szCs w:val="24"/>
              <w:lang w:val="es-ES"/>
            </w:rPr>
            <w:t>, 27-40.</w:t>
          </w:r>
        </w:p>
        <w:p w14:paraId="792D4E58"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Bonilla, E. (2008). Realidad de las comunidades rurales de Costa Rica. </w:t>
          </w:r>
          <w:r w:rsidRPr="00AF1E1D">
            <w:rPr>
              <w:rFonts w:cstheme="minorHAnsi"/>
              <w:i/>
              <w:iCs/>
              <w:noProof/>
              <w:sz w:val="24"/>
              <w:szCs w:val="24"/>
              <w:lang w:val="es-ES"/>
            </w:rPr>
            <w:t>Revista Educare</w:t>
          </w:r>
          <w:r w:rsidRPr="00AF1E1D">
            <w:rPr>
              <w:rFonts w:cstheme="minorHAnsi"/>
              <w:noProof/>
              <w:sz w:val="24"/>
              <w:szCs w:val="24"/>
              <w:lang w:val="es-ES"/>
            </w:rPr>
            <w:t>, 47-59.</w:t>
          </w:r>
        </w:p>
        <w:p w14:paraId="5A23716A"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Buchieri, F., Pereyra, A., &amp; Mancha, T. (2012). Contribuciones del Desarrollo Financiero al Crecimiento Económico: Aspectos Teóricos y Empíricos de Largo Plazo . </w:t>
          </w:r>
          <w:r w:rsidRPr="00AF1E1D">
            <w:rPr>
              <w:rFonts w:cstheme="minorHAnsi"/>
              <w:i/>
              <w:iCs/>
              <w:noProof/>
              <w:sz w:val="24"/>
              <w:szCs w:val="24"/>
              <w:lang w:val="es-ES"/>
            </w:rPr>
            <w:t>IAES</w:t>
          </w:r>
          <w:r w:rsidRPr="00AF1E1D">
            <w:rPr>
              <w:rFonts w:cstheme="minorHAnsi"/>
              <w:noProof/>
              <w:sz w:val="24"/>
              <w:szCs w:val="24"/>
              <w:lang w:val="es-ES"/>
            </w:rPr>
            <w:t>, 4-53.</w:t>
          </w:r>
        </w:p>
        <w:p w14:paraId="1CC2DBA2"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Buendía, I. (2014). Desarrollo territorial rural y cooperativas: Un análisis desde las políticas públicas . </w:t>
          </w:r>
          <w:r w:rsidRPr="00AF1E1D">
            <w:rPr>
              <w:rFonts w:cstheme="minorHAnsi"/>
              <w:i/>
              <w:iCs/>
              <w:noProof/>
              <w:sz w:val="24"/>
              <w:szCs w:val="24"/>
              <w:lang w:val="es-ES"/>
            </w:rPr>
            <w:t xml:space="preserve">Cuadernos de Desarrollo Rural </w:t>
          </w:r>
          <w:r w:rsidRPr="00AF1E1D">
            <w:rPr>
              <w:rFonts w:cstheme="minorHAnsi"/>
              <w:noProof/>
              <w:sz w:val="24"/>
              <w:szCs w:val="24"/>
              <w:lang w:val="es-ES"/>
            </w:rPr>
            <w:t>, 35-54.</w:t>
          </w:r>
        </w:p>
        <w:p w14:paraId="7A708D72"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Camacho, A. (2014). </w:t>
          </w:r>
          <w:r w:rsidRPr="00AF1E1D">
            <w:rPr>
              <w:rFonts w:cstheme="minorHAnsi"/>
              <w:i/>
              <w:iCs/>
              <w:noProof/>
              <w:sz w:val="24"/>
              <w:szCs w:val="24"/>
              <w:lang w:val="es-ES"/>
            </w:rPr>
            <w:t>El Sistema Financiero Costarricense.</w:t>
          </w:r>
          <w:r w:rsidRPr="00AF1E1D">
            <w:rPr>
              <w:rFonts w:cstheme="minorHAnsi"/>
              <w:noProof/>
              <w:sz w:val="24"/>
              <w:szCs w:val="24"/>
              <w:lang w:val="es-ES"/>
            </w:rPr>
            <w:t xml:space="preserve"> San José: Academia de Centroamérica.</w:t>
          </w:r>
        </w:p>
        <w:p w14:paraId="4AEF4613"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Cardona, D. (2017). Variables macroeconómica y microeconómicas que influyen en la estimación del costo de capital.</w:t>
          </w:r>
        </w:p>
        <w:p w14:paraId="586023E3"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Carpio, J. (2000). </w:t>
          </w:r>
          <w:r w:rsidRPr="00AF1E1D">
            <w:rPr>
              <w:rFonts w:cstheme="minorHAnsi"/>
              <w:i/>
              <w:iCs/>
              <w:noProof/>
              <w:sz w:val="24"/>
              <w:szCs w:val="24"/>
              <w:lang w:val="es-ES"/>
            </w:rPr>
            <w:t>Desarrollo local para un nuevo desarrollo rural .</w:t>
          </w:r>
          <w:r w:rsidRPr="00AF1E1D">
            <w:rPr>
              <w:rFonts w:cstheme="minorHAnsi"/>
              <w:noProof/>
              <w:sz w:val="24"/>
              <w:szCs w:val="24"/>
              <w:lang w:val="es-ES"/>
            </w:rPr>
            <w:t xml:space="preserve"> Anales de Geografía .</w:t>
          </w:r>
        </w:p>
        <w:p w14:paraId="7B4DA543"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Cartagena, E., &amp; Morales, D. (2002). El sistema Financiro de El Salvador y Costa Rica: Un enfoque Real. </w:t>
          </w:r>
          <w:r w:rsidRPr="00AF1E1D">
            <w:rPr>
              <w:rFonts w:cstheme="minorHAnsi"/>
              <w:i/>
              <w:iCs/>
              <w:noProof/>
              <w:sz w:val="24"/>
              <w:szCs w:val="24"/>
              <w:lang w:val="es-ES"/>
            </w:rPr>
            <w:t xml:space="preserve">Boletin Económico </w:t>
          </w:r>
          <w:r w:rsidRPr="00AF1E1D">
            <w:rPr>
              <w:rFonts w:cstheme="minorHAnsi"/>
              <w:noProof/>
              <w:sz w:val="24"/>
              <w:szCs w:val="24"/>
              <w:lang w:val="es-ES"/>
            </w:rPr>
            <w:t>, 12-31.</w:t>
          </w:r>
        </w:p>
        <w:p w14:paraId="6CC9E775"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Casalis, A. (2008). El Desarrollo Territorial, un desafío para la construcción de un nuevo modelo de desarrollo . </w:t>
          </w:r>
          <w:r w:rsidRPr="00AF1E1D">
            <w:rPr>
              <w:rFonts w:cstheme="minorHAnsi"/>
              <w:i/>
              <w:iCs/>
              <w:noProof/>
              <w:sz w:val="24"/>
              <w:szCs w:val="24"/>
              <w:lang w:val="es-ES"/>
            </w:rPr>
            <w:t xml:space="preserve">Jornadas Nacionales </w:t>
          </w:r>
          <w:r w:rsidRPr="00AF1E1D">
            <w:rPr>
              <w:rFonts w:cstheme="minorHAnsi"/>
              <w:noProof/>
              <w:sz w:val="24"/>
              <w:szCs w:val="24"/>
              <w:lang w:val="es-ES"/>
            </w:rPr>
            <w:t>, 1-92.</w:t>
          </w:r>
        </w:p>
        <w:p w14:paraId="18C177E8"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Casares Ripol, J. (2013). Las denominaciones de origen. Bienes de confianza, supermarcas y reputación. </w:t>
          </w:r>
          <w:r w:rsidRPr="00AF1E1D">
            <w:rPr>
              <w:rFonts w:cstheme="minorHAnsi"/>
              <w:i/>
              <w:iCs/>
              <w:noProof/>
              <w:sz w:val="24"/>
              <w:szCs w:val="24"/>
              <w:lang w:val="es-ES"/>
            </w:rPr>
            <w:t>Universidad Complutense de Madrid</w:t>
          </w:r>
          <w:r w:rsidRPr="00AF1E1D">
            <w:rPr>
              <w:rFonts w:cstheme="minorHAnsi"/>
              <w:noProof/>
              <w:sz w:val="24"/>
              <w:szCs w:val="24"/>
              <w:lang w:val="es-ES"/>
            </w:rPr>
            <w:t>, 1-2.</w:t>
          </w:r>
        </w:p>
        <w:p w14:paraId="5121B142"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Casares, J. (2013). </w:t>
          </w:r>
          <w:r w:rsidRPr="00AF1E1D">
            <w:rPr>
              <w:rFonts w:cstheme="minorHAnsi"/>
              <w:i/>
              <w:iCs/>
              <w:noProof/>
              <w:sz w:val="24"/>
              <w:szCs w:val="24"/>
              <w:lang w:val="es-ES"/>
            </w:rPr>
            <w:t>Denominaciones de Origen.</w:t>
          </w:r>
          <w:r w:rsidRPr="00AF1E1D">
            <w:rPr>
              <w:rFonts w:cstheme="minorHAnsi"/>
              <w:noProof/>
              <w:sz w:val="24"/>
              <w:szCs w:val="24"/>
              <w:lang w:val="es-ES"/>
            </w:rPr>
            <w:t xml:space="preserve"> Madrid: Universidad Complutense de Madrid.</w:t>
          </w:r>
        </w:p>
        <w:p w14:paraId="149A10BD"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lastRenderedPageBreak/>
            <w:t xml:space="preserve">Cerda, E., Pérez, J., &amp; Jimeno, J. L. (2004). </w:t>
          </w:r>
          <w:r w:rsidRPr="00AF1E1D">
            <w:rPr>
              <w:rFonts w:cstheme="minorHAnsi"/>
              <w:i/>
              <w:iCs/>
              <w:noProof/>
              <w:sz w:val="24"/>
              <w:szCs w:val="24"/>
              <w:lang w:val="es-ES"/>
            </w:rPr>
            <w:t>Teoría de Juegos.</w:t>
          </w:r>
          <w:r w:rsidRPr="00AF1E1D">
            <w:rPr>
              <w:rFonts w:cstheme="minorHAnsi"/>
              <w:noProof/>
              <w:sz w:val="24"/>
              <w:szCs w:val="24"/>
              <w:lang w:val="es-ES"/>
            </w:rPr>
            <w:t xml:space="preserve"> (D. F. Aragón, Ed.) Madrid: Pearson Prentice Hall.</w:t>
          </w:r>
        </w:p>
        <w:p w14:paraId="7580DB61"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Cermeño, R., &amp; Roa, M. (2013). </w:t>
          </w:r>
          <w:r w:rsidRPr="00AF1E1D">
            <w:rPr>
              <w:rFonts w:cstheme="minorHAnsi"/>
              <w:i/>
              <w:iCs/>
              <w:noProof/>
              <w:sz w:val="24"/>
              <w:szCs w:val="24"/>
              <w:lang w:val="es-ES"/>
            </w:rPr>
            <w:t>Desarrollo financiero, crecimiento y volatalidad: Revisión de la literatura reciente.</w:t>
          </w:r>
          <w:r w:rsidRPr="00AF1E1D">
            <w:rPr>
              <w:rFonts w:cstheme="minorHAnsi"/>
              <w:noProof/>
              <w:sz w:val="24"/>
              <w:szCs w:val="24"/>
              <w:lang w:val="es-ES"/>
            </w:rPr>
            <w:t xml:space="preserve"> México : Centro de Estudios Monetarios Latinoamericanos .</w:t>
          </w:r>
        </w:p>
        <w:p w14:paraId="6B6D0555"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Chaminade, C., Lundvall, B.-A., Lauridsen, J. V., &amp; KJ, J. (2009). </w:t>
          </w:r>
          <w:r w:rsidRPr="00AF1E1D">
            <w:rPr>
              <w:rFonts w:cstheme="minorHAnsi"/>
              <w:i/>
              <w:iCs/>
              <w:noProof/>
              <w:sz w:val="24"/>
              <w:szCs w:val="24"/>
              <w:lang w:val="es-ES"/>
            </w:rPr>
            <w:t>Innovation Policies for Development: Towards a Systemic Experimentation base Aproach.</w:t>
          </w:r>
          <w:r w:rsidRPr="00AF1E1D">
            <w:rPr>
              <w:rFonts w:cstheme="minorHAnsi"/>
              <w:noProof/>
              <w:sz w:val="24"/>
              <w:szCs w:val="24"/>
              <w:lang w:val="es-ES"/>
            </w:rPr>
            <w:t xml:space="preserve"> Dakar: Globelics Conference .</w:t>
          </w:r>
        </w:p>
        <w:p w14:paraId="507279B3"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Corenzo, S. (2007). Territorio, identidades y consumo: reflexiones en torno a la construcción de nuevos paradigmas . </w:t>
          </w:r>
          <w:r w:rsidRPr="00AF1E1D">
            <w:rPr>
              <w:rFonts w:cstheme="minorHAnsi"/>
              <w:i/>
              <w:iCs/>
              <w:noProof/>
              <w:sz w:val="24"/>
              <w:szCs w:val="24"/>
              <w:lang w:val="es-ES"/>
            </w:rPr>
            <w:t>Cuadernos de Antropología Social</w:t>
          </w:r>
          <w:r w:rsidRPr="00AF1E1D">
            <w:rPr>
              <w:rFonts w:cstheme="minorHAnsi"/>
              <w:noProof/>
              <w:sz w:val="24"/>
              <w:szCs w:val="24"/>
              <w:lang w:val="es-ES"/>
            </w:rPr>
            <w:t>, 125-143.</w:t>
          </w:r>
        </w:p>
        <w:p w14:paraId="52B3B08D"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Correa, E. (2002). Los Sistemas Financieros en América Latina: Algunas Transformaciones. </w:t>
          </w:r>
          <w:r w:rsidRPr="00AF1E1D">
            <w:rPr>
              <w:rFonts w:cstheme="minorHAnsi"/>
              <w:i/>
              <w:iCs/>
              <w:noProof/>
              <w:sz w:val="24"/>
              <w:szCs w:val="24"/>
              <w:lang w:val="es-ES"/>
            </w:rPr>
            <w:t xml:space="preserve">Crédito y Moneda: Estructuras Financieras en Transformación </w:t>
          </w:r>
          <w:r w:rsidRPr="00AF1E1D">
            <w:rPr>
              <w:rFonts w:cstheme="minorHAnsi"/>
              <w:noProof/>
              <w:sz w:val="24"/>
              <w:szCs w:val="24"/>
              <w:lang w:val="es-ES"/>
            </w:rPr>
            <w:t>, 1-29.</w:t>
          </w:r>
        </w:p>
        <w:p w14:paraId="5288F9F9"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Correa, E. (2006). </w:t>
          </w:r>
          <w:r w:rsidRPr="00AF1E1D">
            <w:rPr>
              <w:rFonts w:cstheme="minorHAnsi"/>
              <w:i/>
              <w:iCs/>
              <w:noProof/>
              <w:sz w:val="24"/>
              <w:szCs w:val="24"/>
              <w:lang w:val="es-ES"/>
            </w:rPr>
            <w:t>Reforma financiera en América Latina.</w:t>
          </w:r>
          <w:r w:rsidRPr="00AF1E1D">
            <w:rPr>
              <w:rFonts w:cstheme="minorHAnsi"/>
              <w:noProof/>
              <w:sz w:val="24"/>
              <w:szCs w:val="24"/>
              <w:lang w:val="es-ES"/>
            </w:rPr>
            <w:t xml:space="preserve"> Buenos Aires: CLACSO.</w:t>
          </w:r>
        </w:p>
        <w:p w14:paraId="6BEA9CBF"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Correa, E. (2006). </w:t>
          </w:r>
          <w:r w:rsidRPr="00AF1E1D">
            <w:rPr>
              <w:rFonts w:cstheme="minorHAnsi"/>
              <w:i/>
              <w:iCs/>
              <w:noProof/>
              <w:sz w:val="24"/>
              <w:szCs w:val="24"/>
              <w:lang w:val="es-ES"/>
            </w:rPr>
            <w:t>Reformas Financieras en América Latina.</w:t>
          </w:r>
          <w:r w:rsidRPr="00AF1E1D">
            <w:rPr>
              <w:rFonts w:cstheme="minorHAnsi"/>
              <w:noProof/>
              <w:sz w:val="24"/>
              <w:szCs w:val="24"/>
              <w:lang w:val="es-ES"/>
            </w:rPr>
            <w:t xml:space="preserve"> Buenos Aires: Clacso.</w:t>
          </w:r>
        </w:p>
        <w:p w14:paraId="228C3CAE"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Correa, E., &amp; Alicia, G. (2006). </w:t>
          </w:r>
          <w:r w:rsidRPr="00AF1E1D">
            <w:rPr>
              <w:rFonts w:cstheme="minorHAnsi"/>
              <w:i/>
              <w:iCs/>
              <w:noProof/>
              <w:sz w:val="24"/>
              <w:szCs w:val="24"/>
              <w:lang w:val="es-ES"/>
            </w:rPr>
            <w:t>Reforma Financieras en América Latina.</w:t>
          </w:r>
          <w:r w:rsidRPr="00AF1E1D">
            <w:rPr>
              <w:rFonts w:cstheme="minorHAnsi"/>
              <w:noProof/>
              <w:sz w:val="24"/>
              <w:szCs w:val="24"/>
              <w:lang w:val="es-ES"/>
            </w:rPr>
            <w:t xml:space="preserve"> Buenos Aires: CLACSO.</w:t>
          </w:r>
        </w:p>
        <w:p w14:paraId="7900AB43"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Durán Víquez, R., Quirós Solano, J., &amp; Rojas Sánchez, M. (2009). </w:t>
          </w:r>
          <w:r w:rsidRPr="00AF1E1D">
            <w:rPr>
              <w:rFonts w:cstheme="minorHAnsi"/>
              <w:i/>
              <w:iCs/>
              <w:noProof/>
              <w:sz w:val="24"/>
              <w:szCs w:val="24"/>
              <w:lang w:val="es-ES"/>
            </w:rPr>
            <w:t>Análisis de la competitividad del sistema financiero costarricense .</w:t>
          </w:r>
          <w:r w:rsidRPr="00AF1E1D">
            <w:rPr>
              <w:rFonts w:cstheme="minorHAnsi"/>
              <w:noProof/>
              <w:sz w:val="24"/>
              <w:szCs w:val="24"/>
              <w:lang w:val="es-ES"/>
            </w:rPr>
            <w:t xml:space="preserve"> San José : Banco Central de Costa Rica .</w:t>
          </w:r>
        </w:p>
        <w:p w14:paraId="29B71131"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Fernández, V. (2015). Global Chains in Global Political Networks. </w:t>
          </w:r>
          <w:r w:rsidRPr="00AF1E1D">
            <w:rPr>
              <w:rFonts w:cstheme="minorHAnsi"/>
              <w:i/>
              <w:iCs/>
              <w:noProof/>
              <w:sz w:val="24"/>
              <w:szCs w:val="24"/>
              <w:lang w:val="es-ES"/>
            </w:rPr>
            <w:t>Review of radical Political Economics</w:t>
          </w:r>
          <w:r w:rsidRPr="00AF1E1D">
            <w:rPr>
              <w:rFonts w:cstheme="minorHAnsi"/>
              <w:noProof/>
              <w:sz w:val="24"/>
              <w:szCs w:val="24"/>
              <w:lang w:val="es-ES"/>
            </w:rPr>
            <w:t>, 209-230.</w:t>
          </w:r>
        </w:p>
        <w:p w14:paraId="6F1B5559"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Financieras, S. G. (1 de Enero de 2015). </w:t>
          </w:r>
          <w:r w:rsidRPr="00AF1E1D">
            <w:rPr>
              <w:rFonts w:cstheme="minorHAnsi"/>
              <w:i/>
              <w:iCs/>
              <w:noProof/>
              <w:sz w:val="24"/>
              <w:szCs w:val="24"/>
              <w:lang w:val="es-ES"/>
            </w:rPr>
            <w:t>SUGEF</w:t>
          </w:r>
          <w:r w:rsidRPr="00AF1E1D">
            <w:rPr>
              <w:rFonts w:cstheme="minorHAnsi"/>
              <w:noProof/>
              <w:sz w:val="24"/>
              <w:szCs w:val="24"/>
              <w:lang w:val="es-ES"/>
            </w:rPr>
            <w:t>. Obtenido de SUGEF: http://www.sugef.fi.cr</w:t>
          </w:r>
        </w:p>
        <w:p w14:paraId="06A61B4A"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FitzGerald, V. (2007). Desarrollo financiero y crecimiento económico: una visión crítica. </w:t>
          </w:r>
          <w:r w:rsidRPr="00AF1E1D">
            <w:rPr>
              <w:rFonts w:cstheme="minorHAnsi"/>
              <w:i/>
              <w:iCs/>
              <w:noProof/>
              <w:sz w:val="24"/>
              <w:szCs w:val="24"/>
              <w:lang w:val="es-ES"/>
            </w:rPr>
            <w:t>World Economic and Social Survey</w:t>
          </w:r>
          <w:r w:rsidRPr="00AF1E1D">
            <w:rPr>
              <w:rFonts w:cstheme="minorHAnsi"/>
              <w:noProof/>
              <w:sz w:val="24"/>
              <w:szCs w:val="24"/>
              <w:lang w:val="es-ES"/>
            </w:rPr>
            <w:t>, 5-28.</w:t>
          </w:r>
        </w:p>
        <w:p w14:paraId="2D71A559"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Galindo, A., Micco, A., &amp; Panizza, U. (2005). </w:t>
          </w:r>
          <w:r w:rsidRPr="00AF1E1D">
            <w:rPr>
              <w:rFonts w:cstheme="minorHAnsi"/>
              <w:i/>
              <w:iCs/>
              <w:noProof/>
              <w:sz w:val="24"/>
              <w:szCs w:val="24"/>
              <w:lang w:val="es-ES"/>
            </w:rPr>
            <w:t>El Estado de las reformas del Estado en América Latina .</w:t>
          </w:r>
          <w:r w:rsidRPr="00AF1E1D">
            <w:rPr>
              <w:rFonts w:cstheme="minorHAnsi"/>
              <w:noProof/>
              <w:sz w:val="24"/>
              <w:szCs w:val="24"/>
              <w:lang w:val="es-ES"/>
            </w:rPr>
            <w:t xml:space="preserve"> Banco Interamericano de Desarrollo .</w:t>
          </w:r>
        </w:p>
        <w:p w14:paraId="7BE11B66"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García, A. (2009). La estructura lógica de la teoría de los juegos. </w:t>
          </w:r>
          <w:r w:rsidRPr="00AF1E1D">
            <w:rPr>
              <w:rFonts w:cstheme="minorHAnsi"/>
              <w:i/>
              <w:iCs/>
              <w:noProof/>
              <w:sz w:val="24"/>
              <w:szCs w:val="24"/>
              <w:lang w:val="es-ES"/>
            </w:rPr>
            <w:t>Revista Hispanoamericana de Filosofía, 41</w:t>
          </w:r>
          <w:r w:rsidRPr="00AF1E1D">
            <w:rPr>
              <w:rFonts w:cstheme="minorHAnsi"/>
              <w:noProof/>
              <w:sz w:val="24"/>
              <w:szCs w:val="24"/>
              <w:lang w:val="es-ES"/>
            </w:rPr>
            <w:t>(122), 3-27. Obtenido de ttp://www.jstor.org/stable/20618085</w:t>
          </w:r>
        </w:p>
        <w:p w14:paraId="05E5109E"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Geraffi, G., Humphrey, J., Kaplinsky, R., &amp; Sturgeon, T. (2001). Introduction: Globalisation, Value, Chains and Devolopment. </w:t>
          </w:r>
          <w:r w:rsidRPr="00AF1E1D">
            <w:rPr>
              <w:rFonts w:cstheme="minorHAnsi"/>
              <w:i/>
              <w:iCs/>
              <w:noProof/>
              <w:sz w:val="24"/>
              <w:szCs w:val="24"/>
              <w:lang w:val="es-ES"/>
            </w:rPr>
            <w:t>IDS Bulletin, 32</w:t>
          </w:r>
          <w:r w:rsidRPr="00AF1E1D">
            <w:rPr>
              <w:rFonts w:cstheme="minorHAnsi"/>
              <w:noProof/>
              <w:sz w:val="24"/>
              <w:szCs w:val="24"/>
              <w:lang w:val="es-ES"/>
            </w:rPr>
            <w:t>(3), 30-40. Obtenido de https://www.ids.ac.uk/files/dmfile/gereffietal323.pdf</w:t>
          </w:r>
        </w:p>
        <w:p w14:paraId="3FBB3AEA"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Gereffi, G. (1994). The Organization of Buyer-driven Global Commodity Chains: How US Retailers Shape Overseas Production Networks. </w:t>
          </w:r>
          <w:r w:rsidRPr="00AF1E1D">
            <w:rPr>
              <w:rFonts w:cstheme="minorHAnsi"/>
              <w:i/>
              <w:iCs/>
              <w:noProof/>
              <w:sz w:val="24"/>
              <w:szCs w:val="24"/>
              <w:lang w:val="es-ES"/>
            </w:rPr>
            <w:t>Commodity Chains and Global Capitalism</w:t>
          </w:r>
          <w:r w:rsidRPr="00AF1E1D">
            <w:rPr>
              <w:rFonts w:cstheme="minorHAnsi"/>
              <w:noProof/>
              <w:sz w:val="24"/>
              <w:szCs w:val="24"/>
              <w:lang w:val="es-ES"/>
            </w:rPr>
            <w:t>, 95-122.</w:t>
          </w:r>
        </w:p>
        <w:p w14:paraId="0CD001B8"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lastRenderedPageBreak/>
            <w:t xml:space="preserve">Gereffi, G. (2013). Global Value Chains in a post-Washington Consensus World. </w:t>
          </w:r>
          <w:r w:rsidRPr="00AF1E1D">
            <w:rPr>
              <w:rFonts w:cstheme="minorHAnsi"/>
              <w:i/>
              <w:iCs/>
              <w:noProof/>
              <w:sz w:val="24"/>
              <w:szCs w:val="24"/>
              <w:lang w:val="es-ES"/>
            </w:rPr>
            <w:t>Review of International Political Economy</w:t>
          </w:r>
          <w:r w:rsidRPr="00AF1E1D">
            <w:rPr>
              <w:rFonts w:cstheme="minorHAnsi"/>
              <w:noProof/>
              <w:sz w:val="24"/>
              <w:szCs w:val="24"/>
              <w:lang w:val="es-ES"/>
            </w:rPr>
            <w:t>, 9-37.</w:t>
          </w:r>
        </w:p>
        <w:p w14:paraId="22DEBA1A"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Gibbons, R. (1993). </w:t>
          </w:r>
          <w:r w:rsidRPr="00AF1E1D">
            <w:rPr>
              <w:rFonts w:cstheme="minorHAnsi"/>
              <w:i/>
              <w:iCs/>
              <w:noProof/>
              <w:sz w:val="24"/>
              <w:szCs w:val="24"/>
              <w:lang w:val="es-ES"/>
            </w:rPr>
            <w:t>Un Primer curso de Teoría de Juegos</w:t>
          </w:r>
          <w:r w:rsidRPr="00AF1E1D">
            <w:rPr>
              <w:rFonts w:cstheme="minorHAnsi"/>
              <w:noProof/>
              <w:sz w:val="24"/>
              <w:szCs w:val="24"/>
              <w:lang w:val="es-ES"/>
            </w:rPr>
            <w:t xml:space="preserve"> (Vol. 1). Califormia: Antoni Bosch.</w:t>
          </w:r>
        </w:p>
        <w:p w14:paraId="55962B25"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Gilbon, K. (2014). </w:t>
          </w:r>
          <w:r w:rsidRPr="00AF1E1D">
            <w:rPr>
              <w:rFonts w:cstheme="minorHAnsi"/>
              <w:i/>
              <w:iCs/>
              <w:noProof/>
              <w:sz w:val="24"/>
              <w:szCs w:val="24"/>
              <w:lang w:val="es-ES"/>
            </w:rPr>
            <w:t>La Trascendencia de la Denominación de Origen en México.</w:t>
          </w:r>
          <w:r w:rsidRPr="00AF1E1D">
            <w:rPr>
              <w:rFonts w:cstheme="minorHAnsi"/>
              <w:noProof/>
              <w:sz w:val="24"/>
              <w:szCs w:val="24"/>
              <w:lang w:val="es-ES"/>
            </w:rPr>
            <w:t xml:space="preserve"> México DF: Universidad Veracruzana.</w:t>
          </w:r>
        </w:p>
        <w:p w14:paraId="7D021104"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Granados, J. I. (2012). Las denomiaciones de origen en la industria agrícola: Una herramienta de distinción y competitividad. </w:t>
          </w:r>
          <w:r w:rsidRPr="00AF1E1D">
            <w:rPr>
              <w:rFonts w:cstheme="minorHAnsi"/>
              <w:i/>
              <w:iCs/>
              <w:noProof/>
              <w:sz w:val="24"/>
              <w:szCs w:val="24"/>
              <w:lang w:val="es-ES"/>
            </w:rPr>
            <w:t>Producción Limpia</w:t>
          </w:r>
          <w:r w:rsidRPr="00AF1E1D">
            <w:rPr>
              <w:rFonts w:cstheme="minorHAnsi"/>
              <w:noProof/>
              <w:sz w:val="24"/>
              <w:szCs w:val="24"/>
              <w:lang w:val="es-ES"/>
            </w:rPr>
            <w:t>, 95-105.</w:t>
          </w:r>
        </w:p>
        <w:p w14:paraId="5353B9D8"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Granados, L. (2004). </w:t>
          </w:r>
          <w:r w:rsidRPr="00AF1E1D">
            <w:rPr>
              <w:rFonts w:cstheme="minorHAnsi"/>
              <w:i/>
              <w:iCs/>
              <w:noProof/>
              <w:sz w:val="24"/>
              <w:szCs w:val="24"/>
              <w:lang w:val="es-ES"/>
            </w:rPr>
            <w:t>Indicaciones Geográficas y Denominaciones de Origen.</w:t>
          </w:r>
          <w:r w:rsidRPr="00AF1E1D">
            <w:rPr>
              <w:rFonts w:cstheme="minorHAnsi"/>
              <w:noProof/>
              <w:sz w:val="24"/>
              <w:szCs w:val="24"/>
              <w:lang w:val="es-ES"/>
            </w:rPr>
            <w:t xml:space="preserve"> San José: Ministerio de Agricultura y Ganadería.</w:t>
          </w:r>
        </w:p>
        <w:p w14:paraId="4E0D62D1"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Hage, J., Mote, J. M., &amp; Jordan, G. (2013). Ideas, Innovations, and Networks: A new policy model base on the evolution of knwoledge. </w:t>
          </w:r>
          <w:r w:rsidRPr="00AF1E1D">
            <w:rPr>
              <w:rFonts w:cstheme="minorHAnsi"/>
              <w:i/>
              <w:iCs/>
              <w:noProof/>
              <w:sz w:val="24"/>
              <w:szCs w:val="24"/>
              <w:lang w:val="es-ES"/>
            </w:rPr>
            <w:t>Policy Sciencies, 46</w:t>
          </w:r>
          <w:r w:rsidRPr="00AF1E1D">
            <w:rPr>
              <w:rFonts w:cstheme="minorHAnsi"/>
              <w:noProof/>
              <w:sz w:val="24"/>
              <w:szCs w:val="24"/>
              <w:lang w:val="es-ES"/>
            </w:rPr>
            <w:t>(2), 199-216. Obtenido de http://www.jstor.org/stable/42636469</w:t>
          </w:r>
        </w:p>
        <w:p w14:paraId="7294D379"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Hernádez, C. (2002). La teoría del crecimiento endógeno y el comercio internacional . </w:t>
          </w:r>
          <w:r w:rsidRPr="00AF1E1D">
            <w:rPr>
              <w:rFonts w:cstheme="minorHAnsi"/>
              <w:i/>
              <w:iCs/>
              <w:noProof/>
              <w:sz w:val="24"/>
              <w:szCs w:val="24"/>
              <w:lang w:val="es-ES"/>
            </w:rPr>
            <w:t xml:space="preserve">Cuadernos de Estudios Empresariales </w:t>
          </w:r>
          <w:r w:rsidRPr="00AF1E1D">
            <w:rPr>
              <w:rFonts w:cstheme="minorHAnsi"/>
              <w:noProof/>
              <w:sz w:val="24"/>
              <w:szCs w:val="24"/>
              <w:lang w:val="es-ES"/>
            </w:rPr>
            <w:t>, 95-112.</w:t>
          </w:r>
        </w:p>
        <w:p w14:paraId="5281CA35"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Hopkins, T., &amp; Wallerstein, I. (1977). Patterns of Development of the Modern World-System. </w:t>
          </w:r>
          <w:r w:rsidRPr="00AF1E1D">
            <w:rPr>
              <w:rFonts w:cstheme="minorHAnsi"/>
              <w:i/>
              <w:iCs/>
              <w:noProof/>
              <w:sz w:val="24"/>
              <w:szCs w:val="24"/>
              <w:lang w:val="es-ES"/>
            </w:rPr>
            <w:t>Review</w:t>
          </w:r>
          <w:r w:rsidRPr="00AF1E1D">
            <w:rPr>
              <w:rFonts w:cstheme="minorHAnsi"/>
              <w:noProof/>
              <w:sz w:val="24"/>
              <w:szCs w:val="24"/>
              <w:lang w:val="es-ES"/>
            </w:rPr>
            <w:t>, 111-145.</w:t>
          </w:r>
        </w:p>
        <w:p w14:paraId="583739D4"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Huidobro, A. (2012). Diferencias entre la Banca Comercial y la Banca de Desarrollo. </w:t>
          </w:r>
          <w:r w:rsidRPr="00AF1E1D">
            <w:rPr>
              <w:rFonts w:cstheme="minorHAnsi"/>
              <w:i/>
              <w:iCs/>
              <w:noProof/>
              <w:sz w:val="24"/>
              <w:szCs w:val="24"/>
              <w:lang w:val="es-ES"/>
            </w:rPr>
            <w:t>Gestión y Política Pública, XXI</w:t>
          </w:r>
          <w:r w:rsidRPr="00AF1E1D">
            <w:rPr>
              <w:rFonts w:cstheme="minorHAnsi"/>
              <w:noProof/>
              <w:sz w:val="24"/>
              <w:szCs w:val="24"/>
              <w:lang w:val="es-ES"/>
            </w:rPr>
            <w:t>(2), 515-564. Obtenido de http://www.scielo.org.mx/pdf/gpp/v21n2/v21n2a7.pdf</w:t>
          </w:r>
        </w:p>
        <w:p w14:paraId="59B26D67"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ICAFE. (28 de Mayo de 2017). </w:t>
          </w:r>
          <w:r w:rsidRPr="00AF1E1D">
            <w:rPr>
              <w:rFonts w:cstheme="minorHAnsi"/>
              <w:i/>
              <w:iCs/>
              <w:noProof/>
              <w:sz w:val="24"/>
              <w:szCs w:val="24"/>
              <w:lang w:val="es-ES"/>
            </w:rPr>
            <w:t>ICAFE</w:t>
          </w:r>
          <w:r w:rsidRPr="00AF1E1D">
            <w:rPr>
              <w:rFonts w:cstheme="minorHAnsi"/>
              <w:noProof/>
              <w:sz w:val="24"/>
              <w:szCs w:val="24"/>
              <w:lang w:val="es-ES"/>
            </w:rPr>
            <w:t>. Obtenido de ICAFE: http://www.icafe.cr/informacion-geografica-cafetalera/</w:t>
          </w:r>
        </w:p>
        <w:p w14:paraId="2D1BFE22"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Jacome, Luis; Nier, Erlend. (2012). </w:t>
          </w:r>
          <w:r w:rsidRPr="00AF1E1D">
            <w:rPr>
              <w:rFonts w:cstheme="minorHAnsi"/>
              <w:i/>
              <w:iCs/>
              <w:noProof/>
              <w:sz w:val="24"/>
              <w:szCs w:val="24"/>
              <w:lang w:val="es-ES"/>
            </w:rPr>
            <w:t>Finanzas y Desarrollo</w:t>
          </w:r>
          <w:r w:rsidRPr="00AF1E1D">
            <w:rPr>
              <w:rFonts w:cstheme="minorHAnsi"/>
              <w:noProof/>
              <w:sz w:val="24"/>
              <w:szCs w:val="24"/>
              <w:lang w:val="es-ES"/>
            </w:rPr>
            <w:t>, 30-34.</w:t>
          </w:r>
        </w:p>
        <w:p w14:paraId="25F11F8B"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Jeanneau, S. (2007). </w:t>
          </w:r>
          <w:r w:rsidRPr="00AF1E1D">
            <w:rPr>
              <w:rFonts w:cstheme="minorHAnsi"/>
              <w:i/>
              <w:iCs/>
              <w:noProof/>
              <w:sz w:val="24"/>
              <w:szCs w:val="24"/>
              <w:lang w:val="es-ES"/>
            </w:rPr>
            <w:t>Evolucipon de los sistemas bancarios en América Latina y el Caribe: retos e implicaciones para la política monetaria y la estabilidad financiera.</w:t>
          </w:r>
          <w:r w:rsidRPr="00AF1E1D">
            <w:rPr>
              <w:rFonts w:cstheme="minorHAnsi"/>
              <w:noProof/>
              <w:sz w:val="24"/>
              <w:szCs w:val="24"/>
              <w:lang w:val="es-ES"/>
            </w:rPr>
            <w:t xml:space="preserve"> Basilea: Bank for International Settlements.</w:t>
          </w:r>
        </w:p>
        <w:p w14:paraId="2E53CC06"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Jiao, H., Zhou, J., Gao, T., &amp; Liu, X. (2016). The more interactions the better? The moderating effect of the interatión between local producers and users of knowledge on the relationship between R&amp;D investment and regional innovation systems. </w:t>
          </w:r>
          <w:r w:rsidRPr="00AF1E1D">
            <w:rPr>
              <w:rFonts w:cstheme="minorHAnsi"/>
              <w:i/>
              <w:iCs/>
              <w:noProof/>
              <w:sz w:val="24"/>
              <w:szCs w:val="24"/>
              <w:lang w:val="es-ES"/>
            </w:rPr>
            <w:t>Tecnologic Forecastinf and Social Change, 1</w:t>
          </w:r>
          <w:r w:rsidRPr="00AF1E1D">
            <w:rPr>
              <w:rFonts w:cstheme="minorHAnsi"/>
              <w:noProof/>
              <w:sz w:val="24"/>
              <w:szCs w:val="24"/>
              <w:lang w:val="es-ES"/>
            </w:rPr>
            <w:t>(110), 13-20.</w:t>
          </w:r>
        </w:p>
        <w:p w14:paraId="5FC6C251"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Johnson, R. (2012). Accounting for intermediates. </w:t>
          </w:r>
          <w:r w:rsidRPr="00AF1E1D">
            <w:rPr>
              <w:rFonts w:cstheme="minorHAnsi"/>
              <w:i/>
              <w:iCs/>
              <w:noProof/>
              <w:sz w:val="24"/>
              <w:szCs w:val="24"/>
              <w:lang w:val="es-ES"/>
            </w:rPr>
            <w:t>Journal of International Economics</w:t>
          </w:r>
          <w:r w:rsidRPr="00AF1E1D">
            <w:rPr>
              <w:rFonts w:cstheme="minorHAnsi"/>
              <w:noProof/>
              <w:sz w:val="24"/>
              <w:szCs w:val="24"/>
              <w:lang w:val="es-ES"/>
            </w:rPr>
            <w:t>, 224-236.</w:t>
          </w:r>
        </w:p>
        <w:p w14:paraId="671989D8"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Levine. (2002). Bank-Based Financial Systems. </w:t>
          </w:r>
          <w:r w:rsidRPr="00AF1E1D">
            <w:rPr>
              <w:rFonts w:cstheme="minorHAnsi"/>
              <w:i/>
              <w:iCs/>
              <w:noProof/>
              <w:sz w:val="24"/>
              <w:szCs w:val="24"/>
              <w:lang w:val="es-ES"/>
            </w:rPr>
            <w:t>Journal of Financial Intermediation</w:t>
          </w:r>
          <w:r w:rsidRPr="00AF1E1D">
            <w:rPr>
              <w:rFonts w:cstheme="minorHAnsi"/>
              <w:noProof/>
              <w:sz w:val="24"/>
              <w:szCs w:val="24"/>
              <w:lang w:val="es-ES"/>
            </w:rPr>
            <w:t>, 398-428.</w:t>
          </w:r>
        </w:p>
        <w:p w14:paraId="59CA1D4D"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lastRenderedPageBreak/>
            <w:t xml:space="preserve">Levine, R. (1997). Desarrollo financiero y crecimiento económico: Enfoques y temario. </w:t>
          </w:r>
          <w:r w:rsidRPr="00AF1E1D">
            <w:rPr>
              <w:rFonts w:cstheme="minorHAnsi"/>
              <w:i/>
              <w:iCs/>
              <w:noProof/>
              <w:sz w:val="24"/>
              <w:szCs w:val="24"/>
              <w:lang w:val="es-ES"/>
            </w:rPr>
            <w:t>Journal of Economic Literature, XXXV</w:t>
          </w:r>
          <w:r w:rsidRPr="00AF1E1D">
            <w:rPr>
              <w:rFonts w:cstheme="minorHAnsi"/>
              <w:noProof/>
              <w:sz w:val="24"/>
              <w:szCs w:val="24"/>
              <w:lang w:val="es-ES"/>
            </w:rPr>
            <w:t>, 688-726.</w:t>
          </w:r>
        </w:p>
        <w:p w14:paraId="39D2FA26"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Lora, E. (2012). </w:t>
          </w:r>
          <w:r w:rsidRPr="00AF1E1D">
            <w:rPr>
              <w:rFonts w:cstheme="minorHAnsi"/>
              <w:i/>
              <w:iCs/>
              <w:noProof/>
              <w:sz w:val="24"/>
              <w:szCs w:val="24"/>
              <w:lang w:val="es-ES"/>
            </w:rPr>
            <w:t>Las reformas estructurales en América Latina.</w:t>
          </w:r>
          <w:r w:rsidRPr="00AF1E1D">
            <w:rPr>
              <w:rFonts w:cstheme="minorHAnsi"/>
              <w:noProof/>
              <w:sz w:val="24"/>
              <w:szCs w:val="24"/>
              <w:lang w:val="es-ES"/>
            </w:rPr>
            <w:t xml:space="preserve"> Santiago: Banco Interamericano de Desarrollo.</w:t>
          </w:r>
        </w:p>
        <w:p w14:paraId="6DD36236"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Loría Sagot, M. (2013). </w:t>
          </w:r>
          <w:r w:rsidRPr="00AF1E1D">
            <w:rPr>
              <w:rFonts w:cstheme="minorHAnsi"/>
              <w:i/>
              <w:iCs/>
              <w:noProof/>
              <w:sz w:val="24"/>
              <w:szCs w:val="24"/>
              <w:lang w:val="es-ES"/>
            </w:rPr>
            <w:t>El sistema fianciero costarricense en los últimos 25 años: Estructura y Desempeño .</w:t>
          </w:r>
          <w:r w:rsidRPr="00AF1E1D">
            <w:rPr>
              <w:rFonts w:cstheme="minorHAnsi"/>
              <w:noProof/>
              <w:sz w:val="24"/>
              <w:szCs w:val="24"/>
              <w:lang w:val="es-ES"/>
            </w:rPr>
            <w:t xml:space="preserve"> San José: Acádemia de Centroamérica .</w:t>
          </w:r>
        </w:p>
        <w:p w14:paraId="616BACB9"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Lunvall, B., Johnson, B., Sloth, E., &amp; Dalum, B. (2002). National systems of prodution, innovaion and competence building. </w:t>
          </w:r>
          <w:r w:rsidRPr="00AF1E1D">
            <w:rPr>
              <w:rFonts w:cstheme="minorHAnsi"/>
              <w:i/>
              <w:iCs/>
              <w:noProof/>
              <w:sz w:val="24"/>
              <w:szCs w:val="24"/>
              <w:lang w:val="es-ES"/>
            </w:rPr>
            <w:t>Research Policy, 1</w:t>
          </w:r>
          <w:r w:rsidRPr="00AF1E1D">
            <w:rPr>
              <w:rFonts w:cstheme="minorHAnsi"/>
              <w:noProof/>
              <w:sz w:val="24"/>
              <w:szCs w:val="24"/>
              <w:lang w:val="es-ES"/>
            </w:rPr>
            <w:t>(31), 213-231.</w:t>
          </w:r>
        </w:p>
        <w:p w14:paraId="7ACE1FD4"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Madoery, O. (2008). Cinco interrogantes fundamentales del Desarrollo Endógeno . </w:t>
          </w:r>
          <w:r w:rsidRPr="00AF1E1D">
            <w:rPr>
              <w:rFonts w:cstheme="minorHAnsi"/>
              <w:i/>
              <w:iCs/>
              <w:noProof/>
              <w:sz w:val="24"/>
              <w:szCs w:val="24"/>
              <w:lang w:val="es-ES"/>
            </w:rPr>
            <w:t>Prisma</w:t>
          </w:r>
          <w:r w:rsidRPr="00AF1E1D">
            <w:rPr>
              <w:rFonts w:cstheme="minorHAnsi"/>
              <w:noProof/>
              <w:sz w:val="24"/>
              <w:szCs w:val="24"/>
              <w:lang w:val="es-ES"/>
            </w:rPr>
            <w:t>, 59-82.</w:t>
          </w:r>
        </w:p>
        <w:p w14:paraId="50A7F410"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Manuelito, S., &amp; Jiménez, L. F. (2010). </w:t>
          </w:r>
          <w:r w:rsidRPr="00AF1E1D">
            <w:rPr>
              <w:rFonts w:cstheme="minorHAnsi"/>
              <w:i/>
              <w:iCs/>
              <w:noProof/>
              <w:sz w:val="24"/>
              <w:szCs w:val="24"/>
              <w:lang w:val="es-ES"/>
            </w:rPr>
            <w:t>Los mercados financieros en América Latina y el Financiamiento de la inversión: hechos estilizados y propuestas para una estrategia de desarrollo.</w:t>
          </w:r>
          <w:r w:rsidRPr="00AF1E1D">
            <w:rPr>
              <w:rFonts w:cstheme="minorHAnsi"/>
              <w:noProof/>
              <w:sz w:val="24"/>
              <w:szCs w:val="24"/>
              <w:lang w:val="es-ES"/>
            </w:rPr>
            <w:t xml:space="preserve"> Santiago: Comisión Económica para América Latina .</w:t>
          </w:r>
        </w:p>
        <w:p w14:paraId="564AE0F4"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Martinez, M. J. (2010). Nueva Ruralidad, la "remake" del termino pluriactividad. </w:t>
          </w:r>
          <w:r w:rsidRPr="00AF1E1D">
            <w:rPr>
              <w:rFonts w:cstheme="minorHAnsi"/>
              <w:i/>
              <w:iCs/>
              <w:noProof/>
              <w:sz w:val="24"/>
              <w:szCs w:val="24"/>
              <w:lang w:val="es-ES"/>
            </w:rPr>
            <w:t>Nomadas, Critica de Ciencias Sociales y Juridicas</w:t>
          </w:r>
          <w:r w:rsidRPr="00AF1E1D">
            <w:rPr>
              <w:rFonts w:cstheme="minorHAnsi"/>
              <w:noProof/>
              <w:sz w:val="24"/>
              <w:szCs w:val="24"/>
              <w:lang w:val="es-ES"/>
            </w:rPr>
            <w:t>, 1-16.</w:t>
          </w:r>
        </w:p>
        <w:p w14:paraId="11A4D400"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OECD-WTO. (2012). Trade in Value Added. </w:t>
          </w:r>
          <w:r w:rsidRPr="00AF1E1D">
            <w:rPr>
              <w:rFonts w:cstheme="minorHAnsi"/>
              <w:i/>
              <w:iCs/>
              <w:noProof/>
              <w:sz w:val="24"/>
              <w:szCs w:val="24"/>
              <w:lang w:val="es-ES"/>
            </w:rPr>
            <w:t>OECD</w:t>
          </w:r>
          <w:r w:rsidRPr="00AF1E1D">
            <w:rPr>
              <w:rFonts w:cstheme="minorHAnsi"/>
              <w:noProof/>
              <w:sz w:val="24"/>
              <w:szCs w:val="24"/>
              <w:lang w:val="es-ES"/>
            </w:rPr>
            <w:t>.</w:t>
          </w:r>
        </w:p>
        <w:p w14:paraId="7B65B1EE"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Organización de las Naciones Unidas para la Alimentación y la Agricultura . (27 de Agosto de 2017). </w:t>
          </w:r>
          <w:r w:rsidRPr="00AF1E1D">
            <w:rPr>
              <w:rFonts w:cstheme="minorHAnsi"/>
              <w:i/>
              <w:iCs/>
              <w:noProof/>
              <w:sz w:val="24"/>
              <w:szCs w:val="24"/>
              <w:lang w:val="es-ES"/>
            </w:rPr>
            <w:t>Organización de las Naciones Unidas para la Alimentación y la Agricultura</w:t>
          </w:r>
          <w:r w:rsidRPr="00AF1E1D">
            <w:rPr>
              <w:rFonts w:cstheme="minorHAnsi"/>
              <w:noProof/>
              <w:sz w:val="24"/>
              <w:szCs w:val="24"/>
              <w:lang w:val="es-ES"/>
            </w:rPr>
            <w:t>. Obtenido de Organización de las Naciones Unidas para la Alimentación y la Agricultura: www.fao.org</w:t>
          </w:r>
        </w:p>
        <w:p w14:paraId="0767DE91"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Osborne, M., &amp; Rubinstein, A. (1994). </w:t>
          </w:r>
          <w:r w:rsidRPr="00AF1E1D">
            <w:rPr>
              <w:rFonts w:cstheme="minorHAnsi"/>
              <w:i/>
              <w:iCs/>
              <w:noProof/>
              <w:sz w:val="24"/>
              <w:szCs w:val="24"/>
              <w:lang w:val="es-ES"/>
            </w:rPr>
            <w:t>A Course in Game Theory</w:t>
          </w:r>
          <w:r w:rsidRPr="00AF1E1D">
            <w:rPr>
              <w:rFonts w:cstheme="minorHAnsi"/>
              <w:noProof/>
              <w:sz w:val="24"/>
              <w:szCs w:val="24"/>
              <w:lang w:val="es-ES"/>
            </w:rPr>
            <w:t xml:space="preserve"> (Vol. 1). England: Massachusetts Institute of Technology.</w:t>
          </w:r>
        </w:p>
        <w:p w14:paraId="36D211C1"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Pita, A., Gonzales, W., &amp; Elnar, S. (2015). </w:t>
          </w:r>
          <w:r w:rsidRPr="00AF1E1D">
            <w:rPr>
              <w:rFonts w:cstheme="minorHAnsi"/>
              <w:i/>
              <w:iCs/>
              <w:noProof/>
              <w:sz w:val="24"/>
              <w:szCs w:val="24"/>
              <w:lang w:val="es-ES"/>
            </w:rPr>
            <w:t>The rural devolopment: An approach from the New rurality.</w:t>
          </w:r>
          <w:r w:rsidRPr="00AF1E1D">
            <w:rPr>
              <w:rFonts w:cstheme="minorHAnsi"/>
              <w:noProof/>
              <w:sz w:val="24"/>
              <w:szCs w:val="24"/>
              <w:lang w:val="es-ES"/>
            </w:rPr>
            <w:t xml:space="preserve"> Bogota: Ciencia y Agricultura .</w:t>
          </w:r>
        </w:p>
        <w:p w14:paraId="33FFF1FB"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Pussetto, L. (2008). Sistema financiero y crecimiento económico: Un misterio sin resolver. </w:t>
          </w:r>
          <w:r w:rsidRPr="00AF1E1D">
            <w:rPr>
              <w:rFonts w:cstheme="minorHAnsi"/>
              <w:i/>
              <w:iCs/>
              <w:noProof/>
              <w:sz w:val="24"/>
              <w:szCs w:val="24"/>
              <w:lang w:val="es-ES"/>
            </w:rPr>
            <w:t>Palermo Business Review</w:t>
          </w:r>
          <w:r w:rsidRPr="00AF1E1D">
            <w:rPr>
              <w:rFonts w:cstheme="minorHAnsi"/>
              <w:noProof/>
              <w:sz w:val="24"/>
              <w:szCs w:val="24"/>
              <w:lang w:val="es-ES"/>
            </w:rPr>
            <w:t>, 47-68.</w:t>
          </w:r>
        </w:p>
        <w:p w14:paraId="7CF2EDFE"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Quispe, G., &amp; Ayaviri, V. (2013). Políticas de Desarrollo en los Procesos de Desarrollo Endógeno. </w:t>
          </w:r>
          <w:r w:rsidRPr="00AF1E1D">
            <w:rPr>
              <w:rFonts w:cstheme="minorHAnsi"/>
              <w:i/>
              <w:iCs/>
              <w:noProof/>
              <w:sz w:val="24"/>
              <w:szCs w:val="24"/>
              <w:lang w:val="es-ES"/>
            </w:rPr>
            <w:t xml:space="preserve">Revista Lider </w:t>
          </w:r>
          <w:r w:rsidRPr="00AF1E1D">
            <w:rPr>
              <w:rFonts w:cstheme="minorHAnsi"/>
              <w:noProof/>
              <w:sz w:val="24"/>
              <w:szCs w:val="24"/>
              <w:lang w:val="es-ES"/>
            </w:rPr>
            <w:t>, 151-187.</w:t>
          </w:r>
        </w:p>
        <w:p w14:paraId="0EA111E0"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Rivera, F. (2002). Una aproximación al desarrollo rural de Costa Rica. La extensión Agricola, breve síntisis de su evolución y tendencias hacia su democratización. </w:t>
          </w:r>
          <w:r w:rsidRPr="00AF1E1D">
            <w:rPr>
              <w:rFonts w:cstheme="minorHAnsi"/>
              <w:i/>
              <w:iCs/>
              <w:noProof/>
              <w:sz w:val="24"/>
              <w:szCs w:val="24"/>
              <w:lang w:val="es-ES"/>
            </w:rPr>
            <w:t xml:space="preserve">Educare </w:t>
          </w:r>
          <w:r w:rsidRPr="00AF1E1D">
            <w:rPr>
              <w:rFonts w:cstheme="minorHAnsi"/>
              <w:noProof/>
              <w:sz w:val="24"/>
              <w:szCs w:val="24"/>
              <w:lang w:val="es-ES"/>
            </w:rPr>
            <w:t>, 29-43.</w:t>
          </w:r>
        </w:p>
        <w:p w14:paraId="543787BB"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Rizo, M. P., Frigant, N., Ghetu, V., &amp; Höpperger, M. (2012). </w:t>
          </w:r>
          <w:r w:rsidRPr="00AF1E1D">
            <w:rPr>
              <w:rFonts w:cstheme="minorHAnsi"/>
              <w:i/>
              <w:iCs/>
              <w:noProof/>
              <w:sz w:val="24"/>
              <w:szCs w:val="24"/>
              <w:lang w:val="es-ES"/>
            </w:rPr>
            <w:t>Las Indicaciones Geográficas.</w:t>
          </w:r>
          <w:r w:rsidRPr="00AF1E1D">
            <w:rPr>
              <w:rFonts w:cstheme="minorHAnsi"/>
              <w:noProof/>
              <w:sz w:val="24"/>
              <w:szCs w:val="24"/>
              <w:lang w:val="es-ES"/>
            </w:rPr>
            <w:t xml:space="preserve"> Ginebra: Organización Mundial de la Propiedad Intelectual. Obtenido de http://www.wipo.int/edocs/pubdocs/es/geographical/952/wipo_pub_952.pdf</w:t>
          </w:r>
        </w:p>
        <w:p w14:paraId="715EE41A"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lastRenderedPageBreak/>
            <w:t xml:space="preserve">Rodríguez. (2006). Modelo para la Valoración Financiera de Activos Intangibles y Competencias. </w:t>
          </w:r>
          <w:r w:rsidRPr="00AF1E1D">
            <w:rPr>
              <w:rFonts w:cstheme="minorHAnsi"/>
              <w:i/>
              <w:iCs/>
              <w:noProof/>
              <w:sz w:val="24"/>
              <w:szCs w:val="24"/>
              <w:lang w:val="es-ES"/>
            </w:rPr>
            <w:t>IAFI</w:t>
          </w:r>
          <w:r w:rsidRPr="00AF1E1D">
            <w:rPr>
              <w:rFonts w:cstheme="minorHAnsi"/>
              <w:noProof/>
              <w:sz w:val="24"/>
              <w:szCs w:val="24"/>
              <w:lang w:val="es-ES"/>
            </w:rPr>
            <w:t>.</w:t>
          </w:r>
        </w:p>
        <w:p w14:paraId="6061AB1C"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Rodríguez, A., &amp; Saborío, M. (2008). </w:t>
          </w:r>
          <w:r w:rsidRPr="00AF1E1D">
            <w:rPr>
              <w:rFonts w:cstheme="minorHAnsi"/>
              <w:i/>
              <w:iCs/>
              <w:noProof/>
              <w:sz w:val="24"/>
              <w:szCs w:val="24"/>
              <w:lang w:val="es-ES"/>
            </w:rPr>
            <w:t>Lo rural es diverso: Evidencia para el caso de Costa Rica.</w:t>
          </w:r>
          <w:r w:rsidRPr="00AF1E1D">
            <w:rPr>
              <w:rFonts w:cstheme="minorHAnsi"/>
              <w:noProof/>
              <w:sz w:val="24"/>
              <w:szCs w:val="24"/>
              <w:lang w:val="es-ES"/>
            </w:rPr>
            <w:t xml:space="preserve"> San José: Instituto Interamericano de Cooperación para la Agricultura .</w:t>
          </w:r>
        </w:p>
        <w:p w14:paraId="1DEE4025"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Roldán, J., &amp; Saurina, J. (2013). Regulación Macroprudencial . </w:t>
          </w:r>
          <w:r w:rsidRPr="00AF1E1D">
            <w:rPr>
              <w:rFonts w:cstheme="minorHAnsi"/>
              <w:i/>
              <w:iCs/>
              <w:noProof/>
              <w:sz w:val="24"/>
              <w:szCs w:val="24"/>
              <w:lang w:val="es-ES"/>
            </w:rPr>
            <w:t xml:space="preserve">Crisis y Reforma Regulatoria del Sistema Financiero de la Unión Europea </w:t>
          </w:r>
          <w:r w:rsidRPr="00AF1E1D">
            <w:rPr>
              <w:rFonts w:cstheme="minorHAnsi"/>
              <w:noProof/>
              <w:sz w:val="24"/>
              <w:szCs w:val="24"/>
              <w:lang w:val="es-ES"/>
            </w:rPr>
            <w:t>, 92-100.</w:t>
          </w:r>
        </w:p>
        <w:p w14:paraId="581F7F4A"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Romp, G. (1997). </w:t>
          </w:r>
          <w:r w:rsidRPr="00AF1E1D">
            <w:rPr>
              <w:rFonts w:cstheme="minorHAnsi"/>
              <w:i/>
              <w:iCs/>
              <w:noProof/>
              <w:sz w:val="24"/>
              <w:szCs w:val="24"/>
              <w:lang w:val="es-ES"/>
            </w:rPr>
            <w:t>Game Theory: Introduction and Applications</w:t>
          </w:r>
          <w:r w:rsidRPr="00AF1E1D">
            <w:rPr>
              <w:rFonts w:cstheme="minorHAnsi"/>
              <w:noProof/>
              <w:sz w:val="24"/>
              <w:szCs w:val="24"/>
              <w:lang w:val="es-ES"/>
            </w:rPr>
            <w:t xml:space="preserve"> (1 ed., Vol. 1). Londres: Oxford.</w:t>
          </w:r>
        </w:p>
        <w:p w14:paraId="4B632E65"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Tenjo, F., &amp; Garda, G. (1995). Intermedación Financiera y Crecimiento Económico. </w:t>
          </w:r>
          <w:r w:rsidRPr="00AF1E1D">
            <w:rPr>
              <w:rFonts w:cstheme="minorHAnsi"/>
              <w:i/>
              <w:iCs/>
              <w:noProof/>
              <w:sz w:val="24"/>
              <w:szCs w:val="24"/>
              <w:lang w:val="es-ES"/>
            </w:rPr>
            <w:t>Cuadernos de Economía</w:t>
          </w:r>
          <w:r w:rsidRPr="00AF1E1D">
            <w:rPr>
              <w:rFonts w:cstheme="minorHAnsi"/>
              <w:noProof/>
              <w:sz w:val="24"/>
              <w:szCs w:val="24"/>
              <w:lang w:val="es-ES"/>
            </w:rPr>
            <w:t>, 179-196.</w:t>
          </w:r>
        </w:p>
        <w:p w14:paraId="36F7C3D7"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Valenciano, J. (2009). La Actividad Cafetalera en los Santos: Diagnostico para un análisis de los medios de vida en la agrocadena. </w:t>
          </w:r>
          <w:r w:rsidRPr="00AF1E1D">
            <w:rPr>
              <w:rFonts w:cstheme="minorHAnsi"/>
              <w:i/>
              <w:iCs/>
              <w:noProof/>
              <w:sz w:val="24"/>
              <w:szCs w:val="24"/>
              <w:lang w:val="es-ES"/>
            </w:rPr>
            <w:t>Centro Internacional de Política Económica, 1</w:t>
          </w:r>
          <w:r w:rsidRPr="00AF1E1D">
            <w:rPr>
              <w:rFonts w:cstheme="minorHAnsi"/>
              <w:noProof/>
              <w:sz w:val="24"/>
              <w:szCs w:val="24"/>
              <w:lang w:val="es-ES"/>
            </w:rPr>
            <w:t>(1), 16-19. Obtenido de http://www.repositorio.una.ac.cr/bitstream/handle/11056/8626/sdt_002_2009.pdf?sequence=1&amp;isAllowed=y</w:t>
          </w:r>
        </w:p>
        <w:p w14:paraId="5A20DF34"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Valenti, G. (2011). El capital humano y los sistemas nacionales de innovación (SNI) en elcontexto actual. En G. Valenti, </w:t>
          </w:r>
          <w:r w:rsidRPr="00AF1E1D">
            <w:rPr>
              <w:rFonts w:cstheme="minorHAnsi"/>
              <w:i/>
              <w:iCs/>
              <w:noProof/>
              <w:sz w:val="24"/>
              <w:szCs w:val="24"/>
              <w:lang w:val="es-ES"/>
            </w:rPr>
            <w:t>Construyendo puentes entre el capital humano y el sistema de innovación</w:t>
          </w:r>
          <w:r w:rsidRPr="00AF1E1D">
            <w:rPr>
              <w:rFonts w:cstheme="minorHAnsi"/>
              <w:noProof/>
              <w:sz w:val="24"/>
              <w:szCs w:val="24"/>
              <w:lang w:val="es-ES"/>
            </w:rPr>
            <w:t xml:space="preserve"> (págs. 27-58). Distrito Federal : Flacso.</w:t>
          </w:r>
        </w:p>
        <w:p w14:paraId="3A1FAE66"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Vives, X. (2010). </w:t>
          </w:r>
          <w:r w:rsidRPr="00AF1E1D">
            <w:rPr>
              <w:rFonts w:cstheme="minorHAnsi"/>
              <w:i/>
              <w:iCs/>
              <w:noProof/>
              <w:sz w:val="24"/>
              <w:szCs w:val="24"/>
              <w:lang w:val="es-ES"/>
            </w:rPr>
            <w:t>La crisis financiera y la regulación.</w:t>
          </w:r>
          <w:r w:rsidRPr="00AF1E1D">
            <w:rPr>
              <w:rFonts w:cstheme="minorHAnsi"/>
              <w:noProof/>
              <w:sz w:val="24"/>
              <w:szCs w:val="24"/>
              <w:lang w:val="es-ES"/>
            </w:rPr>
            <w:t xml:space="preserve"> España: Universidad de Navarra.</w:t>
          </w:r>
        </w:p>
        <w:p w14:paraId="6C725718"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Walker, R., Berry, F., &amp; Avellaneda, C. (2015). Limits on Innovativeness in local government: Examining capacity, complexity, and dynamisn in organizational task enviorements. </w:t>
          </w:r>
          <w:r w:rsidRPr="00AF1E1D">
            <w:rPr>
              <w:rFonts w:cstheme="minorHAnsi"/>
              <w:i/>
              <w:iCs/>
              <w:noProof/>
              <w:sz w:val="24"/>
              <w:szCs w:val="24"/>
              <w:lang w:val="es-ES"/>
            </w:rPr>
            <w:t>Public Administration, 93</w:t>
          </w:r>
          <w:r w:rsidRPr="00AF1E1D">
            <w:rPr>
              <w:rFonts w:cstheme="minorHAnsi"/>
              <w:noProof/>
              <w:sz w:val="24"/>
              <w:szCs w:val="24"/>
              <w:lang w:val="es-ES"/>
            </w:rPr>
            <w:t>(3), 663-683. doi:10.1111/padm.12159</w:t>
          </w:r>
        </w:p>
        <w:p w14:paraId="79841DF7"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Wallerstein, I. (1974). The Rise and Future Demise of the World Capitalist System. </w:t>
          </w:r>
          <w:r w:rsidRPr="00AF1E1D">
            <w:rPr>
              <w:rFonts w:cstheme="minorHAnsi"/>
              <w:i/>
              <w:iCs/>
              <w:noProof/>
              <w:sz w:val="24"/>
              <w:szCs w:val="24"/>
              <w:lang w:val="es-ES"/>
            </w:rPr>
            <w:t>Comparative Studies in Society and History</w:t>
          </w:r>
          <w:r w:rsidRPr="00AF1E1D">
            <w:rPr>
              <w:rFonts w:cstheme="minorHAnsi"/>
              <w:noProof/>
              <w:sz w:val="24"/>
              <w:szCs w:val="24"/>
              <w:lang w:val="es-ES"/>
            </w:rPr>
            <w:t>, 387-415.</w:t>
          </w:r>
        </w:p>
        <w:p w14:paraId="5C7E7C72"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Yoguel, G., Borello, J., &amp; Erbes, A. (2009). Como estudiar y actuar sobre los sistemas locales de Innovación. </w:t>
          </w:r>
          <w:r w:rsidRPr="00AF1E1D">
            <w:rPr>
              <w:rFonts w:cstheme="minorHAnsi"/>
              <w:i/>
              <w:iCs/>
              <w:noProof/>
              <w:sz w:val="24"/>
              <w:szCs w:val="24"/>
              <w:lang w:val="es-ES"/>
            </w:rPr>
            <w:t>Revista Cepal, 1</w:t>
          </w:r>
          <w:r w:rsidRPr="00AF1E1D">
            <w:rPr>
              <w:rFonts w:cstheme="minorHAnsi"/>
              <w:noProof/>
              <w:sz w:val="24"/>
              <w:szCs w:val="24"/>
              <w:lang w:val="es-ES"/>
            </w:rPr>
            <w:t>(99), 65-81.</w:t>
          </w:r>
        </w:p>
        <w:p w14:paraId="7B791B05" w14:textId="77777777" w:rsidR="00AF1E1D" w:rsidRPr="00AF1E1D" w:rsidRDefault="00AF1E1D" w:rsidP="00AF1E1D">
          <w:pPr>
            <w:pStyle w:val="Bibliografa"/>
            <w:ind w:left="720" w:hanging="720"/>
            <w:jc w:val="both"/>
            <w:rPr>
              <w:rFonts w:cstheme="minorHAnsi"/>
              <w:noProof/>
              <w:sz w:val="24"/>
              <w:szCs w:val="24"/>
              <w:lang w:val="es-ES"/>
            </w:rPr>
          </w:pPr>
          <w:r w:rsidRPr="00AF1E1D">
            <w:rPr>
              <w:rFonts w:cstheme="minorHAnsi"/>
              <w:noProof/>
              <w:sz w:val="24"/>
              <w:szCs w:val="24"/>
              <w:lang w:val="es-ES"/>
            </w:rPr>
            <w:t xml:space="preserve">Zubizarreta, M., Cuadrado, J., Iradi, J., García, H., &amp; Orbe, A. (2017). Innovation evaluation model for macro.constrution sector companies: A study in Spain. </w:t>
          </w:r>
          <w:r w:rsidRPr="00AF1E1D">
            <w:rPr>
              <w:rFonts w:cstheme="minorHAnsi"/>
              <w:i/>
              <w:iCs/>
              <w:noProof/>
              <w:sz w:val="24"/>
              <w:szCs w:val="24"/>
              <w:lang w:val="es-ES"/>
            </w:rPr>
            <w:t>Evaluation and Program Planning, 1</w:t>
          </w:r>
          <w:r w:rsidRPr="00AF1E1D">
            <w:rPr>
              <w:rFonts w:cstheme="minorHAnsi"/>
              <w:noProof/>
              <w:sz w:val="24"/>
              <w:szCs w:val="24"/>
              <w:lang w:val="es-ES"/>
            </w:rPr>
            <w:t>(61), 22-37. Obtenido de www.elsevier.com/locat e/e valprogplan</w:t>
          </w:r>
        </w:p>
        <w:p w14:paraId="7C7449D5" w14:textId="2A619D34" w:rsidR="00AB67B9" w:rsidRPr="00431183" w:rsidRDefault="005C7CB3" w:rsidP="00AF1E1D">
          <w:pPr>
            <w:spacing w:line="240" w:lineRule="auto"/>
            <w:jc w:val="both"/>
            <w:rPr>
              <w:rFonts w:ascii="Cambria" w:hAnsi="Cambria" w:cs="Arial"/>
              <w:b/>
              <w:bCs/>
              <w:sz w:val="24"/>
              <w:szCs w:val="24"/>
            </w:rPr>
          </w:pPr>
          <w:r w:rsidRPr="00AF1E1D">
            <w:rPr>
              <w:rFonts w:cstheme="minorHAnsi"/>
              <w:b/>
              <w:bCs/>
              <w:sz w:val="24"/>
              <w:szCs w:val="24"/>
            </w:rPr>
            <w:fldChar w:fldCharType="end"/>
          </w:r>
        </w:p>
      </w:sdtContent>
    </w:sdt>
    <w:p w14:paraId="7319A0FA" w14:textId="7AB24013" w:rsidR="00B60F36" w:rsidRDefault="00B60F36" w:rsidP="00AF1E1D">
      <w:pPr>
        <w:spacing w:line="240" w:lineRule="auto"/>
        <w:rPr>
          <w:rFonts w:ascii="Cambria" w:hAnsi="Cambria" w:cs="Arial"/>
          <w:b/>
          <w:bCs/>
          <w:sz w:val="24"/>
          <w:szCs w:val="24"/>
        </w:rPr>
      </w:pPr>
    </w:p>
    <w:p w14:paraId="23512552" w14:textId="77777777" w:rsidR="00AF1E1D" w:rsidRDefault="00AF1E1D" w:rsidP="00AF1E1D">
      <w:pPr>
        <w:spacing w:line="240" w:lineRule="auto"/>
        <w:rPr>
          <w:rFonts w:ascii="Cambria" w:hAnsi="Cambria" w:cs="Arial"/>
          <w:b/>
          <w:bCs/>
          <w:sz w:val="24"/>
          <w:szCs w:val="24"/>
        </w:rPr>
      </w:pPr>
    </w:p>
    <w:p w14:paraId="144168A4" w14:textId="300CB8C8" w:rsidR="004D258F" w:rsidRPr="00AF1E1D" w:rsidRDefault="00AB67B9" w:rsidP="00431183">
      <w:pPr>
        <w:spacing w:line="240" w:lineRule="auto"/>
        <w:jc w:val="center"/>
        <w:rPr>
          <w:rFonts w:ascii="Cambria" w:hAnsi="Cambria" w:cs="Arial"/>
          <w:b/>
          <w:bCs/>
          <w:sz w:val="24"/>
          <w:szCs w:val="24"/>
        </w:rPr>
      </w:pPr>
      <w:r w:rsidRPr="00AF1E1D">
        <w:rPr>
          <w:rFonts w:ascii="Cambria" w:hAnsi="Cambria" w:cs="Arial"/>
          <w:b/>
          <w:bCs/>
          <w:sz w:val="24"/>
          <w:szCs w:val="24"/>
        </w:rPr>
        <w:lastRenderedPageBreak/>
        <w:t xml:space="preserve">Anexos </w:t>
      </w:r>
    </w:p>
    <w:p w14:paraId="2C582396" w14:textId="7BD5B8E1" w:rsidR="00AB67B9" w:rsidRDefault="00B60F36" w:rsidP="00431183">
      <w:pPr>
        <w:spacing w:line="240" w:lineRule="auto"/>
        <w:jc w:val="center"/>
        <w:rPr>
          <w:rFonts w:ascii="Cambria" w:hAnsi="Cambria" w:cs="Arial"/>
          <w:b/>
          <w:bCs/>
          <w:sz w:val="24"/>
          <w:szCs w:val="24"/>
        </w:rPr>
      </w:pPr>
      <w:r>
        <w:rPr>
          <w:rFonts w:ascii="Cambria" w:hAnsi="Cambria" w:cs="Arial"/>
          <w:b/>
          <w:bCs/>
          <w:sz w:val="24"/>
          <w:szCs w:val="24"/>
        </w:rPr>
        <w:t>Instrumento aplicado a los 380 productores de café de la Zona de los Santos</w:t>
      </w:r>
    </w:p>
    <w:p w14:paraId="30E91CD6" w14:textId="77777777" w:rsidR="00B60F36" w:rsidRPr="00343E78" w:rsidRDefault="00B60F36" w:rsidP="00B60F36">
      <w:pPr>
        <w:autoSpaceDE w:val="0"/>
        <w:autoSpaceDN w:val="0"/>
        <w:adjustRightInd w:val="0"/>
        <w:spacing w:after="0" w:line="240" w:lineRule="auto"/>
        <w:rPr>
          <w:rFonts w:ascii="Arial" w:hAnsi="Arial" w:cs="Arial"/>
          <w:b/>
          <w:bCs/>
        </w:rPr>
      </w:pPr>
      <w:r w:rsidRPr="00343E78">
        <w:rPr>
          <w:rFonts w:ascii="Arial" w:hAnsi="Arial" w:cs="Arial"/>
          <w:b/>
          <w:bCs/>
        </w:rPr>
        <w:t>ENCUESTA SOBRE DENOMINACIÓN DE ORIGEN DEL CAFÉ EN LA ZONA DE LOS SANTOS</w:t>
      </w:r>
    </w:p>
    <w:p w14:paraId="7A040659" w14:textId="77777777" w:rsidR="00B60F36" w:rsidRPr="00343E78" w:rsidRDefault="00B60F36" w:rsidP="00B60F36">
      <w:pPr>
        <w:autoSpaceDE w:val="0"/>
        <w:autoSpaceDN w:val="0"/>
        <w:adjustRightInd w:val="0"/>
        <w:spacing w:after="0" w:line="240" w:lineRule="auto"/>
        <w:rPr>
          <w:rFonts w:ascii="Arial" w:hAnsi="Arial" w:cs="Arial"/>
          <w:b/>
          <w:bCs/>
        </w:rPr>
      </w:pPr>
    </w:p>
    <w:p w14:paraId="0774758D" w14:textId="77777777" w:rsidR="00B60F36" w:rsidRPr="00343E78" w:rsidRDefault="00B60F36" w:rsidP="00B60F36">
      <w:pPr>
        <w:autoSpaceDE w:val="0"/>
        <w:autoSpaceDN w:val="0"/>
        <w:adjustRightInd w:val="0"/>
        <w:spacing w:after="0" w:line="240" w:lineRule="auto"/>
        <w:rPr>
          <w:rFonts w:ascii="Arial" w:hAnsi="Arial" w:cs="Arial"/>
          <w:b/>
          <w:bCs/>
          <w:u w:val="single"/>
        </w:rPr>
      </w:pPr>
      <w:r w:rsidRPr="00343E78">
        <w:rPr>
          <w:rFonts w:ascii="Arial" w:hAnsi="Arial" w:cs="Arial"/>
          <w:b/>
          <w:bCs/>
        </w:rPr>
        <w:t xml:space="preserve">Cuestionario nº _________                                                          </w:t>
      </w:r>
    </w:p>
    <w:p w14:paraId="19CE6762" w14:textId="77777777" w:rsidR="00B60F36" w:rsidRPr="00343E78" w:rsidRDefault="00B60F36" w:rsidP="00B60F36">
      <w:pPr>
        <w:jc w:val="both"/>
        <w:rPr>
          <w:rFonts w:ascii="Arial" w:hAnsi="Arial" w:cs="Arial"/>
          <w:bCs/>
        </w:rPr>
      </w:pPr>
    </w:p>
    <w:p w14:paraId="1E60E72E" w14:textId="77777777" w:rsidR="00B60F36" w:rsidRPr="00343E78" w:rsidRDefault="00B60F36" w:rsidP="00B60F36">
      <w:pPr>
        <w:jc w:val="both"/>
        <w:rPr>
          <w:rFonts w:ascii="Arial" w:hAnsi="Arial" w:cs="Arial"/>
        </w:rPr>
      </w:pPr>
      <w:r w:rsidRPr="00343E78">
        <w:rPr>
          <w:rFonts w:ascii="Arial" w:hAnsi="Arial" w:cs="Arial"/>
          <w:bCs/>
        </w:rPr>
        <w:t xml:space="preserve">Buenos días, tardes, noches el siguiente instrumento tiene como objetivo recolectar información referente a un trabajo investigativo denominado como: </w:t>
      </w:r>
      <w:r w:rsidRPr="00343E78">
        <w:rPr>
          <w:rFonts w:ascii="Arial" w:hAnsi="Arial" w:cs="Arial"/>
        </w:rPr>
        <w:t>“Contribuciones de la Banca para el Desarrollo hacia la consolidación de la Denominación de Origen del café en la Zona de los Santos”, por lo tanto, quisiéramos que nos brinde unos minutos de su tiempo.  Toda la información es de carácter CONFIDENCIAL</w:t>
      </w:r>
    </w:p>
    <w:p w14:paraId="06919B9E" w14:textId="77777777" w:rsidR="00B60F36" w:rsidRPr="00343E78" w:rsidRDefault="00B60F36" w:rsidP="00B60F36">
      <w:pPr>
        <w:autoSpaceDE w:val="0"/>
        <w:autoSpaceDN w:val="0"/>
        <w:adjustRightInd w:val="0"/>
        <w:spacing w:after="0" w:line="240" w:lineRule="auto"/>
        <w:rPr>
          <w:rFonts w:ascii="Arial" w:hAnsi="Arial" w:cs="Arial"/>
          <w:b/>
          <w:bCs/>
        </w:rPr>
      </w:pPr>
    </w:p>
    <w:p w14:paraId="1B0BAFF4" w14:textId="77777777" w:rsidR="00B60F36" w:rsidRPr="00343E78" w:rsidRDefault="00B60F36" w:rsidP="00B60F36">
      <w:pPr>
        <w:autoSpaceDE w:val="0"/>
        <w:autoSpaceDN w:val="0"/>
        <w:adjustRightInd w:val="0"/>
        <w:spacing w:after="0" w:line="240" w:lineRule="auto"/>
        <w:jc w:val="center"/>
        <w:rPr>
          <w:rFonts w:ascii="Arial" w:hAnsi="Arial" w:cs="Arial"/>
          <w:b/>
          <w:bCs/>
        </w:rPr>
      </w:pPr>
      <w:r w:rsidRPr="00343E78">
        <w:rPr>
          <w:rFonts w:ascii="Arial" w:hAnsi="Arial" w:cs="Arial"/>
          <w:b/>
          <w:bCs/>
        </w:rPr>
        <w:t>SECCIÓN I</w:t>
      </w:r>
    </w:p>
    <w:p w14:paraId="2A69D5EB" w14:textId="77777777" w:rsidR="00B60F36" w:rsidRPr="00343E78" w:rsidRDefault="00B60F36" w:rsidP="00B60F36">
      <w:pPr>
        <w:autoSpaceDE w:val="0"/>
        <w:autoSpaceDN w:val="0"/>
        <w:adjustRightInd w:val="0"/>
        <w:spacing w:after="0" w:line="240" w:lineRule="auto"/>
        <w:jc w:val="center"/>
        <w:rPr>
          <w:rFonts w:ascii="Arial" w:hAnsi="Arial" w:cs="Arial"/>
          <w:b/>
          <w:bCs/>
        </w:rPr>
      </w:pPr>
      <w:r w:rsidRPr="00343E78">
        <w:rPr>
          <w:rFonts w:ascii="Arial" w:hAnsi="Arial" w:cs="Arial"/>
          <w:b/>
          <w:bCs/>
        </w:rPr>
        <w:t xml:space="preserve"> DATOS SOCIODEMOGRÁFICOS:</w:t>
      </w:r>
    </w:p>
    <w:p w14:paraId="39406DA4" w14:textId="77777777" w:rsidR="00B60F36" w:rsidRPr="00343E78" w:rsidRDefault="00B60F36" w:rsidP="00B60F36">
      <w:pPr>
        <w:autoSpaceDE w:val="0"/>
        <w:autoSpaceDN w:val="0"/>
        <w:adjustRightInd w:val="0"/>
        <w:spacing w:after="0" w:line="240" w:lineRule="auto"/>
        <w:rPr>
          <w:rFonts w:ascii="Arial" w:hAnsi="Arial" w:cs="Arial"/>
          <w:b/>
          <w:bCs/>
        </w:rPr>
      </w:pPr>
    </w:p>
    <w:tbl>
      <w:tblPr>
        <w:tblW w:w="87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789"/>
      </w:tblGrid>
      <w:tr w:rsidR="00B60F36" w:rsidRPr="00343E78" w14:paraId="5B42DBF1" w14:textId="77777777" w:rsidTr="00B60F36">
        <w:trPr>
          <w:trHeight w:val="540"/>
        </w:trPr>
        <w:tc>
          <w:tcPr>
            <w:tcW w:w="8789" w:type="dxa"/>
          </w:tcPr>
          <w:p w14:paraId="77BAFB2D" w14:textId="77777777" w:rsidR="00B60F36" w:rsidRPr="00343E78" w:rsidRDefault="00B60F36" w:rsidP="00B60F36">
            <w:pPr>
              <w:autoSpaceDE w:val="0"/>
              <w:autoSpaceDN w:val="0"/>
              <w:adjustRightInd w:val="0"/>
              <w:spacing w:after="0" w:line="240" w:lineRule="auto"/>
              <w:rPr>
                <w:rFonts w:ascii="Arial" w:hAnsi="Arial" w:cs="Arial"/>
                <w:bCs/>
              </w:rPr>
            </w:pPr>
            <w:r w:rsidRPr="00343E78">
              <w:rPr>
                <w:rFonts w:ascii="Arial" w:hAnsi="Arial" w:cs="Arial"/>
                <w:bCs/>
              </w:rPr>
              <w:t>POBLACIÓN___________________________</w:t>
            </w:r>
          </w:p>
        </w:tc>
      </w:tr>
      <w:tr w:rsidR="00B60F36" w:rsidRPr="00343E78" w14:paraId="483B67B4" w14:textId="77777777" w:rsidTr="00B60F36">
        <w:trPr>
          <w:trHeight w:val="569"/>
        </w:trPr>
        <w:tc>
          <w:tcPr>
            <w:tcW w:w="8789" w:type="dxa"/>
          </w:tcPr>
          <w:p w14:paraId="2EFC8A4A" w14:textId="77777777" w:rsidR="00B60F36" w:rsidRPr="00343E78" w:rsidRDefault="00B60F36" w:rsidP="00B60F36">
            <w:pPr>
              <w:autoSpaceDE w:val="0"/>
              <w:autoSpaceDN w:val="0"/>
              <w:adjustRightInd w:val="0"/>
              <w:spacing w:after="0" w:line="240" w:lineRule="auto"/>
              <w:rPr>
                <w:rFonts w:ascii="Arial" w:hAnsi="Arial" w:cs="Arial"/>
                <w:bCs/>
              </w:rPr>
            </w:pPr>
          </w:p>
          <w:p w14:paraId="2951F547" w14:textId="77777777" w:rsidR="00B60F36" w:rsidRPr="00343E78" w:rsidRDefault="00B60F36" w:rsidP="00B60F36">
            <w:pPr>
              <w:autoSpaceDE w:val="0"/>
              <w:autoSpaceDN w:val="0"/>
              <w:adjustRightInd w:val="0"/>
              <w:spacing w:after="0" w:line="240" w:lineRule="auto"/>
              <w:rPr>
                <w:rFonts w:ascii="Arial" w:hAnsi="Arial" w:cs="Arial"/>
                <w:bCs/>
              </w:rPr>
            </w:pPr>
            <w:r w:rsidRPr="00343E78">
              <w:rPr>
                <w:rFonts w:ascii="Arial" w:hAnsi="Arial" w:cs="Arial"/>
                <w:bCs/>
              </w:rPr>
              <w:t xml:space="preserve">SEXO:              </w:t>
            </w:r>
            <w:r w:rsidRPr="00343E78">
              <w:rPr>
                <w:rFonts w:ascii="Arial" w:eastAsia="Times New Roman" w:hAnsi="Arial" w:cs="Arial"/>
                <w:bCs/>
              </w:rPr>
              <w:t xml:space="preserve">1 </w:t>
            </w:r>
            <w:r w:rsidRPr="00343E78">
              <w:rPr>
                <w:rFonts w:ascii="Arial" w:hAnsi="Arial" w:cs="Arial"/>
                <w:bCs/>
              </w:rPr>
              <w:t xml:space="preserve">Masculino            </w:t>
            </w:r>
            <w:r w:rsidRPr="00343E78">
              <w:rPr>
                <w:rFonts w:ascii="Arial" w:eastAsia="Times New Roman" w:hAnsi="Arial" w:cs="Arial"/>
                <w:bCs/>
              </w:rPr>
              <w:t xml:space="preserve">2 femenino </w:t>
            </w:r>
          </w:p>
        </w:tc>
      </w:tr>
      <w:tr w:rsidR="00B60F36" w:rsidRPr="00343E78" w14:paraId="409366B8" w14:textId="77777777" w:rsidTr="00B60F36">
        <w:trPr>
          <w:trHeight w:val="563"/>
        </w:trPr>
        <w:tc>
          <w:tcPr>
            <w:tcW w:w="8789" w:type="dxa"/>
          </w:tcPr>
          <w:p w14:paraId="2A064619" w14:textId="77777777" w:rsidR="00B60F36" w:rsidRPr="00343E78" w:rsidRDefault="00B60F36" w:rsidP="00B60F36">
            <w:pPr>
              <w:autoSpaceDE w:val="0"/>
              <w:autoSpaceDN w:val="0"/>
              <w:adjustRightInd w:val="0"/>
              <w:spacing w:after="0" w:line="240" w:lineRule="auto"/>
              <w:rPr>
                <w:rFonts w:ascii="Arial" w:hAnsi="Arial" w:cs="Arial"/>
                <w:bCs/>
              </w:rPr>
            </w:pPr>
          </w:p>
          <w:p w14:paraId="4DBC0187" w14:textId="77777777" w:rsidR="00B60F36" w:rsidRPr="00343E78" w:rsidRDefault="00B60F36" w:rsidP="00B60F36">
            <w:pPr>
              <w:autoSpaceDE w:val="0"/>
              <w:autoSpaceDN w:val="0"/>
              <w:adjustRightInd w:val="0"/>
              <w:spacing w:after="0" w:line="240" w:lineRule="auto"/>
              <w:rPr>
                <w:rFonts w:ascii="Arial" w:hAnsi="Arial" w:cs="Arial"/>
                <w:bCs/>
              </w:rPr>
            </w:pPr>
            <w:r w:rsidRPr="00343E78">
              <w:rPr>
                <w:rFonts w:ascii="Arial" w:hAnsi="Arial" w:cs="Arial"/>
                <w:bCs/>
              </w:rPr>
              <w:t xml:space="preserve">EDAD: </w:t>
            </w:r>
            <w:r w:rsidRPr="00343E78">
              <w:rPr>
                <w:rFonts w:ascii="Arial" w:eastAsia="Times New Roman" w:hAnsi="Arial" w:cs="Arial"/>
                <w:bCs/>
              </w:rPr>
              <w:t>1-</w:t>
            </w:r>
            <w:r w:rsidRPr="00343E78">
              <w:rPr>
                <w:rFonts w:ascii="Arial" w:hAnsi="Arial" w:cs="Arial"/>
                <w:bCs/>
              </w:rPr>
              <w:t xml:space="preserve"> Entre 18 y 35    </w:t>
            </w:r>
            <w:r w:rsidRPr="00343E78">
              <w:rPr>
                <w:rFonts w:ascii="Arial" w:eastAsia="Times New Roman" w:hAnsi="Arial" w:cs="Arial"/>
                <w:bCs/>
              </w:rPr>
              <w:t xml:space="preserve">2- </w:t>
            </w:r>
            <w:r w:rsidRPr="00343E78">
              <w:rPr>
                <w:rFonts w:ascii="Arial" w:hAnsi="Arial" w:cs="Arial"/>
                <w:bCs/>
              </w:rPr>
              <w:t xml:space="preserve">Entre 36 y 55    </w:t>
            </w:r>
            <w:r w:rsidRPr="00343E78">
              <w:rPr>
                <w:rFonts w:ascii="Arial" w:eastAsia="Times New Roman" w:hAnsi="Arial" w:cs="Arial"/>
                <w:bCs/>
              </w:rPr>
              <w:t>3-</w:t>
            </w:r>
            <w:r w:rsidRPr="00343E78">
              <w:rPr>
                <w:rFonts w:ascii="Arial" w:hAnsi="Arial" w:cs="Arial"/>
                <w:bCs/>
              </w:rPr>
              <w:t xml:space="preserve"> Entre 56 y 75    </w:t>
            </w:r>
            <w:r w:rsidRPr="00343E78">
              <w:rPr>
                <w:rFonts w:ascii="Arial" w:eastAsia="Times New Roman" w:hAnsi="Arial" w:cs="Arial"/>
                <w:bCs/>
              </w:rPr>
              <w:t xml:space="preserve">4 - </w:t>
            </w:r>
            <w:r w:rsidRPr="00343E78">
              <w:rPr>
                <w:rFonts w:ascii="Arial" w:hAnsi="Arial" w:cs="Arial"/>
                <w:bCs/>
              </w:rPr>
              <w:t>Más de 75</w:t>
            </w:r>
          </w:p>
        </w:tc>
      </w:tr>
      <w:tr w:rsidR="00B60F36" w:rsidRPr="00343E78" w14:paraId="190D9D68" w14:textId="77777777" w:rsidTr="00B60F36">
        <w:trPr>
          <w:trHeight w:val="1095"/>
        </w:trPr>
        <w:tc>
          <w:tcPr>
            <w:tcW w:w="8789" w:type="dxa"/>
          </w:tcPr>
          <w:p w14:paraId="71D8700A" w14:textId="77777777" w:rsidR="00B60F36" w:rsidRPr="00343E78" w:rsidRDefault="00B60F36" w:rsidP="00B60F36">
            <w:pPr>
              <w:autoSpaceDE w:val="0"/>
              <w:autoSpaceDN w:val="0"/>
              <w:adjustRightInd w:val="0"/>
              <w:spacing w:after="0" w:line="240" w:lineRule="auto"/>
              <w:rPr>
                <w:rFonts w:ascii="Arial" w:hAnsi="Arial" w:cs="Arial"/>
                <w:bCs/>
              </w:rPr>
            </w:pPr>
          </w:p>
          <w:p w14:paraId="174F2F9D" w14:textId="77777777" w:rsidR="00B60F36" w:rsidRPr="00343E78" w:rsidRDefault="00B60F36" w:rsidP="00B60F36">
            <w:pPr>
              <w:autoSpaceDE w:val="0"/>
              <w:autoSpaceDN w:val="0"/>
              <w:adjustRightInd w:val="0"/>
              <w:spacing w:after="0" w:line="240" w:lineRule="auto"/>
              <w:rPr>
                <w:rFonts w:ascii="Arial" w:hAnsi="Arial" w:cs="Arial"/>
                <w:bCs/>
              </w:rPr>
            </w:pPr>
            <w:r w:rsidRPr="00343E78">
              <w:rPr>
                <w:rFonts w:ascii="Arial" w:hAnsi="Arial" w:cs="Arial"/>
                <w:bCs/>
              </w:rPr>
              <w:t xml:space="preserve">Nivel de ingresos (Aproximado): </w:t>
            </w:r>
          </w:p>
          <w:p w14:paraId="53E256CD" w14:textId="77777777" w:rsidR="00B60F36" w:rsidRPr="00343E78" w:rsidRDefault="00B60F36" w:rsidP="00B60F36">
            <w:pPr>
              <w:pStyle w:val="Prrafodelista"/>
              <w:numPr>
                <w:ilvl w:val="0"/>
                <w:numId w:val="31"/>
              </w:numPr>
              <w:autoSpaceDE w:val="0"/>
              <w:autoSpaceDN w:val="0"/>
              <w:adjustRightInd w:val="0"/>
              <w:spacing w:after="0" w:line="240" w:lineRule="auto"/>
              <w:rPr>
                <w:rFonts w:ascii="Arial" w:hAnsi="Arial" w:cs="Arial"/>
                <w:bCs/>
              </w:rPr>
            </w:pPr>
            <w:r w:rsidRPr="00343E78">
              <w:rPr>
                <w:rFonts w:ascii="Arial" w:hAnsi="Arial" w:cs="Arial"/>
                <w:bCs/>
              </w:rPr>
              <w:t xml:space="preserve">menos de ¢300mil/mes     </w:t>
            </w:r>
          </w:p>
          <w:p w14:paraId="2D28DC3A" w14:textId="77777777" w:rsidR="00B60F36" w:rsidRPr="00343E78" w:rsidRDefault="00B60F36" w:rsidP="00B60F36">
            <w:pPr>
              <w:pStyle w:val="Prrafodelista"/>
              <w:numPr>
                <w:ilvl w:val="0"/>
                <w:numId w:val="31"/>
              </w:numPr>
              <w:autoSpaceDE w:val="0"/>
              <w:autoSpaceDN w:val="0"/>
              <w:adjustRightInd w:val="0"/>
              <w:spacing w:after="0" w:line="240" w:lineRule="auto"/>
              <w:rPr>
                <w:rFonts w:ascii="Arial" w:hAnsi="Arial" w:cs="Arial"/>
                <w:bCs/>
              </w:rPr>
            </w:pPr>
            <w:r w:rsidRPr="00343E78">
              <w:rPr>
                <w:rFonts w:ascii="Arial" w:hAnsi="Arial" w:cs="Arial"/>
                <w:bCs/>
              </w:rPr>
              <w:t>Entre ¢300 mil y ¢600mil/mes</w:t>
            </w:r>
          </w:p>
          <w:p w14:paraId="13956A2D" w14:textId="77777777" w:rsidR="00B60F36" w:rsidRPr="00343E78" w:rsidRDefault="00B60F36" w:rsidP="00B60F36">
            <w:pPr>
              <w:pStyle w:val="Prrafodelista"/>
              <w:numPr>
                <w:ilvl w:val="0"/>
                <w:numId w:val="31"/>
              </w:numPr>
              <w:autoSpaceDE w:val="0"/>
              <w:autoSpaceDN w:val="0"/>
              <w:adjustRightInd w:val="0"/>
              <w:spacing w:after="0" w:line="240" w:lineRule="auto"/>
              <w:rPr>
                <w:rFonts w:ascii="Arial" w:hAnsi="Arial" w:cs="Arial"/>
                <w:bCs/>
              </w:rPr>
            </w:pPr>
            <w:r w:rsidRPr="00343E78">
              <w:rPr>
                <w:rFonts w:ascii="Arial" w:hAnsi="Arial" w:cs="Arial"/>
                <w:bCs/>
              </w:rPr>
              <w:t xml:space="preserve">Entre ¢600mil y ¢1millón/mes   </w:t>
            </w:r>
          </w:p>
          <w:p w14:paraId="6616F04D" w14:textId="77777777" w:rsidR="00B60F36" w:rsidRPr="00343E78" w:rsidRDefault="00B60F36" w:rsidP="00B60F36">
            <w:pPr>
              <w:pStyle w:val="Prrafodelista"/>
              <w:numPr>
                <w:ilvl w:val="0"/>
                <w:numId w:val="31"/>
              </w:numPr>
              <w:autoSpaceDE w:val="0"/>
              <w:autoSpaceDN w:val="0"/>
              <w:adjustRightInd w:val="0"/>
              <w:spacing w:after="0" w:line="240" w:lineRule="auto"/>
              <w:rPr>
                <w:rFonts w:ascii="Arial" w:hAnsi="Arial" w:cs="Arial"/>
                <w:bCs/>
              </w:rPr>
            </w:pPr>
            <w:r w:rsidRPr="00343E78">
              <w:rPr>
                <w:rFonts w:ascii="Arial" w:hAnsi="Arial" w:cs="Arial"/>
                <w:bCs/>
              </w:rPr>
              <w:t xml:space="preserve"> Más de ¢1millón/mes</w:t>
            </w:r>
          </w:p>
        </w:tc>
      </w:tr>
      <w:tr w:rsidR="00B60F36" w:rsidRPr="00343E78" w14:paraId="03031D32" w14:textId="77777777" w:rsidTr="00B60F36">
        <w:trPr>
          <w:trHeight w:val="464"/>
        </w:trPr>
        <w:tc>
          <w:tcPr>
            <w:tcW w:w="8789" w:type="dxa"/>
          </w:tcPr>
          <w:p w14:paraId="3A5C53AE" w14:textId="77777777" w:rsidR="00B60F36" w:rsidRPr="00343E78" w:rsidRDefault="00B60F36" w:rsidP="00B60F36">
            <w:pPr>
              <w:autoSpaceDE w:val="0"/>
              <w:autoSpaceDN w:val="0"/>
              <w:adjustRightInd w:val="0"/>
              <w:spacing w:after="0" w:line="240" w:lineRule="auto"/>
              <w:rPr>
                <w:rFonts w:ascii="Arial" w:hAnsi="Arial" w:cs="Arial"/>
                <w:bCs/>
              </w:rPr>
            </w:pPr>
            <w:r w:rsidRPr="00343E78">
              <w:rPr>
                <w:rFonts w:ascii="Arial" w:hAnsi="Arial" w:cs="Arial"/>
                <w:bCs/>
              </w:rPr>
              <w:t xml:space="preserve">Nº DE PERSONAS POR HOGAR: </w:t>
            </w:r>
            <w:r w:rsidRPr="00343E78">
              <w:rPr>
                <w:rFonts w:ascii="Arial" w:eastAsia="Arial" w:hAnsi="Arial" w:cs="Arial" w:hint="eastAsia"/>
                <w:bCs/>
              </w:rPr>
              <w:t>􀂅</w:t>
            </w:r>
            <w:r w:rsidRPr="00343E78">
              <w:rPr>
                <w:rFonts w:ascii="Arial" w:hAnsi="Arial" w:cs="Arial"/>
                <w:bCs/>
              </w:rPr>
              <w:t xml:space="preserve">1    </w:t>
            </w:r>
            <w:r w:rsidRPr="00343E78">
              <w:rPr>
                <w:rFonts w:ascii="Arial" w:eastAsia="Arial" w:hAnsi="Arial" w:cs="Arial" w:hint="eastAsia"/>
                <w:bCs/>
              </w:rPr>
              <w:t>􀂅</w:t>
            </w:r>
            <w:r w:rsidRPr="00343E78">
              <w:rPr>
                <w:rFonts w:ascii="Arial" w:hAnsi="Arial" w:cs="Arial"/>
                <w:bCs/>
              </w:rPr>
              <w:t xml:space="preserve">2    </w:t>
            </w:r>
            <w:r w:rsidRPr="00343E78">
              <w:rPr>
                <w:rFonts w:ascii="Arial" w:eastAsia="Arial" w:hAnsi="Arial" w:cs="Arial" w:hint="eastAsia"/>
                <w:bCs/>
              </w:rPr>
              <w:t>􀂅</w:t>
            </w:r>
            <w:r w:rsidRPr="00343E78">
              <w:rPr>
                <w:rFonts w:ascii="Arial" w:hAnsi="Arial" w:cs="Arial"/>
                <w:bCs/>
              </w:rPr>
              <w:t xml:space="preserve">3    </w:t>
            </w:r>
            <w:r w:rsidRPr="00343E78">
              <w:rPr>
                <w:rFonts w:ascii="Arial" w:eastAsia="Arial" w:hAnsi="Arial" w:cs="Arial" w:hint="eastAsia"/>
                <w:bCs/>
              </w:rPr>
              <w:t>􀂅</w:t>
            </w:r>
            <w:r w:rsidRPr="00343E78">
              <w:rPr>
                <w:rFonts w:ascii="Arial" w:hAnsi="Arial" w:cs="Arial"/>
                <w:bCs/>
              </w:rPr>
              <w:t xml:space="preserve">4    </w:t>
            </w:r>
            <w:r w:rsidRPr="00343E78">
              <w:rPr>
                <w:rFonts w:ascii="Arial" w:eastAsia="Arial" w:hAnsi="Arial" w:cs="Arial" w:hint="eastAsia"/>
                <w:bCs/>
              </w:rPr>
              <w:t>􀂅</w:t>
            </w:r>
            <w:r w:rsidRPr="00343E78">
              <w:rPr>
                <w:rFonts w:ascii="Arial" w:hAnsi="Arial" w:cs="Arial"/>
                <w:bCs/>
              </w:rPr>
              <w:t xml:space="preserve">5    </w:t>
            </w:r>
            <w:r w:rsidRPr="00343E78">
              <w:rPr>
                <w:rFonts w:ascii="Arial" w:eastAsia="Arial" w:hAnsi="Arial" w:cs="Arial" w:hint="eastAsia"/>
                <w:bCs/>
              </w:rPr>
              <w:t>􀂅</w:t>
            </w:r>
            <w:r w:rsidRPr="00343E78">
              <w:rPr>
                <w:rFonts w:ascii="Arial" w:hAnsi="Arial" w:cs="Arial"/>
                <w:bCs/>
              </w:rPr>
              <w:t>Más de 5</w:t>
            </w:r>
          </w:p>
        </w:tc>
      </w:tr>
      <w:tr w:rsidR="00B60F36" w:rsidRPr="00343E78" w14:paraId="3D4E5ABF" w14:textId="77777777" w:rsidTr="00B60F36">
        <w:trPr>
          <w:trHeight w:val="464"/>
        </w:trPr>
        <w:tc>
          <w:tcPr>
            <w:tcW w:w="8789" w:type="dxa"/>
          </w:tcPr>
          <w:p w14:paraId="2983B89E" w14:textId="77777777" w:rsidR="00B60F36" w:rsidRPr="00343E78"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Cantón en el que reside: 1 Dota 2 Tarrazú 3 León Cortes </w:t>
            </w:r>
          </w:p>
        </w:tc>
      </w:tr>
      <w:tr w:rsidR="00B60F36" w:rsidRPr="00343E78" w14:paraId="16F1F010" w14:textId="77777777" w:rsidTr="00B60F36">
        <w:trPr>
          <w:trHeight w:val="464"/>
        </w:trPr>
        <w:tc>
          <w:tcPr>
            <w:tcW w:w="8789" w:type="dxa"/>
          </w:tcPr>
          <w:p w14:paraId="01FC1799"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Podría especificar un aproximado la cantidad de años que le ha dedicada al cultivo de café: </w:t>
            </w:r>
          </w:p>
          <w:p w14:paraId="3F2203A0" w14:textId="77777777" w:rsidR="00B60F36" w:rsidRDefault="00B60F36" w:rsidP="00B60F36">
            <w:pPr>
              <w:autoSpaceDE w:val="0"/>
              <w:autoSpaceDN w:val="0"/>
              <w:adjustRightInd w:val="0"/>
              <w:spacing w:after="0" w:line="240" w:lineRule="auto"/>
              <w:rPr>
                <w:rFonts w:ascii="Arial" w:hAnsi="Arial" w:cs="Arial"/>
                <w:bCs/>
              </w:rPr>
            </w:pPr>
          </w:p>
        </w:tc>
      </w:tr>
      <w:tr w:rsidR="00B60F36" w:rsidRPr="00343E78" w14:paraId="6AFBE6B0" w14:textId="77777777" w:rsidTr="00B60F36">
        <w:trPr>
          <w:trHeight w:val="464"/>
        </w:trPr>
        <w:tc>
          <w:tcPr>
            <w:tcW w:w="8789" w:type="dxa"/>
          </w:tcPr>
          <w:p w14:paraId="5A93659C"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Pertenece a una cooperativa: </w:t>
            </w:r>
          </w:p>
          <w:p w14:paraId="63ADFCAB" w14:textId="5BA55C8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1 Si </w:t>
            </w:r>
            <w:r w:rsidR="003C35C7">
              <w:rPr>
                <w:rFonts w:ascii="Arial" w:hAnsi="Arial" w:cs="Arial"/>
                <w:bCs/>
              </w:rPr>
              <w:t>¿Cuáles?_______________________________________________</w:t>
            </w:r>
          </w:p>
          <w:p w14:paraId="24C314A6" w14:textId="1A031F16"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2 No</w:t>
            </w:r>
            <w:r w:rsidR="003C35C7">
              <w:rPr>
                <w:rFonts w:ascii="Arial" w:hAnsi="Arial" w:cs="Arial"/>
                <w:bCs/>
              </w:rPr>
              <w:t xml:space="preserve"> ¿Por qué?_____________________________________________</w:t>
            </w:r>
          </w:p>
        </w:tc>
      </w:tr>
      <w:tr w:rsidR="00B60F36" w:rsidRPr="00343E78" w14:paraId="7E0EC54C" w14:textId="77777777" w:rsidTr="00B60F36">
        <w:trPr>
          <w:trHeight w:val="464"/>
        </w:trPr>
        <w:tc>
          <w:tcPr>
            <w:tcW w:w="8789" w:type="dxa"/>
          </w:tcPr>
          <w:p w14:paraId="5CCDEB97"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Posee Micro beneficio</w:t>
            </w:r>
          </w:p>
          <w:p w14:paraId="62D3F138"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1 Si</w:t>
            </w:r>
          </w:p>
          <w:p w14:paraId="77D9EAB9"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 2 No</w:t>
            </w:r>
          </w:p>
        </w:tc>
      </w:tr>
      <w:tr w:rsidR="004D56E0" w:rsidRPr="00343E78" w14:paraId="23D0DC78" w14:textId="77777777" w:rsidTr="00B60F36">
        <w:trPr>
          <w:trHeight w:val="464"/>
        </w:trPr>
        <w:tc>
          <w:tcPr>
            <w:tcW w:w="8789" w:type="dxa"/>
          </w:tcPr>
          <w:p w14:paraId="71B25508" w14:textId="60FF059C" w:rsidR="004D56E0" w:rsidRDefault="004D56E0" w:rsidP="00B60F36">
            <w:pPr>
              <w:autoSpaceDE w:val="0"/>
              <w:autoSpaceDN w:val="0"/>
              <w:adjustRightInd w:val="0"/>
              <w:spacing w:after="0" w:line="240" w:lineRule="auto"/>
              <w:rPr>
                <w:rFonts w:ascii="Arial" w:hAnsi="Arial" w:cs="Arial"/>
                <w:bCs/>
              </w:rPr>
            </w:pPr>
            <w:r>
              <w:rPr>
                <w:rFonts w:ascii="Arial" w:hAnsi="Arial" w:cs="Arial"/>
                <w:bCs/>
              </w:rPr>
              <w:t>Realiza otra actividad productiva aparte del cultivo de café</w:t>
            </w:r>
          </w:p>
          <w:p w14:paraId="569C84C5" w14:textId="010FCFF5" w:rsidR="004D56E0" w:rsidRDefault="004D56E0" w:rsidP="00B60F36">
            <w:pPr>
              <w:autoSpaceDE w:val="0"/>
              <w:autoSpaceDN w:val="0"/>
              <w:adjustRightInd w:val="0"/>
              <w:spacing w:after="0" w:line="240" w:lineRule="auto"/>
              <w:rPr>
                <w:rFonts w:ascii="Arial" w:hAnsi="Arial" w:cs="Arial"/>
                <w:bCs/>
              </w:rPr>
            </w:pPr>
            <w:r>
              <w:rPr>
                <w:rFonts w:ascii="Arial" w:hAnsi="Arial" w:cs="Arial"/>
                <w:bCs/>
              </w:rPr>
              <w:t>1 Si Especifique:_______________________</w:t>
            </w:r>
          </w:p>
          <w:p w14:paraId="467C2629" w14:textId="422A995D" w:rsidR="004D56E0" w:rsidRDefault="004D56E0" w:rsidP="00B60F36">
            <w:pPr>
              <w:autoSpaceDE w:val="0"/>
              <w:autoSpaceDN w:val="0"/>
              <w:adjustRightInd w:val="0"/>
              <w:spacing w:after="0" w:line="240" w:lineRule="auto"/>
              <w:rPr>
                <w:rFonts w:ascii="Arial" w:hAnsi="Arial" w:cs="Arial"/>
                <w:bCs/>
              </w:rPr>
            </w:pPr>
            <w:r>
              <w:rPr>
                <w:rFonts w:ascii="Arial" w:hAnsi="Arial" w:cs="Arial"/>
                <w:bCs/>
              </w:rPr>
              <w:t>2 No</w:t>
            </w:r>
          </w:p>
        </w:tc>
      </w:tr>
    </w:tbl>
    <w:p w14:paraId="17B3EBD3" w14:textId="77777777" w:rsidR="00B60F36" w:rsidRPr="00343E78" w:rsidRDefault="00B60F36" w:rsidP="00B60F36">
      <w:pPr>
        <w:autoSpaceDE w:val="0"/>
        <w:autoSpaceDN w:val="0"/>
        <w:adjustRightInd w:val="0"/>
        <w:spacing w:after="0" w:line="240" w:lineRule="auto"/>
        <w:rPr>
          <w:rFonts w:ascii="Times New Roman" w:hAnsi="Times New Roman" w:cs="Times New Roman"/>
          <w:b/>
          <w:bCs/>
        </w:rPr>
      </w:pPr>
    </w:p>
    <w:p w14:paraId="6C6AB0D3" w14:textId="77777777" w:rsidR="00B60F36" w:rsidRPr="00343E78" w:rsidRDefault="00B60F36" w:rsidP="00B60F36">
      <w:pPr>
        <w:autoSpaceDE w:val="0"/>
        <w:autoSpaceDN w:val="0"/>
        <w:adjustRightInd w:val="0"/>
        <w:spacing w:after="0" w:line="240" w:lineRule="auto"/>
        <w:rPr>
          <w:rFonts w:ascii="Times New Roman" w:hAnsi="Times New Roman" w:cs="Times New Roman"/>
          <w:b/>
          <w:bCs/>
        </w:rPr>
      </w:pPr>
    </w:p>
    <w:p w14:paraId="6967B63B" w14:textId="77777777" w:rsidR="00B60F36" w:rsidRDefault="00B60F36" w:rsidP="00B60F36">
      <w:pPr>
        <w:autoSpaceDE w:val="0"/>
        <w:autoSpaceDN w:val="0"/>
        <w:adjustRightInd w:val="0"/>
        <w:spacing w:after="0" w:line="240" w:lineRule="auto"/>
        <w:jc w:val="center"/>
        <w:rPr>
          <w:rFonts w:ascii="Arial" w:hAnsi="Arial" w:cs="Arial"/>
          <w:b/>
          <w:bCs/>
        </w:rPr>
      </w:pPr>
    </w:p>
    <w:p w14:paraId="4AC6EB4C" w14:textId="77777777" w:rsidR="00B60F36" w:rsidRDefault="00B60F36" w:rsidP="00B60F36">
      <w:pPr>
        <w:autoSpaceDE w:val="0"/>
        <w:autoSpaceDN w:val="0"/>
        <w:adjustRightInd w:val="0"/>
        <w:spacing w:after="0" w:line="240" w:lineRule="auto"/>
        <w:jc w:val="center"/>
        <w:rPr>
          <w:rFonts w:ascii="Arial" w:hAnsi="Arial" w:cs="Arial"/>
          <w:b/>
          <w:bCs/>
        </w:rPr>
        <w:sectPr w:rsidR="00B60F36">
          <w:footerReference w:type="default" r:id="rId28"/>
          <w:pgSz w:w="12240" w:h="15840"/>
          <w:pgMar w:top="1417" w:right="1701" w:bottom="1417" w:left="1701" w:header="708" w:footer="708" w:gutter="0"/>
          <w:cols w:space="708"/>
          <w:docGrid w:linePitch="360"/>
        </w:sectPr>
      </w:pPr>
    </w:p>
    <w:p w14:paraId="4C3D91BC" w14:textId="77777777" w:rsidR="00B60F36" w:rsidRDefault="00B60F36" w:rsidP="00B60F36">
      <w:pPr>
        <w:autoSpaceDE w:val="0"/>
        <w:autoSpaceDN w:val="0"/>
        <w:adjustRightInd w:val="0"/>
        <w:spacing w:after="0" w:line="240" w:lineRule="auto"/>
        <w:jc w:val="center"/>
        <w:rPr>
          <w:rFonts w:ascii="Arial" w:hAnsi="Arial" w:cs="Arial"/>
          <w:b/>
          <w:bCs/>
        </w:rPr>
      </w:pPr>
      <w:r>
        <w:rPr>
          <w:rFonts w:ascii="Arial" w:hAnsi="Arial" w:cs="Arial"/>
          <w:b/>
          <w:bCs/>
        </w:rPr>
        <w:lastRenderedPageBreak/>
        <w:t xml:space="preserve">SECCIÓN II Características generales del productor </w:t>
      </w:r>
    </w:p>
    <w:p w14:paraId="710CABF1" w14:textId="77777777" w:rsidR="00B60F36" w:rsidRDefault="00B60F36" w:rsidP="00B60F36">
      <w:pPr>
        <w:autoSpaceDE w:val="0"/>
        <w:autoSpaceDN w:val="0"/>
        <w:adjustRightInd w:val="0"/>
        <w:spacing w:after="0" w:line="240" w:lineRule="auto"/>
        <w:rPr>
          <w:rFonts w:ascii="Arial" w:hAnsi="Arial" w:cs="Arial"/>
          <w:b/>
          <w:bCs/>
        </w:rPr>
      </w:pPr>
    </w:p>
    <w:p w14:paraId="0E2D23CE" w14:textId="77777777" w:rsidR="00B60F36" w:rsidRDefault="00B60F36" w:rsidP="00B60F36">
      <w:pPr>
        <w:autoSpaceDE w:val="0"/>
        <w:autoSpaceDN w:val="0"/>
        <w:adjustRightInd w:val="0"/>
        <w:spacing w:after="0" w:line="240" w:lineRule="auto"/>
        <w:rPr>
          <w:rFonts w:ascii="Arial" w:hAnsi="Arial" w:cs="Arial"/>
          <w:b/>
          <w:bCs/>
        </w:rPr>
      </w:pPr>
    </w:p>
    <w:tbl>
      <w:tblPr>
        <w:tblW w:w="1479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970"/>
        <w:gridCol w:w="932"/>
        <w:gridCol w:w="1194"/>
        <w:gridCol w:w="2268"/>
        <w:gridCol w:w="1701"/>
        <w:gridCol w:w="1833"/>
        <w:gridCol w:w="2278"/>
        <w:gridCol w:w="47"/>
      </w:tblGrid>
      <w:tr w:rsidR="00B60F36" w14:paraId="5EBAC989" w14:textId="77777777" w:rsidTr="00B60F36">
        <w:tc>
          <w:tcPr>
            <w:tcW w:w="567" w:type="dxa"/>
            <w:vAlign w:val="center"/>
          </w:tcPr>
          <w:p w14:paraId="74C354FF" w14:textId="77777777" w:rsidR="00B60F36" w:rsidRDefault="00B60F36" w:rsidP="00B60F36">
            <w:pPr>
              <w:pStyle w:val="Normal1"/>
              <w:jc w:val="both"/>
            </w:pPr>
          </w:p>
        </w:tc>
        <w:tc>
          <w:tcPr>
            <w:tcW w:w="3970" w:type="dxa"/>
            <w:vAlign w:val="center"/>
          </w:tcPr>
          <w:p w14:paraId="04A0BF90" w14:textId="77777777" w:rsidR="00B60F36" w:rsidRDefault="00B60F36" w:rsidP="00B60F36">
            <w:pPr>
              <w:pStyle w:val="Normal1"/>
              <w:jc w:val="both"/>
            </w:pPr>
            <w:r>
              <w:t>¿Cuántos lotes o parcelas tienen usted?</w:t>
            </w:r>
          </w:p>
        </w:tc>
        <w:tc>
          <w:tcPr>
            <w:tcW w:w="10253" w:type="dxa"/>
            <w:gridSpan w:val="7"/>
            <w:vAlign w:val="center"/>
          </w:tcPr>
          <w:p w14:paraId="25E1B3C8" w14:textId="77777777" w:rsidR="00B60F36" w:rsidRDefault="00B60F36" w:rsidP="00B60F36">
            <w:pPr>
              <w:pStyle w:val="Normal1"/>
              <w:jc w:val="both"/>
            </w:pPr>
          </w:p>
        </w:tc>
      </w:tr>
      <w:tr w:rsidR="00B60F36" w14:paraId="1033579C" w14:textId="77777777" w:rsidTr="00B60F36">
        <w:trPr>
          <w:gridAfter w:val="1"/>
          <w:wAfter w:w="47" w:type="dxa"/>
          <w:trHeight w:val="3246"/>
        </w:trPr>
        <w:tc>
          <w:tcPr>
            <w:tcW w:w="567" w:type="dxa"/>
            <w:vAlign w:val="center"/>
          </w:tcPr>
          <w:p w14:paraId="3ED26A5B" w14:textId="77777777" w:rsidR="00B60F36" w:rsidRDefault="00B60F36" w:rsidP="00B60F36">
            <w:pPr>
              <w:pStyle w:val="Normal1"/>
              <w:jc w:val="both"/>
            </w:pPr>
          </w:p>
        </w:tc>
        <w:tc>
          <w:tcPr>
            <w:tcW w:w="3970" w:type="dxa"/>
            <w:vAlign w:val="center"/>
          </w:tcPr>
          <w:p w14:paraId="2946F9E1" w14:textId="77777777" w:rsidR="00B60F36" w:rsidRDefault="00B60F36" w:rsidP="00B60F36">
            <w:pPr>
              <w:pStyle w:val="Normal1"/>
              <w:spacing w:line="240" w:lineRule="auto"/>
              <w:jc w:val="center"/>
            </w:pPr>
            <w:r>
              <w:t xml:space="preserve">Nombre de las parcelas </w:t>
            </w:r>
          </w:p>
        </w:tc>
        <w:tc>
          <w:tcPr>
            <w:tcW w:w="2126" w:type="dxa"/>
            <w:gridSpan w:val="2"/>
            <w:vAlign w:val="center"/>
          </w:tcPr>
          <w:p w14:paraId="22ECF7E5" w14:textId="77777777" w:rsidR="00B60F36" w:rsidRDefault="00B60F36" w:rsidP="00B60F36">
            <w:pPr>
              <w:pStyle w:val="Normal1"/>
              <w:spacing w:line="240" w:lineRule="auto"/>
            </w:pPr>
          </w:p>
          <w:p w14:paraId="77EEC6C8" w14:textId="77777777" w:rsidR="00B60F36" w:rsidRDefault="00B60F36" w:rsidP="00B60F36">
            <w:pPr>
              <w:pStyle w:val="Normal1"/>
              <w:spacing w:line="240" w:lineRule="auto"/>
              <w:jc w:val="center"/>
            </w:pPr>
            <w:r>
              <w:t>¿Cuál es el tamaño de esta parcela?</w:t>
            </w:r>
          </w:p>
          <w:p w14:paraId="1E4CE882" w14:textId="77777777" w:rsidR="00B60F36" w:rsidRDefault="00B60F36" w:rsidP="00B60F36">
            <w:pPr>
              <w:pStyle w:val="Normal1"/>
              <w:tabs>
                <w:tab w:val="left" w:pos="1152"/>
              </w:tabs>
              <w:spacing w:line="240" w:lineRule="auto"/>
              <w:jc w:val="center"/>
            </w:pPr>
            <w:r>
              <w:rPr>
                <w:b/>
                <w:sz w:val="16"/>
                <w:szCs w:val="16"/>
              </w:rPr>
              <w:t xml:space="preserve">1 </w:t>
            </w:r>
            <w:r>
              <w:rPr>
                <w:sz w:val="16"/>
                <w:szCs w:val="16"/>
              </w:rPr>
              <w:t>Hectáreas</w:t>
            </w:r>
          </w:p>
          <w:p w14:paraId="078094D4" w14:textId="77777777" w:rsidR="00B60F36" w:rsidRDefault="00B60F36" w:rsidP="00B60F36">
            <w:pPr>
              <w:pStyle w:val="Normal1"/>
              <w:tabs>
                <w:tab w:val="left" w:pos="1152"/>
              </w:tabs>
              <w:spacing w:line="240" w:lineRule="auto"/>
              <w:jc w:val="center"/>
            </w:pPr>
            <w:r>
              <w:rPr>
                <w:b/>
                <w:sz w:val="16"/>
                <w:szCs w:val="16"/>
              </w:rPr>
              <w:t xml:space="preserve">2 </w:t>
            </w:r>
            <w:r>
              <w:rPr>
                <w:sz w:val="16"/>
                <w:szCs w:val="16"/>
              </w:rPr>
              <w:t>Manzanas</w:t>
            </w:r>
          </w:p>
        </w:tc>
        <w:tc>
          <w:tcPr>
            <w:tcW w:w="2268" w:type="dxa"/>
            <w:vAlign w:val="center"/>
          </w:tcPr>
          <w:p w14:paraId="6ADA3512" w14:textId="77777777" w:rsidR="00B60F36" w:rsidRDefault="00B60F36" w:rsidP="00B60F36">
            <w:pPr>
              <w:pStyle w:val="Normal1"/>
              <w:tabs>
                <w:tab w:val="left" w:pos="10980"/>
              </w:tabs>
              <w:spacing w:line="240" w:lineRule="auto"/>
            </w:pPr>
            <w:r>
              <w:t>¿Qué tipo de propiedad tiene esta parcela?</w:t>
            </w:r>
          </w:p>
          <w:p w14:paraId="5032EC3F" w14:textId="77777777" w:rsidR="00B60F36" w:rsidRPr="006123D3" w:rsidRDefault="00B60F36" w:rsidP="00B60F36">
            <w:pPr>
              <w:pStyle w:val="Normal1"/>
              <w:tabs>
                <w:tab w:val="left" w:pos="10980"/>
              </w:tabs>
              <w:spacing w:line="240" w:lineRule="auto"/>
              <w:jc w:val="center"/>
              <w:rPr>
                <w:sz w:val="18"/>
                <w:szCs w:val="18"/>
              </w:rPr>
            </w:pPr>
            <w:r w:rsidRPr="006123D3">
              <w:rPr>
                <w:b/>
                <w:sz w:val="18"/>
                <w:szCs w:val="18"/>
              </w:rPr>
              <w:t xml:space="preserve">1 </w:t>
            </w:r>
            <w:r w:rsidRPr="006123D3">
              <w:rPr>
                <w:sz w:val="18"/>
                <w:szCs w:val="18"/>
              </w:rPr>
              <w:t>Propio</w:t>
            </w:r>
          </w:p>
          <w:p w14:paraId="4C9E1EB4" w14:textId="77777777" w:rsidR="00B60F36" w:rsidRPr="006123D3" w:rsidRDefault="00B60F36" w:rsidP="00B60F36">
            <w:pPr>
              <w:pStyle w:val="Normal1"/>
              <w:tabs>
                <w:tab w:val="left" w:pos="10980"/>
              </w:tabs>
              <w:spacing w:line="240" w:lineRule="auto"/>
              <w:jc w:val="center"/>
              <w:rPr>
                <w:sz w:val="18"/>
                <w:szCs w:val="18"/>
              </w:rPr>
            </w:pPr>
            <w:r w:rsidRPr="006123D3">
              <w:rPr>
                <w:b/>
                <w:sz w:val="18"/>
                <w:szCs w:val="18"/>
              </w:rPr>
              <w:t xml:space="preserve">2 </w:t>
            </w:r>
            <w:r w:rsidRPr="006123D3">
              <w:rPr>
                <w:sz w:val="18"/>
                <w:szCs w:val="18"/>
              </w:rPr>
              <w:t>S.A.</w:t>
            </w:r>
          </w:p>
          <w:p w14:paraId="690CB5DB" w14:textId="77777777" w:rsidR="00B60F36" w:rsidRPr="006123D3" w:rsidRDefault="00B60F36" w:rsidP="00B60F36">
            <w:pPr>
              <w:pStyle w:val="Normal1"/>
              <w:tabs>
                <w:tab w:val="left" w:pos="10980"/>
              </w:tabs>
              <w:spacing w:line="240" w:lineRule="auto"/>
              <w:jc w:val="center"/>
              <w:rPr>
                <w:sz w:val="18"/>
                <w:szCs w:val="18"/>
              </w:rPr>
            </w:pPr>
            <w:r w:rsidRPr="006123D3">
              <w:rPr>
                <w:b/>
                <w:sz w:val="18"/>
                <w:szCs w:val="18"/>
              </w:rPr>
              <w:t xml:space="preserve">2 </w:t>
            </w:r>
            <w:r w:rsidRPr="006123D3">
              <w:rPr>
                <w:sz w:val="18"/>
                <w:szCs w:val="18"/>
              </w:rPr>
              <w:t>Asociación</w:t>
            </w:r>
          </w:p>
          <w:p w14:paraId="27A983ED" w14:textId="77777777" w:rsidR="00B60F36" w:rsidRPr="006123D3" w:rsidRDefault="00B60F36" w:rsidP="00B60F36">
            <w:pPr>
              <w:pStyle w:val="Normal1"/>
              <w:tabs>
                <w:tab w:val="left" w:pos="10980"/>
              </w:tabs>
              <w:spacing w:line="240" w:lineRule="auto"/>
              <w:jc w:val="center"/>
              <w:rPr>
                <w:sz w:val="18"/>
                <w:szCs w:val="18"/>
              </w:rPr>
            </w:pPr>
            <w:r w:rsidRPr="006123D3">
              <w:rPr>
                <w:b/>
                <w:sz w:val="18"/>
                <w:szCs w:val="18"/>
              </w:rPr>
              <w:t xml:space="preserve">3 </w:t>
            </w:r>
            <w:r w:rsidRPr="006123D3">
              <w:rPr>
                <w:sz w:val="18"/>
                <w:szCs w:val="18"/>
              </w:rPr>
              <w:t>Alquilada</w:t>
            </w:r>
          </w:p>
          <w:p w14:paraId="2D36EE1F" w14:textId="77777777" w:rsidR="00B60F36" w:rsidRPr="006123D3" w:rsidRDefault="00B60F36" w:rsidP="00B60F36">
            <w:pPr>
              <w:pStyle w:val="Normal1"/>
              <w:tabs>
                <w:tab w:val="left" w:pos="10980"/>
              </w:tabs>
              <w:spacing w:line="240" w:lineRule="auto"/>
              <w:jc w:val="center"/>
              <w:rPr>
                <w:sz w:val="18"/>
                <w:szCs w:val="18"/>
              </w:rPr>
            </w:pPr>
            <w:r w:rsidRPr="006123D3">
              <w:rPr>
                <w:b/>
                <w:sz w:val="18"/>
                <w:szCs w:val="18"/>
              </w:rPr>
              <w:t xml:space="preserve">4 </w:t>
            </w:r>
            <w:r w:rsidRPr="006123D3">
              <w:rPr>
                <w:sz w:val="18"/>
                <w:szCs w:val="18"/>
              </w:rPr>
              <w:t>Rentada</w:t>
            </w:r>
          </w:p>
          <w:p w14:paraId="2F59D8A1" w14:textId="77777777" w:rsidR="00B60F36" w:rsidRDefault="00B60F36" w:rsidP="00B60F36">
            <w:pPr>
              <w:pStyle w:val="Normal1"/>
              <w:spacing w:line="240" w:lineRule="auto"/>
              <w:jc w:val="center"/>
            </w:pPr>
            <w:r w:rsidRPr="006123D3">
              <w:rPr>
                <w:b/>
                <w:sz w:val="18"/>
                <w:szCs w:val="18"/>
              </w:rPr>
              <w:t xml:space="preserve">9  </w:t>
            </w:r>
            <w:r w:rsidRPr="006123D3">
              <w:rPr>
                <w:sz w:val="18"/>
                <w:szCs w:val="18"/>
              </w:rPr>
              <w:t>NS/NR</w:t>
            </w:r>
          </w:p>
        </w:tc>
        <w:tc>
          <w:tcPr>
            <w:tcW w:w="1701" w:type="dxa"/>
            <w:vAlign w:val="center"/>
          </w:tcPr>
          <w:p w14:paraId="24D86943" w14:textId="77777777" w:rsidR="00B60F36" w:rsidRDefault="00B60F36" w:rsidP="00B60F36">
            <w:pPr>
              <w:pStyle w:val="Normal1"/>
              <w:spacing w:line="240" w:lineRule="auto"/>
            </w:pPr>
            <w:r>
              <w:t xml:space="preserve">¿Conoce usted sobre la denominación de origen Tarrazú? </w:t>
            </w:r>
          </w:p>
          <w:p w14:paraId="1D4B01D7" w14:textId="77777777" w:rsidR="00B60F36" w:rsidRDefault="00B60F36" w:rsidP="00B60F36">
            <w:pPr>
              <w:pStyle w:val="Normal1"/>
              <w:spacing w:line="240" w:lineRule="auto"/>
              <w:jc w:val="center"/>
            </w:pPr>
            <w:r>
              <w:t>1 Si</w:t>
            </w:r>
          </w:p>
          <w:p w14:paraId="6192480E" w14:textId="77777777" w:rsidR="00B60F36" w:rsidRDefault="00B60F36" w:rsidP="00B60F36">
            <w:pPr>
              <w:pStyle w:val="Normal1"/>
              <w:spacing w:line="240" w:lineRule="auto"/>
              <w:jc w:val="center"/>
            </w:pPr>
            <w:r>
              <w:t>2 No</w:t>
            </w:r>
          </w:p>
        </w:tc>
        <w:tc>
          <w:tcPr>
            <w:tcW w:w="1833" w:type="dxa"/>
            <w:vAlign w:val="center"/>
          </w:tcPr>
          <w:p w14:paraId="43E32EB5" w14:textId="77777777" w:rsidR="00B60F36" w:rsidRDefault="00B60F36" w:rsidP="00B60F36">
            <w:pPr>
              <w:pStyle w:val="Normal1"/>
              <w:tabs>
                <w:tab w:val="left" w:pos="792"/>
                <w:tab w:val="left" w:pos="10980"/>
              </w:tabs>
              <w:spacing w:line="240" w:lineRule="auto"/>
              <w:jc w:val="center"/>
            </w:pPr>
            <w:r>
              <w:t>Ha recibido algún préstamo del programa de Banca para el Desarrollo</w:t>
            </w:r>
          </w:p>
          <w:p w14:paraId="7D83A5A0" w14:textId="77777777" w:rsidR="00B60F36" w:rsidRDefault="00B60F36" w:rsidP="00B60F36">
            <w:pPr>
              <w:pStyle w:val="Normal1"/>
              <w:tabs>
                <w:tab w:val="left" w:pos="792"/>
                <w:tab w:val="left" w:pos="10980"/>
              </w:tabs>
              <w:spacing w:line="240" w:lineRule="auto"/>
              <w:jc w:val="center"/>
            </w:pPr>
            <w:r>
              <w:t xml:space="preserve">1 Si </w:t>
            </w:r>
          </w:p>
          <w:p w14:paraId="3E75DD17" w14:textId="77777777" w:rsidR="00B60F36" w:rsidRDefault="00B60F36" w:rsidP="00B60F36">
            <w:pPr>
              <w:pStyle w:val="Normal1"/>
              <w:tabs>
                <w:tab w:val="left" w:pos="792"/>
                <w:tab w:val="left" w:pos="10980"/>
              </w:tabs>
              <w:spacing w:line="240" w:lineRule="auto"/>
              <w:jc w:val="center"/>
            </w:pPr>
            <w:r>
              <w:t xml:space="preserve">2 No  </w:t>
            </w:r>
          </w:p>
        </w:tc>
        <w:tc>
          <w:tcPr>
            <w:tcW w:w="2278" w:type="dxa"/>
            <w:vAlign w:val="center"/>
          </w:tcPr>
          <w:p w14:paraId="4AAF9FD5" w14:textId="77777777" w:rsidR="00B60F36" w:rsidRDefault="00B60F36" w:rsidP="00B60F36">
            <w:pPr>
              <w:pStyle w:val="Normal1"/>
              <w:spacing w:line="240" w:lineRule="auto"/>
            </w:pPr>
          </w:p>
          <w:p w14:paraId="4E939E79" w14:textId="77777777" w:rsidR="00B60F36" w:rsidRDefault="00B60F36" w:rsidP="00B60F36">
            <w:pPr>
              <w:pStyle w:val="Normal1"/>
              <w:spacing w:line="240" w:lineRule="auto"/>
              <w:jc w:val="center"/>
            </w:pPr>
            <w:r>
              <w:t>¿Cuál es su producción anual de café? (Aproximado)</w:t>
            </w:r>
          </w:p>
        </w:tc>
      </w:tr>
      <w:tr w:rsidR="00B60F36" w14:paraId="054594A2" w14:textId="77777777" w:rsidTr="00B60F36">
        <w:trPr>
          <w:gridAfter w:val="1"/>
          <w:wAfter w:w="47" w:type="dxa"/>
        </w:trPr>
        <w:tc>
          <w:tcPr>
            <w:tcW w:w="567" w:type="dxa"/>
            <w:vAlign w:val="center"/>
          </w:tcPr>
          <w:p w14:paraId="1CB4B25F" w14:textId="77777777" w:rsidR="00B60F36" w:rsidRDefault="00B60F36" w:rsidP="00B60F36">
            <w:pPr>
              <w:pStyle w:val="Normal1"/>
              <w:jc w:val="both"/>
            </w:pPr>
          </w:p>
        </w:tc>
        <w:tc>
          <w:tcPr>
            <w:tcW w:w="3970" w:type="dxa"/>
            <w:vAlign w:val="center"/>
          </w:tcPr>
          <w:p w14:paraId="5B2BB0EA" w14:textId="77777777" w:rsidR="00B60F36" w:rsidRDefault="00B60F36" w:rsidP="00B60F36">
            <w:pPr>
              <w:pStyle w:val="Normal1"/>
              <w:jc w:val="center"/>
            </w:pPr>
            <w:r>
              <w:rPr>
                <w:b/>
                <w:sz w:val="16"/>
                <w:szCs w:val="16"/>
              </w:rPr>
              <w:t>Nombre</w:t>
            </w:r>
          </w:p>
        </w:tc>
        <w:tc>
          <w:tcPr>
            <w:tcW w:w="932" w:type="dxa"/>
            <w:vAlign w:val="center"/>
          </w:tcPr>
          <w:p w14:paraId="362EE902" w14:textId="77777777" w:rsidR="00B60F36" w:rsidRDefault="00B60F36" w:rsidP="00B60F36">
            <w:pPr>
              <w:pStyle w:val="Normal1"/>
              <w:jc w:val="center"/>
            </w:pPr>
            <w:r>
              <w:rPr>
                <w:b/>
                <w:i/>
                <w:sz w:val="16"/>
                <w:szCs w:val="16"/>
              </w:rPr>
              <w:t>Área</w:t>
            </w:r>
          </w:p>
        </w:tc>
        <w:tc>
          <w:tcPr>
            <w:tcW w:w="1194" w:type="dxa"/>
            <w:vAlign w:val="center"/>
          </w:tcPr>
          <w:p w14:paraId="40ADD010" w14:textId="77777777" w:rsidR="00B60F36" w:rsidRDefault="00B60F36" w:rsidP="00B60F36">
            <w:pPr>
              <w:pStyle w:val="Normal1"/>
              <w:jc w:val="center"/>
            </w:pPr>
            <w:r>
              <w:rPr>
                <w:b/>
                <w:i/>
                <w:sz w:val="16"/>
                <w:szCs w:val="16"/>
              </w:rPr>
              <w:t>Unidad</w:t>
            </w:r>
          </w:p>
        </w:tc>
        <w:tc>
          <w:tcPr>
            <w:tcW w:w="2268" w:type="dxa"/>
            <w:vAlign w:val="center"/>
          </w:tcPr>
          <w:p w14:paraId="6713C396" w14:textId="77777777" w:rsidR="00B60F36" w:rsidRDefault="00B60F36" w:rsidP="00B60F36">
            <w:pPr>
              <w:pStyle w:val="Normal1"/>
              <w:jc w:val="center"/>
            </w:pPr>
            <w:r>
              <w:rPr>
                <w:b/>
                <w:i/>
                <w:sz w:val="16"/>
                <w:szCs w:val="16"/>
              </w:rPr>
              <w:t>Tipo</w:t>
            </w:r>
          </w:p>
        </w:tc>
        <w:tc>
          <w:tcPr>
            <w:tcW w:w="1701" w:type="dxa"/>
            <w:vAlign w:val="center"/>
          </w:tcPr>
          <w:p w14:paraId="7C434028" w14:textId="77777777" w:rsidR="00B60F36" w:rsidRDefault="00B60F36" w:rsidP="00B60F36">
            <w:pPr>
              <w:pStyle w:val="Normal1"/>
              <w:jc w:val="center"/>
            </w:pPr>
          </w:p>
        </w:tc>
        <w:tc>
          <w:tcPr>
            <w:tcW w:w="1833" w:type="dxa"/>
            <w:vAlign w:val="center"/>
          </w:tcPr>
          <w:p w14:paraId="3B014999" w14:textId="77777777" w:rsidR="00B60F36" w:rsidRDefault="00B60F36" w:rsidP="00B60F36">
            <w:pPr>
              <w:pStyle w:val="Normal1"/>
              <w:jc w:val="center"/>
            </w:pPr>
          </w:p>
        </w:tc>
        <w:tc>
          <w:tcPr>
            <w:tcW w:w="2278" w:type="dxa"/>
            <w:vAlign w:val="center"/>
          </w:tcPr>
          <w:p w14:paraId="3B715138" w14:textId="77777777" w:rsidR="00B60F36" w:rsidRDefault="00B60F36" w:rsidP="00B60F36">
            <w:pPr>
              <w:pStyle w:val="Normal1"/>
            </w:pPr>
          </w:p>
        </w:tc>
      </w:tr>
      <w:tr w:rsidR="00B60F36" w14:paraId="2A9F4766" w14:textId="77777777" w:rsidTr="00B60F36">
        <w:trPr>
          <w:gridAfter w:val="1"/>
          <w:wAfter w:w="47" w:type="dxa"/>
        </w:trPr>
        <w:tc>
          <w:tcPr>
            <w:tcW w:w="567" w:type="dxa"/>
            <w:vAlign w:val="center"/>
          </w:tcPr>
          <w:p w14:paraId="5963C2AC" w14:textId="77777777" w:rsidR="00B60F36" w:rsidRDefault="00B60F36" w:rsidP="00B60F36">
            <w:pPr>
              <w:pStyle w:val="Normal1"/>
              <w:jc w:val="center"/>
            </w:pPr>
            <w:r>
              <w:rPr>
                <w:b/>
              </w:rPr>
              <w:t>1</w:t>
            </w:r>
          </w:p>
        </w:tc>
        <w:tc>
          <w:tcPr>
            <w:tcW w:w="3970" w:type="dxa"/>
            <w:vAlign w:val="center"/>
          </w:tcPr>
          <w:p w14:paraId="633026AF" w14:textId="77777777" w:rsidR="00B60F36" w:rsidRDefault="00B60F36" w:rsidP="00B60F36">
            <w:pPr>
              <w:pStyle w:val="Normal1"/>
              <w:jc w:val="center"/>
            </w:pPr>
          </w:p>
        </w:tc>
        <w:tc>
          <w:tcPr>
            <w:tcW w:w="932" w:type="dxa"/>
            <w:vAlign w:val="center"/>
          </w:tcPr>
          <w:p w14:paraId="4948FE7C" w14:textId="77777777" w:rsidR="00B60F36" w:rsidRDefault="00B60F36" w:rsidP="00B60F36">
            <w:pPr>
              <w:pStyle w:val="Normal1"/>
              <w:jc w:val="both"/>
            </w:pPr>
          </w:p>
        </w:tc>
        <w:tc>
          <w:tcPr>
            <w:tcW w:w="1194" w:type="dxa"/>
            <w:vAlign w:val="center"/>
          </w:tcPr>
          <w:p w14:paraId="1057BF01" w14:textId="77777777" w:rsidR="00B60F36" w:rsidRDefault="00B60F36" w:rsidP="00B60F36">
            <w:pPr>
              <w:pStyle w:val="Normal1"/>
              <w:jc w:val="both"/>
            </w:pPr>
          </w:p>
        </w:tc>
        <w:tc>
          <w:tcPr>
            <w:tcW w:w="2268" w:type="dxa"/>
            <w:vAlign w:val="center"/>
          </w:tcPr>
          <w:p w14:paraId="114748AE" w14:textId="77777777" w:rsidR="00B60F36" w:rsidRDefault="00B60F36" w:rsidP="00B60F36">
            <w:pPr>
              <w:pStyle w:val="Normal1"/>
              <w:jc w:val="both"/>
            </w:pPr>
          </w:p>
        </w:tc>
        <w:tc>
          <w:tcPr>
            <w:tcW w:w="1701" w:type="dxa"/>
            <w:vAlign w:val="center"/>
          </w:tcPr>
          <w:p w14:paraId="76BC0157" w14:textId="77777777" w:rsidR="00B60F36" w:rsidRDefault="00B60F36" w:rsidP="00B60F36">
            <w:pPr>
              <w:pStyle w:val="Normal1"/>
              <w:jc w:val="both"/>
            </w:pPr>
          </w:p>
        </w:tc>
        <w:tc>
          <w:tcPr>
            <w:tcW w:w="1833" w:type="dxa"/>
            <w:vAlign w:val="center"/>
          </w:tcPr>
          <w:p w14:paraId="258C6769" w14:textId="77777777" w:rsidR="00B60F36" w:rsidRDefault="00B60F36" w:rsidP="00B60F36">
            <w:pPr>
              <w:pStyle w:val="Normal1"/>
              <w:jc w:val="both"/>
            </w:pPr>
          </w:p>
        </w:tc>
        <w:tc>
          <w:tcPr>
            <w:tcW w:w="2278" w:type="dxa"/>
            <w:vAlign w:val="center"/>
          </w:tcPr>
          <w:p w14:paraId="1667E3EA" w14:textId="77777777" w:rsidR="00B60F36" w:rsidRDefault="00B60F36" w:rsidP="00B60F36">
            <w:pPr>
              <w:pStyle w:val="Normal1"/>
              <w:jc w:val="both"/>
            </w:pPr>
          </w:p>
        </w:tc>
      </w:tr>
      <w:tr w:rsidR="00B60F36" w14:paraId="2349AE8E" w14:textId="77777777" w:rsidTr="00B60F36">
        <w:trPr>
          <w:gridAfter w:val="1"/>
          <w:wAfter w:w="47" w:type="dxa"/>
        </w:trPr>
        <w:tc>
          <w:tcPr>
            <w:tcW w:w="567" w:type="dxa"/>
            <w:vAlign w:val="center"/>
          </w:tcPr>
          <w:p w14:paraId="3B82E128" w14:textId="77777777" w:rsidR="00B60F36" w:rsidRDefault="00B60F36" w:rsidP="00B60F36">
            <w:pPr>
              <w:pStyle w:val="Normal1"/>
              <w:jc w:val="center"/>
            </w:pPr>
            <w:r>
              <w:rPr>
                <w:b/>
              </w:rPr>
              <w:t>2</w:t>
            </w:r>
          </w:p>
        </w:tc>
        <w:tc>
          <w:tcPr>
            <w:tcW w:w="3970" w:type="dxa"/>
            <w:vAlign w:val="center"/>
          </w:tcPr>
          <w:p w14:paraId="270491DA" w14:textId="77777777" w:rsidR="00B60F36" w:rsidRDefault="00B60F36" w:rsidP="00B60F36">
            <w:pPr>
              <w:pStyle w:val="Normal1"/>
              <w:jc w:val="center"/>
            </w:pPr>
          </w:p>
        </w:tc>
        <w:tc>
          <w:tcPr>
            <w:tcW w:w="932" w:type="dxa"/>
            <w:vAlign w:val="center"/>
          </w:tcPr>
          <w:p w14:paraId="755C1542" w14:textId="77777777" w:rsidR="00B60F36" w:rsidRDefault="00B60F36" w:rsidP="00B60F36">
            <w:pPr>
              <w:pStyle w:val="Normal1"/>
              <w:jc w:val="both"/>
            </w:pPr>
          </w:p>
        </w:tc>
        <w:tc>
          <w:tcPr>
            <w:tcW w:w="1194" w:type="dxa"/>
            <w:vAlign w:val="center"/>
          </w:tcPr>
          <w:p w14:paraId="68A8869A" w14:textId="77777777" w:rsidR="00B60F36" w:rsidRDefault="00B60F36" w:rsidP="00B60F36">
            <w:pPr>
              <w:pStyle w:val="Normal1"/>
              <w:jc w:val="both"/>
            </w:pPr>
          </w:p>
        </w:tc>
        <w:tc>
          <w:tcPr>
            <w:tcW w:w="2268" w:type="dxa"/>
            <w:vAlign w:val="center"/>
          </w:tcPr>
          <w:p w14:paraId="2440A514" w14:textId="77777777" w:rsidR="00B60F36" w:rsidRDefault="00B60F36" w:rsidP="00B60F36">
            <w:pPr>
              <w:pStyle w:val="Normal1"/>
              <w:jc w:val="both"/>
            </w:pPr>
          </w:p>
        </w:tc>
        <w:tc>
          <w:tcPr>
            <w:tcW w:w="1701" w:type="dxa"/>
            <w:vAlign w:val="center"/>
          </w:tcPr>
          <w:p w14:paraId="5F09AFA7" w14:textId="77777777" w:rsidR="00B60F36" w:rsidRDefault="00B60F36" w:rsidP="00B60F36">
            <w:pPr>
              <w:pStyle w:val="Normal1"/>
              <w:jc w:val="both"/>
            </w:pPr>
          </w:p>
        </w:tc>
        <w:tc>
          <w:tcPr>
            <w:tcW w:w="1833" w:type="dxa"/>
            <w:vAlign w:val="center"/>
          </w:tcPr>
          <w:p w14:paraId="11A48D23" w14:textId="77777777" w:rsidR="00B60F36" w:rsidRDefault="00B60F36" w:rsidP="00B60F36">
            <w:pPr>
              <w:pStyle w:val="Normal1"/>
              <w:jc w:val="both"/>
            </w:pPr>
          </w:p>
        </w:tc>
        <w:tc>
          <w:tcPr>
            <w:tcW w:w="2278" w:type="dxa"/>
            <w:vAlign w:val="center"/>
          </w:tcPr>
          <w:p w14:paraId="70C727AB" w14:textId="77777777" w:rsidR="00B60F36" w:rsidRDefault="00B60F36" w:rsidP="00B60F36">
            <w:pPr>
              <w:pStyle w:val="Normal1"/>
              <w:jc w:val="both"/>
            </w:pPr>
          </w:p>
        </w:tc>
      </w:tr>
      <w:tr w:rsidR="00B60F36" w14:paraId="750AA01C" w14:textId="77777777" w:rsidTr="00B60F36">
        <w:trPr>
          <w:gridAfter w:val="1"/>
          <w:wAfter w:w="47" w:type="dxa"/>
        </w:trPr>
        <w:tc>
          <w:tcPr>
            <w:tcW w:w="567" w:type="dxa"/>
            <w:vAlign w:val="center"/>
          </w:tcPr>
          <w:p w14:paraId="5CBA328F" w14:textId="77777777" w:rsidR="00B60F36" w:rsidRDefault="00B60F36" w:rsidP="00B60F36">
            <w:pPr>
              <w:pStyle w:val="Normal1"/>
              <w:jc w:val="center"/>
            </w:pPr>
            <w:r>
              <w:rPr>
                <w:b/>
              </w:rPr>
              <w:t>3</w:t>
            </w:r>
          </w:p>
        </w:tc>
        <w:tc>
          <w:tcPr>
            <w:tcW w:w="3970" w:type="dxa"/>
            <w:vAlign w:val="center"/>
          </w:tcPr>
          <w:p w14:paraId="6E3281E5" w14:textId="77777777" w:rsidR="00B60F36" w:rsidRDefault="00B60F36" w:rsidP="00B60F36">
            <w:pPr>
              <w:pStyle w:val="Normal1"/>
              <w:jc w:val="center"/>
            </w:pPr>
          </w:p>
        </w:tc>
        <w:tc>
          <w:tcPr>
            <w:tcW w:w="932" w:type="dxa"/>
            <w:vAlign w:val="center"/>
          </w:tcPr>
          <w:p w14:paraId="22AE2840" w14:textId="77777777" w:rsidR="00B60F36" w:rsidRDefault="00B60F36" w:rsidP="00B60F36">
            <w:pPr>
              <w:pStyle w:val="Normal1"/>
              <w:jc w:val="both"/>
            </w:pPr>
          </w:p>
        </w:tc>
        <w:tc>
          <w:tcPr>
            <w:tcW w:w="1194" w:type="dxa"/>
            <w:vAlign w:val="center"/>
          </w:tcPr>
          <w:p w14:paraId="0E4AF50C" w14:textId="77777777" w:rsidR="00B60F36" w:rsidRDefault="00B60F36" w:rsidP="00B60F36">
            <w:pPr>
              <w:pStyle w:val="Normal1"/>
              <w:jc w:val="both"/>
            </w:pPr>
          </w:p>
        </w:tc>
        <w:tc>
          <w:tcPr>
            <w:tcW w:w="2268" w:type="dxa"/>
            <w:vAlign w:val="center"/>
          </w:tcPr>
          <w:p w14:paraId="6CA78002" w14:textId="77777777" w:rsidR="00B60F36" w:rsidRDefault="00B60F36" w:rsidP="00B60F36">
            <w:pPr>
              <w:pStyle w:val="Normal1"/>
              <w:jc w:val="both"/>
            </w:pPr>
          </w:p>
        </w:tc>
        <w:tc>
          <w:tcPr>
            <w:tcW w:w="1701" w:type="dxa"/>
            <w:vAlign w:val="center"/>
          </w:tcPr>
          <w:p w14:paraId="70E6C4D5" w14:textId="77777777" w:rsidR="00B60F36" w:rsidRDefault="00B60F36" w:rsidP="00B60F36">
            <w:pPr>
              <w:pStyle w:val="Normal1"/>
              <w:jc w:val="both"/>
            </w:pPr>
          </w:p>
        </w:tc>
        <w:tc>
          <w:tcPr>
            <w:tcW w:w="1833" w:type="dxa"/>
            <w:vAlign w:val="center"/>
          </w:tcPr>
          <w:p w14:paraId="601A262C" w14:textId="77777777" w:rsidR="00B60F36" w:rsidRDefault="00B60F36" w:rsidP="00B60F36">
            <w:pPr>
              <w:pStyle w:val="Normal1"/>
              <w:jc w:val="both"/>
            </w:pPr>
          </w:p>
        </w:tc>
        <w:tc>
          <w:tcPr>
            <w:tcW w:w="2278" w:type="dxa"/>
            <w:vAlign w:val="center"/>
          </w:tcPr>
          <w:p w14:paraId="66375D7E" w14:textId="77777777" w:rsidR="00B60F36" w:rsidRDefault="00B60F36" w:rsidP="00B60F36">
            <w:pPr>
              <w:pStyle w:val="Normal1"/>
              <w:jc w:val="both"/>
            </w:pPr>
          </w:p>
        </w:tc>
      </w:tr>
      <w:tr w:rsidR="00B60F36" w14:paraId="6A3FBD23" w14:textId="77777777" w:rsidTr="00B60F36">
        <w:trPr>
          <w:gridAfter w:val="1"/>
          <w:wAfter w:w="47" w:type="dxa"/>
        </w:trPr>
        <w:tc>
          <w:tcPr>
            <w:tcW w:w="567" w:type="dxa"/>
            <w:vAlign w:val="center"/>
          </w:tcPr>
          <w:p w14:paraId="33AD3D3F" w14:textId="77777777" w:rsidR="00B60F36" w:rsidRDefault="00B60F36" w:rsidP="00B60F36">
            <w:pPr>
              <w:pStyle w:val="Normal1"/>
              <w:jc w:val="center"/>
            </w:pPr>
            <w:r>
              <w:rPr>
                <w:b/>
              </w:rPr>
              <w:t>4</w:t>
            </w:r>
          </w:p>
        </w:tc>
        <w:tc>
          <w:tcPr>
            <w:tcW w:w="3970" w:type="dxa"/>
            <w:vAlign w:val="center"/>
          </w:tcPr>
          <w:p w14:paraId="18136318" w14:textId="77777777" w:rsidR="00B60F36" w:rsidRDefault="00B60F36" w:rsidP="00B60F36">
            <w:pPr>
              <w:pStyle w:val="Normal1"/>
              <w:jc w:val="center"/>
            </w:pPr>
          </w:p>
        </w:tc>
        <w:tc>
          <w:tcPr>
            <w:tcW w:w="932" w:type="dxa"/>
            <w:vAlign w:val="center"/>
          </w:tcPr>
          <w:p w14:paraId="3ACD54F4" w14:textId="77777777" w:rsidR="00B60F36" w:rsidRDefault="00B60F36" w:rsidP="00B60F36">
            <w:pPr>
              <w:pStyle w:val="Normal1"/>
              <w:jc w:val="both"/>
            </w:pPr>
          </w:p>
        </w:tc>
        <w:tc>
          <w:tcPr>
            <w:tcW w:w="1194" w:type="dxa"/>
            <w:vAlign w:val="center"/>
          </w:tcPr>
          <w:p w14:paraId="7240E82F" w14:textId="77777777" w:rsidR="00B60F36" w:rsidRDefault="00B60F36" w:rsidP="00B60F36">
            <w:pPr>
              <w:pStyle w:val="Normal1"/>
              <w:jc w:val="both"/>
            </w:pPr>
          </w:p>
        </w:tc>
        <w:tc>
          <w:tcPr>
            <w:tcW w:w="2268" w:type="dxa"/>
            <w:vAlign w:val="center"/>
          </w:tcPr>
          <w:p w14:paraId="3F184138" w14:textId="77777777" w:rsidR="00B60F36" w:rsidRDefault="00B60F36" w:rsidP="00B60F36">
            <w:pPr>
              <w:pStyle w:val="Normal1"/>
              <w:jc w:val="both"/>
            </w:pPr>
          </w:p>
        </w:tc>
        <w:tc>
          <w:tcPr>
            <w:tcW w:w="1701" w:type="dxa"/>
            <w:vAlign w:val="center"/>
          </w:tcPr>
          <w:p w14:paraId="208ADBC9" w14:textId="77777777" w:rsidR="00B60F36" w:rsidRDefault="00B60F36" w:rsidP="00B60F36">
            <w:pPr>
              <w:pStyle w:val="Normal1"/>
              <w:jc w:val="both"/>
            </w:pPr>
          </w:p>
        </w:tc>
        <w:tc>
          <w:tcPr>
            <w:tcW w:w="1833" w:type="dxa"/>
            <w:vAlign w:val="center"/>
          </w:tcPr>
          <w:p w14:paraId="0A1E6AB7" w14:textId="77777777" w:rsidR="00B60F36" w:rsidRDefault="00B60F36" w:rsidP="00B60F36">
            <w:pPr>
              <w:pStyle w:val="Normal1"/>
              <w:jc w:val="both"/>
            </w:pPr>
          </w:p>
        </w:tc>
        <w:tc>
          <w:tcPr>
            <w:tcW w:w="2278" w:type="dxa"/>
            <w:vAlign w:val="center"/>
          </w:tcPr>
          <w:p w14:paraId="4BF0A6E7" w14:textId="77777777" w:rsidR="00B60F36" w:rsidRDefault="00B60F36" w:rsidP="00B60F36">
            <w:pPr>
              <w:pStyle w:val="Normal1"/>
              <w:jc w:val="both"/>
            </w:pPr>
          </w:p>
        </w:tc>
      </w:tr>
      <w:tr w:rsidR="00B60F36" w14:paraId="53C639BB" w14:textId="77777777" w:rsidTr="00B60F36">
        <w:trPr>
          <w:gridAfter w:val="1"/>
          <w:wAfter w:w="47" w:type="dxa"/>
        </w:trPr>
        <w:tc>
          <w:tcPr>
            <w:tcW w:w="567" w:type="dxa"/>
            <w:vAlign w:val="center"/>
          </w:tcPr>
          <w:p w14:paraId="2A47E406" w14:textId="77777777" w:rsidR="00B60F36" w:rsidRDefault="00B60F36" w:rsidP="00B60F36">
            <w:pPr>
              <w:pStyle w:val="Normal1"/>
              <w:jc w:val="center"/>
            </w:pPr>
            <w:r>
              <w:rPr>
                <w:b/>
              </w:rPr>
              <w:t>5</w:t>
            </w:r>
          </w:p>
        </w:tc>
        <w:tc>
          <w:tcPr>
            <w:tcW w:w="3970" w:type="dxa"/>
            <w:vAlign w:val="center"/>
          </w:tcPr>
          <w:p w14:paraId="23037AC5" w14:textId="77777777" w:rsidR="00B60F36" w:rsidRDefault="00B60F36" w:rsidP="00B60F36">
            <w:pPr>
              <w:pStyle w:val="Normal1"/>
              <w:jc w:val="center"/>
            </w:pPr>
          </w:p>
        </w:tc>
        <w:tc>
          <w:tcPr>
            <w:tcW w:w="932" w:type="dxa"/>
            <w:vAlign w:val="center"/>
          </w:tcPr>
          <w:p w14:paraId="5789A112" w14:textId="77777777" w:rsidR="00B60F36" w:rsidRDefault="00B60F36" w:rsidP="00B60F36">
            <w:pPr>
              <w:pStyle w:val="Normal1"/>
              <w:jc w:val="both"/>
            </w:pPr>
          </w:p>
        </w:tc>
        <w:tc>
          <w:tcPr>
            <w:tcW w:w="1194" w:type="dxa"/>
            <w:vAlign w:val="center"/>
          </w:tcPr>
          <w:p w14:paraId="55F510A5" w14:textId="77777777" w:rsidR="00B60F36" w:rsidRDefault="00B60F36" w:rsidP="00B60F36">
            <w:pPr>
              <w:pStyle w:val="Normal1"/>
              <w:jc w:val="both"/>
            </w:pPr>
          </w:p>
        </w:tc>
        <w:tc>
          <w:tcPr>
            <w:tcW w:w="2268" w:type="dxa"/>
            <w:vAlign w:val="center"/>
          </w:tcPr>
          <w:p w14:paraId="358C735E" w14:textId="77777777" w:rsidR="00B60F36" w:rsidRDefault="00B60F36" w:rsidP="00B60F36">
            <w:pPr>
              <w:pStyle w:val="Normal1"/>
              <w:jc w:val="both"/>
            </w:pPr>
          </w:p>
        </w:tc>
        <w:tc>
          <w:tcPr>
            <w:tcW w:w="1701" w:type="dxa"/>
            <w:vAlign w:val="center"/>
          </w:tcPr>
          <w:p w14:paraId="6832A66D" w14:textId="77777777" w:rsidR="00B60F36" w:rsidRDefault="00B60F36" w:rsidP="00B60F36">
            <w:pPr>
              <w:pStyle w:val="Normal1"/>
              <w:jc w:val="both"/>
            </w:pPr>
          </w:p>
        </w:tc>
        <w:tc>
          <w:tcPr>
            <w:tcW w:w="1833" w:type="dxa"/>
            <w:vAlign w:val="center"/>
          </w:tcPr>
          <w:p w14:paraId="7A279629" w14:textId="77777777" w:rsidR="00B60F36" w:rsidRDefault="00B60F36" w:rsidP="00B60F36">
            <w:pPr>
              <w:pStyle w:val="Normal1"/>
              <w:jc w:val="both"/>
            </w:pPr>
          </w:p>
        </w:tc>
        <w:tc>
          <w:tcPr>
            <w:tcW w:w="2278" w:type="dxa"/>
            <w:vAlign w:val="center"/>
          </w:tcPr>
          <w:p w14:paraId="5BB898AE" w14:textId="77777777" w:rsidR="00B60F36" w:rsidRDefault="00B60F36" w:rsidP="00B60F36">
            <w:pPr>
              <w:pStyle w:val="Normal1"/>
              <w:jc w:val="both"/>
            </w:pPr>
          </w:p>
        </w:tc>
      </w:tr>
      <w:tr w:rsidR="00B60F36" w14:paraId="263A5765" w14:textId="77777777" w:rsidTr="00B60F36">
        <w:trPr>
          <w:gridAfter w:val="1"/>
          <w:wAfter w:w="47" w:type="dxa"/>
        </w:trPr>
        <w:tc>
          <w:tcPr>
            <w:tcW w:w="567" w:type="dxa"/>
            <w:vAlign w:val="center"/>
          </w:tcPr>
          <w:p w14:paraId="76A191B3" w14:textId="77777777" w:rsidR="00B60F36" w:rsidRDefault="00B60F36" w:rsidP="00B60F36">
            <w:pPr>
              <w:pStyle w:val="Normal1"/>
              <w:jc w:val="center"/>
            </w:pPr>
            <w:r>
              <w:rPr>
                <w:b/>
              </w:rPr>
              <w:t>6</w:t>
            </w:r>
          </w:p>
        </w:tc>
        <w:tc>
          <w:tcPr>
            <w:tcW w:w="3970" w:type="dxa"/>
            <w:vAlign w:val="center"/>
          </w:tcPr>
          <w:p w14:paraId="2F5F66E8" w14:textId="77777777" w:rsidR="00B60F36" w:rsidRDefault="00B60F36" w:rsidP="00B60F36">
            <w:pPr>
              <w:pStyle w:val="Normal1"/>
              <w:jc w:val="center"/>
            </w:pPr>
          </w:p>
        </w:tc>
        <w:tc>
          <w:tcPr>
            <w:tcW w:w="932" w:type="dxa"/>
            <w:vAlign w:val="center"/>
          </w:tcPr>
          <w:p w14:paraId="79FB94E4" w14:textId="77777777" w:rsidR="00B60F36" w:rsidRDefault="00B60F36" w:rsidP="00B60F36">
            <w:pPr>
              <w:pStyle w:val="Normal1"/>
              <w:jc w:val="both"/>
            </w:pPr>
          </w:p>
        </w:tc>
        <w:tc>
          <w:tcPr>
            <w:tcW w:w="1194" w:type="dxa"/>
            <w:vAlign w:val="center"/>
          </w:tcPr>
          <w:p w14:paraId="438BDB06" w14:textId="77777777" w:rsidR="00B60F36" w:rsidRDefault="00B60F36" w:rsidP="00B60F36">
            <w:pPr>
              <w:pStyle w:val="Normal1"/>
              <w:jc w:val="both"/>
            </w:pPr>
          </w:p>
        </w:tc>
        <w:tc>
          <w:tcPr>
            <w:tcW w:w="2268" w:type="dxa"/>
            <w:vAlign w:val="center"/>
          </w:tcPr>
          <w:p w14:paraId="675E5A1B" w14:textId="77777777" w:rsidR="00B60F36" w:rsidRDefault="00B60F36" w:rsidP="00B60F36">
            <w:pPr>
              <w:pStyle w:val="Normal1"/>
              <w:jc w:val="both"/>
            </w:pPr>
          </w:p>
        </w:tc>
        <w:tc>
          <w:tcPr>
            <w:tcW w:w="1701" w:type="dxa"/>
            <w:vAlign w:val="center"/>
          </w:tcPr>
          <w:p w14:paraId="29B3B15A" w14:textId="77777777" w:rsidR="00B60F36" w:rsidRDefault="00B60F36" w:rsidP="00B60F36">
            <w:pPr>
              <w:pStyle w:val="Normal1"/>
              <w:jc w:val="both"/>
            </w:pPr>
          </w:p>
        </w:tc>
        <w:tc>
          <w:tcPr>
            <w:tcW w:w="1833" w:type="dxa"/>
            <w:vAlign w:val="center"/>
          </w:tcPr>
          <w:p w14:paraId="6DA7809E" w14:textId="77777777" w:rsidR="00B60F36" w:rsidRDefault="00B60F36" w:rsidP="00B60F36">
            <w:pPr>
              <w:pStyle w:val="Normal1"/>
              <w:jc w:val="both"/>
            </w:pPr>
          </w:p>
        </w:tc>
        <w:tc>
          <w:tcPr>
            <w:tcW w:w="2278" w:type="dxa"/>
            <w:vAlign w:val="center"/>
          </w:tcPr>
          <w:p w14:paraId="4DFE0CB5" w14:textId="77777777" w:rsidR="00B60F36" w:rsidRDefault="00B60F36" w:rsidP="00B60F36">
            <w:pPr>
              <w:pStyle w:val="Normal1"/>
              <w:jc w:val="both"/>
            </w:pPr>
          </w:p>
        </w:tc>
      </w:tr>
      <w:tr w:rsidR="00B60F36" w14:paraId="0F8F8B4F" w14:textId="77777777" w:rsidTr="00B60F36">
        <w:trPr>
          <w:gridAfter w:val="1"/>
          <w:wAfter w:w="47" w:type="dxa"/>
        </w:trPr>
        <w:tc>
          <w:tcPr>
            <w:tcW w:w="567" w:type="dxa"/>
            <w:vAlign w:val="center"/>
          </w:tcPr>
          <w:p w14:paraId="273776CA" w14:textId="77777777" w:rsidR="00B60F36" w:rsidRDefault="00B60F36" w:rsidP="00B60F36">
            <w:pPr>
              <w:pStyle w:val="Normal1"/>
              <w:jc w:val="center"/>
            </w:pPr>
            <w:r>
              <w:rPr>
                <w:b/>
              </w:rPr>
              <w:t>7</w:t>
            </w:r>
          </w:p>
        </w:tc>
        <w:tc>
          <w:tcPr>
            <w:tcW w:w="3970" w:type="dxa"/>
            <w:vAlign w:val="center"/>
          </w:tcPr>
          <w:p w14:paraId="15D4E699" w14:textId="77777777" w:rsidR="00B60F36" w:rsidRDefault="00B60F36" w:rsidP="00B60F36">
            <w:pPr>
              <w:pStyle w:val="Normal1"/>
              <w:jc w:val="center"/>
            </w:pPr>
          </w:p>
        </w:tc>
        <w:tc>
          <w:tcPr>
            <w:tcW w:w="932" w:type="dxa"/>
            <w:vAlign w:val="center"/>
          </w:tcPr>
          <w:p w14:paraId="239F2C70" w14:textId="77777777" w:rsidR="00B60F36" w:rsidRDefault="00B60F36" w:rsidP="00B60F36">
            <w:pPr>
              <w:pStyle w:val="Normal1"/>
              <w:jc w:val="both"/>
            </w:pPr>
          </w:p>
        </w:tc>
        <w:tc>
          <w:tcPr>
            <w:tcW w:w="1194" w:type="dxa"/>
            <w:vAlign w:val="center"/>
          </w:tcPr>
          <w:p w14:paraId="2C7888A6" w14:textId="77777777" w:rsidR="00B60F36" w:rsidRDefault="00B60F36" w:rsidP="00B60F36">
            <w:pPr>
              <w:pStyle w:val="Normal1"/>
              <w:jc w:val="both"/>
            </w:pPr>
          </w:p>
        </w:tc>
        <w:tc>
          <w:tcPr>
            <w:tcW w:w="2268" w:type="dxa"/>
            <w:vAlign w:val="center"/>
          </w:tcPr>
          <w:p w14:paraId="271F187B" w14:textId="77777777" w:rsidR="00B60F36" w:rsidRDefault="00B60F36" w:rsidP="00B60F36">
            <w:pPr>
              <w:pStyle w:val="Normal1"/>
              <w:jc w:val="both"/>
            </w:pPr>
          </w:p>
        </w:tc>
        <w:tc>
          <w:tcPr>
            <w:tcW w:w="1701" w:type="dxa"/>
            <w:vAlign w:val="center"/>
          </w:tcPr>
          <w:p w14:paraId="6EFAE7CB" w14:textId="77777777" w:rsidR="00B60F36" w:rsidRDefault="00B60F36" w:rsidP="00B60F36">
            <w:pPr>
              <w:pStyle w:val="Normal1"/>
              <w:jc w:val="both"/>
            </w:pPr>
          </w:p>
        </w:tc>
        <w:tc>
          <w:tcPr>
            <w:tcW w:w="1833" w:type="dxa"/>
            <w:vAlign w:val="center"/>
          </w:tcPr>
          <w:p w14:paraId="2A9B5108" w14:textId="77777777" w:rsidR="00B60F36" w:rsidRDefault="00B60F36" w:rsidP="00B60F36">
            <w:pPr>
              <w:pStyle w:val="Normal1"/>
              <w:jc w:val="both"/>
            </w:pPr>
          </w:p>
        </w:tc>
        <w:tc>
          <w:tcPr>
            <w:tcW w:w="2278" w:type="dxa"/>
            <w:vAlign w:val="center"/>
          </w:tcPr>
          <w:p w14:paraId="2380642B" w14:textId="77777777" w:rsidR="00B60F36" w:rsidRDefault="00B60F36" w:rsidP="00B60F36">
            <w:pPr>
              <w:pStyle w:val="Normal1"/>
              <w:jc w:val="both"/>
            </w:pPr>
          </w:p>
        </w:tc>
      </w:tr>
    </w:tbl>
    <w:p w14:paraId="10E00655" w14:textId="77777777" w:rsidR="00B60F36" w:rsidRDefault="00B60F36" w:rsidP="00B60F36">
      <w:pPr>
        <w:autoSpaceDE w:val="0"/>
        <w:autoSpaceDN w:val="0"/>
        <w:adjustRightInd w:val="0"/>
        <w:spacing w:after="0" w:line="240" w:lineRule="auto"/>
        <w:rPr>
          <w:rFonts w:ascii="Arial" w:hAnsi="Arial" w:cs="Arial"/>
          <w:b/>
          <w:bCs/>
        </w:rPr>
        <w:sectPr w:rsidR="00B60F36" w:rsidSect="00B60F36">
          <w:pgSz w:w="15840" w:h="12240" w:orient="landscape"/>
          <w:pgMar w:top="426" w:right="1418" w:bottom="1701" w:left="1418" w:header="709" w:footer="709" w:gutter="0"/>
          <w:cols w:space="708"/>
          <w:docGrid w:linePitch="360"/>
        </w:sectPr>
      </w:pPr>
    </w:p>
    <w:p w14:paraId="7D5F99EE" w14:textId="77777777" w:rsidR="00B60F36" w:rsidRDefault="00B60F36" w:rsidP="00B60F36">
      <w:pPr>
        <w:autoSpaceDE w:val="0"/>
        <w:autoSpaceDN w:val="0"/>
        <w:adjustRightInd w:val="0"/>
        <w:spacing w:after="0" w:line="240" w:lineRule="auto"/>
        <w:rPr>
          <w:rFonts w:ascii="Arial" w:hAnsi="Arial" w:cs="Arial"/>
          <w:b/>
          <w:bCs/>
        </w:rPr>
      </w:pPr>
    </w:p>
    <w:p w14:paraId="57A1425C" w14:textId="77777777" w:rsidR="00B60F36" w:rsidRDefault="00B60F36" w:rsidP="00B60F36">
      <w:pPr>
        <w:autoSpaceDE w:val="0"/>
        <w:autoSpaceDN w:val="0"/>
        <w:adjustRightInd w:val="0"/>
        <w:spacing w:after="0" w:line="240" w:lineRule="auto"/>
        <w:jc w:val="center"/>
        <w:rPr>
          <w:rFonts w:ascii="Arial" w:hAnsi="Arial" w:cs="Arial"/>
          <w:b/>
          <w:bCs/>
        </w:rPr>
      </w:pPr>
      <w:r>
        <w:rPr>
          <w:rFonts w:ascii="Arial" w:hAnsi="Arial" w:cs="Arial"/>
          <w:b/>
          <w:bCs/>
        </w:rPr>
        <w:t>SECCIÓN III DENOMINACIÓN DE ORIGEN</w:t>
      </w:r>
    </w:p>
    <w:p w14:paraId="607BA9D9" w14:textId="77777777" w:rsidR="00B60F36" w:rsidRDefault="00B60F36" w:rsidP="00B60F36">
      <w:pPr>
        <w:autoSpaceDE w:val="0"/>
        <w:autoSpaceDN w:val="0"/>
        <w:adjustRightInd w:val="0"/>
        <w:spacing w:after="0" w:line="240" w:lineRule="auto"/>
        <w:rPr>
          <w:rFonts w:ascii="Arial" w:hAnsi="Arial" w:cs="Arial"/>
          <w:b/>
          <w:bCs/>
        </w:rPr>
      </w:pPr>
    </w:p>
    <w:p w14:paraId="032FCF4A" w14:textId="4A7622D2" w:rsidR="00B60F36" w:rsidRPr="00BA06F5" w:rsidRDefault="003C35C7" w:rsidP="00B60F36">
      <w:pPr>
        <w:autoSpaceDE w:val="0"/>
        <w:autoSpaceDN w:val="0"/>
        <w:adjustRightInd w:val="0"/>
        <w:spacing w:after="0" w:line="240" w:lineRule="auto"/>
        <w:rPr>
          <w:rFonts w:ascii="Arial" w:hAnsi="Arial" w:cs="Arial"/>
          <w:bCs/>
        </w:rPr>
      </w:pPr>
      <w:r>
        <w:rPr>
          <w:rFonts w:ascii="Arial" w:hAnsi="Arial" w:cs="Arial"/>
          <w:bCs/>
        </w:rPr>
        <w:t>¿</w:t>
      </w:r>
      <w:r w:rsidR="00B60F36" w:rsidRPr="00BA06F5">
        <w:rPr>
          <w:rFonts w:ascii="Arial" w:hAnsi="Arial" w:cs="Arial"/>
          <w:bCs/>
        </w:rPr>
        <w:t>Conoce usted sobre la calidad de café que produce en su finca y/o fincas</w:t>
      </w:r>
      <w:r>
        <w:rPr>
          <w:rFonts w:ascii="Arial" w:hAnsi="Arial" w:cs="Arial"/>
          <w:bCs/>
        </w:rPr>
        <w:t>?</w:t>
      </w:r>
    </w:p>
    <w:p w14:paraId="5C2FFB1C" w14:textId="77777777" w:rsidR="00B60F36" w:rsidRPr="00BA06F5" w:rsidRDefault="00B60F36" w:rsidP="00B60F36">
      <w:pPr>
        <w:autoSpaceDE w:val="0"/>
        <w:autoSpaceDN w:val="0"/>
        <w:adjustRightInd w:val="0"/>
        <w:spacing w:after="0" w:line="240" w:lineRule="auto"/>
        <w:rPr>
          <w:rFonts w:ascii="Arial" w:hAnsi="Arial" w:cs="Arial"/>
          <w:bCs/>
        </w:rPr>
      </w:pPr>
    </w:p>
    <w:p w14:paraId="37C147FA" w14:textId="7706AEB8" w:rsidR="00B60F36" w:rsidRDefault="00B60F36" w:rsidP="00B60F36">
      <w:pPr>
        <w:autoSpaceDE w:val="0"/>
        <w:autoSpaceDN w:val="0"/>
        <w:adjustRightInd w:val="0"/>
        <w:spacing w:after="0" w:line="240" w:lineRule="auto"/>
        <w:rPr>
          <w:rFonts w:ascii="Arial" w:hAnsi="Arial" w:cs="Arial"/>
          <w:bCs/>
        </w:rPr>
      </w:pPr>
      <w:r w:rsidRPr="00BA06F5">
        <w:rPr>
          <w:rFonts w:ascii="Arial" w:hAnsi="Arial" w:cs="Arial"/>
          <w:bCs/>
        </w:rPr>
        <w:t xml:space="preserve">1 Si </w:t>
      </w:r>
    </w:p>
    <w:p w14:paraId="5669C9A5" w14:textId="08EDB3AF" w:rsidR="003C35C7" w:rsidRDefault="003C35C7" w:rsidP="00B60F36">
      <w:pPr>
        <w:autoSpaceDE w:val="0"/>
        <w:autoSpaceDN w:val="0"/>
        <w:adjustRightInd w:val="0"/>
        <w:spacing w:after="0" w:line="240" w:lineRule="auto"/>
        <w:rPr>
          <w:rFonts w:ascii="Arial" w:hAnsi="Arial" w:cs="Arial"/>
          <w:bCs/>
        </w:rPr>
      </w:pPr>
      <w:r>
        <w:rPr>
          <w:rFonts w:ascii="Arial" w:hAnsi="Arial" w:cs="Arial"/>
          <w:bCs/>
        </w:rPr>
        <w:t>2 No</w:t>
      </w:r>
    </w:p>
    <w:p w14:paraId="2212F853" w14:textId="4756B5DA" w:rsidR="003C35C7" w:rsidRDefault="003C35C7" w:rsidP="00B60F36">
      <w:pPr>
        <w:autoSpaceDE w:val="0"/>
        <w:autoSpaceDN w:val="0"/>
        <w:adjustRightInd w:val="0"/>
        <w:spacing w:after="0" w:line="240" w:lineRule="auto"/>
        <w:rPr>
          <w:rFonts w:ascii="Arial" w:hAnsi="Arial" w:cs="Arial"/>
          <w:bCs/>
        </w:rPr>
      </w:pPr>
      <w:r>
        <w:rPr>
          <w:rFonts w:ascii="Arial" w:hAnsi="Arial" w:cs="Arial"/>
          <w:bCs/>
        </w:rPr>
        <w:t>¿Por qué?</w:t>
      </w:r>
    </w:p>
    <w:p w14:paraId="648B340D" w14:textId="77777777" w:rsidR="003C35C7" w:rsidRDefault="003C35C7" w:rsidP="00B60F36">
      <w:pPr>
        <w:autoSpaceDE w:val="0"/>
        <w:autoSpaceDN w:val="0"/>
        <w:adjustRightInd w:val="0"/>
        <w:spacing w:after="0" w:line="240" w:lineRule="auto"/>
        <w:rPr>
          <w:rFonts w:ascii="Arial" w:hAnsi="Arial" w:cs="Arial"/>
          <w:bCs/>
        </w:rPr>
      </w:pPr>
    </w:p>
    <w:p w14:paraId="0CF31465" w14:textId="25ACF383" w:rsidR="00B60F36" w:rsidRPr="00AF1E1D" w:rsidRDefault="00B60F36" w:rsidP="00AF1E1D">
      <w:pPr>
        <w:pStyle w:val="Prrafodelista"/>
        <w:autoSpaceDE w:val="0"/>
        <w:autoSpaceDN w:val="0"/>
        <w:adjustRightInd w:val="0"/>
        <w:spacing w:after="0" w:line="240" w:lineRule="auto"/>
        <w:ind w:left="465"/>
        <w:rPr>
          <w:rFonts w:ascii="Arial" w:hAnsi="Arial" w:cs="Arial"/>
          <w:bCs/>
        </w:rPr>
      </w:pPr>
    </w:p>
    <w:p w14:paraId="1B90EFE3" w14:textId="77777777" w:rsidR="003C35C7" w:rsidRPr="00AF1E1D" w:rsidRDefault="003C35C7" w:rsidP="00AF1E1D">
      <w:pPr>
        <w:autoSpaceDE w:val="0"/>
        <w:autoSpaceDN w:val="0"/>
        <w:adjustRightInd w:val="0"/>
        <w:spacing w:after="0" w:line="240" w:lineRule="auto"/>
        <w:rPr>
          <w:rFonts w:ascii="Arial" w:hAnsi="Arial" w:cs="Arial"/>
          <w:bCs/>
        </w:rPr>
      </w:pPr>
    </w:p>
    <w:p w14:paraId="6462209C" w14:textId="77777777" w:rsidR="00B60F36" w:rsidRPr="00BA06F5" w:rsidRDefault="00B60F36" w:rsidP="00B60F36">
      <w:pPr>
        <w:autoSpaceDE w:val="0"/>
        <w:autoSpaceDN w:val="0"/>
        <w:adjustRightInd w:val="0"/>
        <w:spacing w:after="0" w:line="240" w:lineRule="auto"/>
        <w:rPr>
          <w:rFonts w:ascii="Arial" w:hAnsi="Arial" w:cs="Arial"/>
          <w:bCs/>
        </w:rPr>
      </w:pPr>
    </w:p>
    <w:p w14:paraId="2389EA2C" w14:textId="2596E92F" w:rsidR="00B60F36" w:rsidRDefault="003C35C7" w:rsidP="00B60F36">
      <w:pPr>
        <w:autoSpaceDE w:val="0"/>
        <w:autoSpaceDN w:val="0"/>
        <w:adjustRightInd w:val="0"/>
        <w:spacing w:after="0" w:line="240" w:lineRule="auto"/>
        <w:rPr>
          <w:rFonts w:ascii="Arial" w:hAnsi="Arial" w:cs="Arial"/>
          <w:bCs/>
        </w:rPr>
      </w:pPr>
      <w:r>
        <w:rPr>
          <w:rFonts w:ascii="Arial" w:hAnsi="Arial" w:cs="Arial"/>
          <w:bCs/>
        </w:rPr>
        <w:t>¿</w:t>
      </w:r>
      <w:r w:rsidR="00B60F36" w:rsidRPr="00BA06F5">
        <w:rPr>
          <w:rFonts w:ascii="Arial" w:hAnsi="Arial" w:cs="Arial"/>
          <w:bCs/>
        </w:rPr>
        <w:t>Ha catado usted alguna d</w:t>
      </w:r>
      <w:r w:rsidR="00B60F36">
        <w:rPr>
          <w:rFonts w:ascii="Arial" w:hAnsi="Arial" w:cs="Arial"/>
          <w:bCs/>
        </w:rPr>
        <w:t>e sus fincas que tienen cultivadas que le indiquen la calidad que posee</w:t>
      </w:r>
      <w:r>
        <w:rPr>
          <w:rFonts w:ascii="Arial" w:hAnsi="Arial" w:cs="Arial"/>
          <w:bCs/>
        </w:rPr>
        <w:t>?</w:t>
      </w:r>
    </w:p>
    <w:p w14:paraId="7CE96A3B" w14:textId="77777777" w:rsidR="00B60F36" w:rsidRDefault="00B60F36" w:rsidP="00B60F36">
      <w:pPr>
        <w:autoSpaceDE w:val="0"/>
        <w:autoSpaceDN w:val="0"/>
        <w:adjustRightInd w:val="0"/>
        <w:spacing w:after="0" w:line="240" w:lineRule="auto"/>
        <w:rPr>
          <w:rFonts w:ascii="Arial" w:hAnsi="Arial" w:cs="Arial"/>
          <w:bCs/>
        </w:rPr>
      </w:pPr>
    </w:p>
    <w:p w14:paraId="219D47E1"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1 Si</w:t>
      </w:r>
    </w:p>
    <w:p w14:paraId="29DB52B0" w14:textId="297C711D"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2 No </w:t>
      </w:r>
    </w:p>
    <w:p w14:paraId="260C327D" w14:textId="36088855" w:rsidR="003C35C7" w:rsidRDefault="003C35C7" w:rsidP="00B60F36">
      <w:pPr>
        <w:autoSpaceDE w:val="0"/>
        <w:autoSpaceDN w:val="0"/>
        <w:adjustRightInd w:val="0"/>
        <w:spacing w:after="0" w:line="240" w:lineRule="auto"/>
        <w:rPr>
          <w:rFonts w:ascii="Arial" w:hAnsi="Arial" w:cs="Arial"/>
          <w:bCs/>
        </w:rPr>
      </w:pPr>
      <w:r>
        <w:rPr>
          <w:rFonts w:ascii="Arial" w:hAnsi="Arial" w:cs="Arial"/>
          <w:bCs/>
        </w:rPr>
        <w:t>¿Por qué?</w:t>
      </w:r>
    </w:p>
    <w:p w14:paraId="0062E95E" w14:textId="6D9F6F5F" w:rsidR="003C35C7" w:rsidRDefault="003C35C7" w:rsidP="00B60F36">
      <w:pPr>
        <w:autoSpaceDE w:val="0"/>
        <w:autoSpaceDN w:val="0"/>
        <w:adjustRightInd w:val="0"/>
        <w:spacing w:after="0" w:line="240" w:lineRule="auto"/>
        <w:rPr>
          <w:rFonts w:ascii="Arial" w:hAnsi="Arial" w:cs="Arial"/>
          <w:bCs/>
        </w:rPr>
      </w:pPr>
    </w:p>
    <w:p w14:paraId="18808082" w14:textId="77777777" w:rsidR="003C35C7" w:rsidRDefault="003C35C7" w:rsidP="00B60F36">
      <w:pPr>
        <w:autoSpaceDE w:val="0"/>
        <w:autoSpaceDN w:val="0"/>
        <w:adjustRightInd w:val="0"/>
        <w:spacing w:after="0" w:line="240" w:lineRule="auto"/>
        <w:rPr>
          <w:rFonts w:ascii="Arial" w:hAnsi="Arial" w:cs="Arial"/>
          <w:bCs/>
        </w:rPr>
      </w:pPr>
    </w:p>
    <w:p w14:paraId="5DFFFC82" w14:textId="77777777" w:rsidR="00B60F36" w:rsidRDefault="00B60F36" w:rsidP="00B60F36">
      <w:pPr>
        <w:autoSpaceDE w:val="0"/>
        <w:autoSpaceDN w:val="0"/>
        <w:adjustRightInd w:val="0"/>
        <w:spacing w:after="0" w:line="240" w:lineRule="auto"/>
        <w:rPr>
          <w:rFonts w:ascii="Arial" w:hAnsi="Arial" w:cs="Arial"/>
          <w:bCs/>
        </w:rPr>
      </w:pPr>
    </w:p>
    <w:p w14:paraId="4086E782"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Conoce usted lo que plantea la denominación de Origen de café Tarrazú en la Zona de los Santos.</w:t>
      </w:r>
    </w:p>
    <w:p w14:paraId="126C4FBB" w14:textId="77777777" w:rsidR="00B60F36" w:rsidRDefault="00B60F36" w:rsidP="00B60F36">
      <w:pPr>
        <w:autoSpaceDE w:val="0"/>
        <w:autoSpaceDN w:val="0"/>
        <w:adjustRightInd w:val="0"/>
        <w:spacing w:after="0" w:line="240" w:lineRule="auto"/>
        <w:rPr>
          <w:rFonts w:ascii="Arial" w:hAnsi="Arial" w:cs="Arial"/>
          <w:bCs/>
        </w:rPr>
      </w:pPr>
    </w:p>
    <w:p w14:paraId="603B62D1"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1 Si </w:t>
      </w:r>
    </w:p>
    <w:p w14:paraId="614ADA5E" w14:textId="7B117D8C"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2 No</w:t>
      </w:r>
    </w:p>
    <w:p w14:paraId="12BB6995" w14:textId="77777777" w:rsidR="00AF1E1D" w:rsidRDefault="00AF1E1D" w:rsidP="00B60F36">
      <w:pPr>
        <w:autoSpaceDE w:val="0"/>
        <w:autoSpaceDN w:val="0"/>
        <w:adjustRightInd w:val="0"/>
        <w:spacing w:after="0" w:line="240" w:lineRule="auto"/>
        <w:rPr>
          <w:rFonts w:ascii="Arial" w:hAnsi="Arial" w:cs="Arial"/>
          <w:bCs/>
        </w:rPr>
      </w:pPr>
      <w:r>
        <w:rPr>
          <w:rFonts w:ascii="Arial" w:hAnsi="Arial" w:cs="Arial"/>
          <w:bCs/>
        </w:rPr>
        <w:t>¿Por qué?</w:t>
      </w:r>
    </w:p>
    <w:p w14:paraId="152A0A1C" w14:textId="77777777" w:rsidR="00AF1E1D" w:rsidRDefault="00AF1E1D" w:rsidP="00B60F36">
      <w:pPr>
        <w:autoSpaceDE w:val="0"/>
        <w:autoSpaceDN w:val="0"/>
        <w:adjustRightInd w:val="0"/>
        <w:spacing w:after="0" w:line="240" w:lineRule="auto"/>
        <w:rPr>
          <w:rFonts w:ascii="Arial" w:hAnsi="Arial" w:cs="Arial"/>
          <w:bCs/>
        </w:rPr>
      </w:pPr>
    </w:p>
    <w:p w14:paraId="690A5DFE" w14:textId="3ACE3DEA" w:rsidR="00AF1E1D" w:rsidRDefault="00AF1E1D" w:rsidP="00B60F36">
      <w:pPr>
        <w:autoSpaceDE w:val="0"/>
        <w:autoSpaceDN w:val="0"/>
        <w:adjustRightInd w:val="0"/>
        <w:spacing w:after="0" w:line="240" w:lineRule="auto"/>
        <w:rPr>
          <w:rFonts w:ascii="Arial" w:hAnsi="Arial" w:cs="Arial"/>
          <w:bCs/>
        </w:rPr>
      </w:pPr>
      <w:r>
        <w:rPr>
          <w:rFonts w:ascii="Arial" w:hAnsi="Arial" w:cs="Arial"/>
          <w:bCs/>
        </w:rPr>
        <w:t xml:space="preserve"> </w:t>
      </w:r>
    </w:p>
    <w:p w14:paraId="0FA83E50" w14:textId="77777777" w:rsidR="00B60F36" w:rsidRDefault="00B60F36" w:rsidP="00B60F36">
      <w:pPr>
        <w:autoSpaceDE w:val="0"/>
        <w:autoSpaceDN w:val="0"/>
        <w:adjustRightInd w:val="0"/>
        <w:spacing w:after="0" w:line="240" w:lineRule="auto"/>
        <w:rPr>
          <w:rFonts w:ascii="Arial" w:hAnsi="Arial" w:cs="Arial"/>
          <w:bCs/>
        </w:rPr>
      </w:pPr>
    </w:p>
    <w:p w14:paraId="446B47B2"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Podría especificar en sus propias palabras lo que plantea la denominación de origen de café en Tarrazú para la Zona de los Santos</w:t>
      </w:r>
    </w:p>
    <w:p w14:paraId="62AA6030" w14:textId="77777777" w:rsidR="00B60F36" w:rsidRDefault="00B60F36" w:rsidP="00B60F36">
      <w:pPr>
        <w:autoSpaceDE w:val="0"/>
        <w:autoSpaceDN w:val="0"/>
        <w:adjustRightInd w:val="0"/>
        <w:spacing w:after="0" w:line="240" w:lineRule="auto"/>
        <w:rPr>
          <w:rFonts w:ascii="Arial" w:hAnsi="Arial" w:cs="Arial"/>
          <w:bCs/>
        </w:rPr>
      </w:pPr>
    </w:p>
    <w:p w14:paraId="3D38FA30" w14:textId="77777777" w:rsidR="00B60F36" w:rsidRDefault="00B60F36" w:rsidP="00B60F36">
      <w:pPr>
        <w:autoSpaceDE w:val="0"/>
        <w:autoSpaceDN w:val="0"/>
        <w:adjustRightInd w:val="0"/>
        <w:spacing w:after="0" w:line="240" w:lineRule="auto"/>
        <w:rPr>
          <w:rFonts w:ascii="Arial" w:hAnsi="Arial" w:cs="Arial"/>
          <w:bCs/>
        </w:rPr>
      </w:pPr>
    </w:p>
    <w:p w14:paraId="4DE2DABA" w14:textId="77777777" w:rsidR="00B60F36" w:rsidRDefault="00B60F36" w:rsidP="00B60F36">
      <w:pPr>
        <w:autoSpaceDE w:val="0"/>
        <w:autoSpaceDN w:val="0"/>
        <w:adjustRightInd w:val="0"/>
        <w:spacing w:after="0" w:line="240" w:lineRule="auto"/>
        <w:rPr>
          <w:rFonts w:ascii="Arial" w:hAnsi="Arial" w:cs="Arial"/>
          <w:bCs/>
        </w:rPr>
      </w:pPr>
    </w:p>
    <w:p w14:paraId="12EE02DD" w14:textId="77777777" w:rsidR="00B60F36" w:rsidRDefault="00B60F36" w:rsidP="00B60F36">
      <w:pPr>
        <w:autoSpaceDE w:val="0"/>
        <w:autoSpaceDN w:val="0"/>
        <w:adjustRightInd w:val="0"/>
        <w:spacing w:after="0" w:line="240" w:lineRule="auto"/>
        <w:rPr>
          <w:rFonts w:ascii="Arial" w:hAnsi="Arial" w:cs="Arial"/>
          <w:bCs/>
        </w:rPr>
      </w:pPr>
    </w:p>
    <w:p w14:paraId="4FF0A456" w14:textId="77777777" w:rsidR="00B60F36" w:rsidRDefault="00B60F36" w:rsidP="00B60F36">
      <w:pPr>
        <w:autoSpaceDE w:val="0"/>
        <w:autoSpaceDN w:val="0"/>
        <w:adjustRightInd w:val="0"/>
        <w:spacing w:after="0" w:line="240" w:lineRule="auto"/>
        <w:rPr>
          <w:rFonts w:ascii="Arial" w:hAnsi="Arial" w:cs="Arial"/>
          <w:bCs/>
        </w:rPr>
      </w:pPr>
    </w:p>
    <w:p w14:paraId="5DDD5F17" w14:textId="77777777" w:rsidR="00B60F36" w:rsidRDefault="00B60F36" w:rsidP="00B60F36">
      <w:pPr>
        <w:autoSpaceDE w:val="0"/>
        <w:autoSpaceDN w:val="0"/>
        <w:adjustRightInd w:val="0"/>
        <w:spacing w:after="0" w:line="240" w:lineRule="auto"/>
        <w:rPr>
          <w:rFonts w:ascii="Arial" w:hAnsi="Arial" w:cs="Arial"/>
          <w:bCs/>
        </w:rPr>
      </w:pPr>
    </w:p>
    <w:p w14:paraId="1095EC1F" w14:textId="77777777" w:rsidR="00B60F36" w:rsidRDefault="00B60F36" w:rsidP="00B60F36">
      <w:pPr>
        <w:autoSpaceDE w:val="0"/>
        <w:autoSpaceDN w:val="0"/>
        <w:adjustRightInd w:val="0"/>
        <w:spacing w:after="0" w:line="240" w:lineRule="auto"/>
        <w:rPr>
          <w:rFonts w:ascii="Arial" w:hAnsi="Arial" w:cs="Arial"/>
          <w:bCs/>
        </w:rPr>
      </w:pPr>
    </w:p>
    <w:p w14:paraId="629010EA"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¿Cuáles ventajas considera usted que le aportaría la Denominación de origen café Tarrazú a su producción? (Elegir tres)</w:t>
      </w:r>
    </w:p>
    <w:p w14:paraId="4BE5CEED" w14:textId="77777777" w:rsidR="00B60F36" w:rsidRDefault="00B60F36" w:rsidP="00B60F36">
      <w:pPr>
        <w:pStyle w:val="Prrafodelista"/>
        <w:numPr>
          <w:ilvl w:val="0"/>
          <w:numId w:val="35"/>
        </w:numPr>
        <w:autoSpaceDE w:val="0"/>
        <w:autoSpaceDN w:val="0"/>
        <w:adjustRightInd w:val="0"/>
        <w:spacing w:after="0" w:line="240" w:lineRule="auto"/>
        <w:rPr>
          <w:rFonts w:ascii="Arial" w:hAnsi="Arial" w:cs="Arial"/>
          <w:bCs/>
        </w:rPr>
      </w:pPr>
      <w:r>
        <w:rPr>
          <w:rFonts w:ascii="Arial" w:hAnsi="Arial" w:cs="Arial"/>
          <w:bCs/>
        </w:rPr>
        <w:t>Mejor precio de venta</w:t>
      </w:r>
    </w:p>
    <w:p w14:paraId="4A4045D8" w14:textId="77777777" w:rsidR="00B60F36" w:rsidRDefault="00B60F36" w:rsidP="00B60F36">
      <w:pPr>
        <w:pStyle w:val="Prrafodelista"/>
        <w:numPr>
          <w:ilvl w:val="0"/>
          <w:numId w:val="35"/>
        </w:numPr>
        <w:autoSpaceDE w:val="0"/>
        <w:autoSpaceDN w:val="0"/>
        <w:adjustRightInd w:val="0"/>
        <w:spacing w:after="0" w:line="240" w:lineRule="auto"/>
        <w:rPr>
          <w:rFonts w:ascii="Arial" w:hAnsi="Arial" w:cs="Arial"/>
          <w:bCs/>
        </w:rPr>
      </w:pPr>
      <w:r>
        <w:rPr>
          <w:rFonts w:ascii="Arial" w:hAnsi="Arial" w:cs="Arial"/>
          <w:bCs/>
        </w:rPr>
        <w:t xml:space="preserve">Reconocimiento de la calidad </w:t>
      </w:r>
    </w:p>
    <w:p w14:paraId="1EC450F4" w14:textId="77777777" w:rsidR="00B60F36" w:rsidRDefault="00B60F36" w:rsidP="00B60F36">
      <w:pPr>
        <w:pStyle w:val="Prrafodelista"/>
        <w:numPr>
          <w:ilvl w:val="0"/>
          <w:numId w:val="35"/>
        </w:numPr>
        <w:autoSpaceDE w:val="0"/>
        <w:autoSpaceDN w:val="0"/>
        <w:adjustRightInd w:val="0"/>
        <w:spacing w:after="0" w:line="240" w:lineRule="auto"/>
        <w:rPr>
          <w:rFonts w:ascii="Arial" w:hAnsi="Arial" w:cs="Arial"/>
          <w:bCs/>
        </w:rPr>
      </w:pPr>
      <w:r>
        <w:rPr>
          <w:rFonts w:ascii="Arial" w:hAnsi="Arial" w:cs="Arial"/>
          <w:bCs/>
        </w:rPr>
        <w:t xml:space="preserve">Lucha contra la falsificación del nombre Tarrazú </w:t>
      </w:r>
    </w:p>
    <w:p w14:paraId="6C62602D" w14:textId="77777777" w:rsidR="00B60F36" w:rsidRDefault="00B60F36" w:rsidP="00B60F36">
      <w:pPr>
        <w:pStyle w:val="Prrafodelista"/>
        <w:numPr>
          <w:ilvl w:val="0"/>
          <w:numId w:val="35"/>
        </w:numPr>
        <w:autoSpaceDE w:val="0"/>
        <w:autoSpaceDN w:val="0"/>
        <w:adjustRightInd w:val="0"/>
        <w:spacing w:after="0" w:line="240" w:lineRule="auto"/>
        <w:rPr>
          <w:rFonts w:ascii="Arial" w:hAnsi="Arial" w:cs="Arial"/>
          <w:bCs/>
        </w:rPr>
      </w:pPr>
      <w:r>
        <w:rPr>
          <w:rFonts w:ascii="Arial" w:hAnsi="Arial" w:cs="Arial"/>
          <w:bCs/>
        </w:rPr>
        <w:t>Mayor presencia del café a nivel Nacional como Internacional</w:t>
      </w:r>
    </w:p>
    <w:p w14:paraId="15109FC0" w14:textId="77777777" w:rsidR="00B60F36" w:rsidRDefault="00B60F36" w:rsidP="00B60F36">
      <w:pPr>
        <w:pStyle w:val="Prrafodelista"/>
        <w:numPr>
          <w:ilvl w:val="0"/>
          <w:numId w:val="35"/>
        </w:numPr>
        <w:autoSpaceDE w:val="0"/>
        <w:autoSpaceDN w:val="0"/>
        <w:adjustRightInd w:val="0"/>
        <w:spacing w:after="0" w:line="240" w:lineRule="auto"/>
        <w:rPr>
          <w:rFonts w:ascii="Arial" w:hAnsi="Arial" w:cs="Arial"/>
          <w:bCs/>
        </w:rPr>
      </w:pPr>
      <w:r>
        <w:rPr>
          <w:rFonts w:ascii="Arial" w:hAnsi="Arial" w:cs="Arial"/>
          <w:bCs/>
        </w:rPr>
        <w:t>Creación de un Micro beneficio para la exportación de café diferenciado</w:t>
      </w:r>
    </w:p>
    <w:p w14:paraId="39CD56E7" w14:textId="77777777" w:rsidR="00B60F36" w:rsidRDefault="00B60F36" w:rsidP="00B60F36">
      <w:pPr>
        <w:pStyle w:val="Prrafodelista"/>
        <w:numPr>
          <w:ilvl w:val="0"/>
          <w:numId w:val="35"/>
        </w:numPr>
        <w:autoSpaceDE w:val="0"/>
        <w:autoSpaceDN w:val="0"/>
        <w:adjustRightInd w:val="0"/>
        <w:spacing w:after="0" w:line="240" w:lineRule="auto"/>
        <w:rPr>
          <w:rFonts w:ascii="Arial" w:hAnsi="Arial" w:cs="Arial"/>
          <w:bCs/>
        </w:rPr>
      </w:pPr>
      <w:r>
        <w:rPr>
          <w:rFonts w:ascii="Arial" w:hAnsi="Arial" w:cs="Arial"/>
          <w:bCs/>
        </w:rPr>
        <w:t>Mayor poder de negociación con compradores nacionales o internacionales de café de alta calidad</w:t>
      </w:r>
    </w:p>
    <w:p w14:paraId="158BA0B4" w14:textId="77777777" w:rsidR="00B60F36" w:rsidRPr="00C22B07" w:rsidRDefault="00B60F36" w:rsidP="00B60F36">
      <w:pPr>
        <w:autoSpaceDE w:val="0"/>
        <w:autoSpaceDN w:val="0"/>
        <w:adjustRightInd w:val="0"/>
        <w:spacing w:after="0" w:line="240" w:lineRule="auto"/>
        <w:rPr>
          <w:rFonts w:ascii="Arial" w:hAnsi="Arial" w:cs="Arial"/>
          <w:bCs/>
        </w:rPr>
      </w:pPr>
    </w:p>
    <w:p w14:paraId="28A0E97E"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Actualmente a qué tipo de organización vende su café </w:t>
      </w:r>
    </w:p>
    <w:p w14:paraId="402A40EB"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1 Cooperativas.  Especifique cual:_____________________________________________</w:t>
      </w:r>
    </w:p>
    <w:p w14:paraId="30094F6A"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lastRenderedPageBreak/>
        <w:t>2 Beneficios de café: Especifique cual: ________________________________________</w:t>
      </w:r>
    </w:p>
    <w:p w14:paraId="70385964"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3 Micro beneficio.  Especifique si es propio o pertenece a otro tercero_______________</w:t>
      </w:r>
    </w:p>
    <w:p w14:paraId="3CCA40E6" w14:textId="77777777" w:rsidR="00B60F36" w:rsidRDefault="00B60F36" w:rsidP="00B60F36">
      <w:pPr>
        <w:autoSpaceDE w:val="0"/>
        <w:autoSpaceDN w:val="0"/>
        <w:adjustRightInd w:val="0"/>
        <w:spacing w:after="0" w:line="240" w:lineRule="auto"/>
        <w:rPr>
          <w:rFonts w:ascii="Arial" w:hAnsi="Arial" w:cs="Arial"/>
          <w:bCs/>
        </w:rPr>
      </w:pPr>
    </w:p>
    <w:p w14:paraId="36287CDD"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Estaría dispuesto a iniciar un proceso de exportación de café bajo la denominación de Origen Tarrazú</w:t>
      </w:r>
    </w:p>
    <w:p w14:paraId="4A4B04CC" w14:textId="77777777" w:rsidR="00B60F36" w:rsidRDefault="00B60F36" w:rsidP="00B60F36">
      <w:pPr>
        <w:autoSpaceDE w:val="0"/>
        <w:autoSpaceDN w:val="0"/>
        <w:adjustRightInd w:val="0"/>
        <w:spacing w:after="0" w:line="240" w:lineRule="auto"/>
        <w:rPr>
          <w:rFonts w:ascii="Arial" w:hAnsi="Arial" w:cs="Arial"/>
          <w:bCs/>
        </w:rPr>
      </w:pPr>
    </w:p>
    <w:p w14:paraId="3B03F022"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1 Si </w:t>
      </w:r>
    </w:p>
    <w:p w14:paraId="21202304"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2 No</w:t>
      </w:r>
    </w:p>
    <w:p w14:paraId="68EC220C" w14:textId="77777777" w:rsidR="00B60F36" w:rsidRDefault="00B60F36" w:rsidP="00B60F36">
      <w:pPr>
        <w:autoSpaceDE w:val="0"/>
        <w:autoSpaceDN w:val="0"/>
        <w:adjustRightInd w:val="0"/>
        <w:spacing w:after="0" w:line="240" w:lineRule="auto"/>
        <w:rPr>
          <w:rFonts w:ascii="Arial" w:hAnsi="Arial" w:cs="Arial"/>
          <w:bCs/>
        </w:rPr>
      </w:pPr>
    </w:p>
    <w:p w14:paraId="45E31F25"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En que cambiaría la denominación de origen Tarrazú a la producción de café en la Zona de los Santos </w:t>
      </w:r>
    </w:p>
    <w:p w14:paraId="352EA0CA"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DB30C2" w14:textId="14CEB9CB" w:rsidR="00B60F36" w:rsidRDefault="00B60F36" w:rsidP="00B60F36">
      <w:pPr>
        <w:autoSpaceDE w:val="0"/>
        <w:autoSpaceDN w:val="0"/>
        <w:adjustRightInd w:val="0"/>
        <w:spacing w:after="0" w:line="240" w:lineRule="auto"/>
        <w:rPr>
          <w:rFonts w:ascii="Arial" w:hAnsi="Arial" w:cs="Arial"/>
          <w:bCs/>
        </w:rPr>
      </w:pPr>
    </w:p>
    <w:p w14:paraId="59BA6DEC" w14:textId="3A50F458" w:rsidR="003C35C7" w:rsidRDefault="003C35C7" w:rsidP="00B60F36">
      <w:pPr>
        <w:autoSpaceDE w:val="0"/>
        <w:autoSpaceDN w:val="0"/>
        <w:adjustRightInd w:val="0"/>
        <w:spacing w:after="0" w:line="240" w:lineRule="auto"/>
        <w:rPr>
          <w:rFonts w:ascii="Arial" w:hAnsi="Arial" w:cs="Arial"/>
          <w:bCs/>
        </w:rPr>
      </w:pPr>
      <w:r>
        <w:rPr>
          <w:rFonts w:ascii="Arial" w:hAnsi="Arial" w:cs="Arial"/>
          <w:bCs/>
        </w:rPr>
        <w:t xml:space="preserve">Realiza otras actividades económicas fuera del cultivo de café </w:t>
      </w:r>
    </w:p>
    <w:p w14:paraId="6BEA7856" w14:textId="77777777" w:rsidR="00B60F36" w:rsidRDefault="00B60F36" w:rsidP="00B60F36">
      <w:pPr>
        <w:autoSpaceDE w:val="0"/>
        <w:autoSpaceDN w:val="0"/>
        <w:adjustRightInd w:val="0"/>
        <w:spacing w:after="0" w:line="240" w:lineRule="auto"/>
        <w:rPr>
          <w:rFonts w:ascii="Arial" w:hAnsi="Arial" w:cs="Arial"/>
          <w:bCs/>
        </w:rPr>
      </w:pPr>
    </w:p>
    <w:p w14:paraId="1D1770BB" w14:textId="77777777" w:rsidR="00B60F36" w:rsidRPr="007E34B9" w:rsidRDefault="00B60F36" w:rsidP="00B60F36">
      <w:pPr>
        <w:autoSpaceDE w:val="0"/>
        <w:autoSpaceDN w:val="0"/>
        <w:adjustRightInd w:val="0"/>
        <w:spacing w:after="0" w:line="240" w:lineRule="auto"/>
        <w:jc w:val="center"/>
        <w:rPr>
          <w:rFonts w:ascii="Arial" w:hAnsi="Arial" w:cs="Arial"/>
          <w:b/>
          <w:bCs/>
        </w:rPr>
      </w:pPr>
      <w:r w:rsidRPr="007E34B9">
        <w:rPr>
          <w:rFonts w:ascii="Arial" w:hAnsi="Arial" w:cs="Arial"/>
          <w:b/>
          <w:bCs/>
        </w:rPr>
        <w:t>Sección IV Banca para el Desarrollo</w:t>
      </w:r>
    </w:p>
    <w:p w14:paraId="274C8895" w14:textId="77777777" w:rsidR="00B60F36" w:rsidRDefault="00B60F36" w:rsidP="00B60F36">
      <w:pPr>
        <w:autoSpaceDE w:val="0"/>
        <w:autoSpaceDN w:val="0"/>
        <w:adjustRightInd w:val="0"/>
        <w:spacing w:after="0" w:line="240" w:lineRule="auto"/>
        <w:jc w:val="center"/>
        <w:rPr>
          <w:rFonts w:ascii="Arial" w:hAnsi="Arial" w:cs="Arial"/>
          <w:bCs/>
        </w:rPr>
      </w:pPr>
    </w:p>
    <w:p w14:paraId="3E207D04"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¿Conoce usted del programa de Banca para el Desarrollo?</w:t>
      </w:r>
    </w:p>
    <w:p w14:paraId="7F68E7D4" w14:textId="77777777" w:rsidR="00B60F36" w:rsidRDefault="00B60F36" w:rsidP="00B60F36">
      <w:pPr>
        <w:autoSpaceDE w:val="0"/>
        <w:autoSpaceDN w:val="0"/>
        <w:adjustRightInd w:val="0"/>
        <w:spacing w:after="0" w:line="240" w:lineRule="auto"/>
        <w:jc w:val="both"/>
        <w:rPr>
          <w:rFonts w:ascii="Arial" w:hAnsi="Arial" w:cs="Arial"/>
          <w:bCs/>
        </w:rPr>
      </w:pPr>
    </w:p>
    <w:p w14:paraId="7692A700"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1 Si </w:t>
      </w:r>
    </w:p>
    <w:p w14:paraId="731D95EB"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2 No</w:t>
      </w:r>
    </w:p>
    <w:p w14:paraId="510D605D" w14:textId="77777777" w:rsidR="00B60F36" w:rsidRDefault="00B60F36" w:rsidP="00B60F36">
      <w:pPr>
        <w:autoSpaceDE w:val="0"/>
        <w:autoSpaceDN w:val="0"/>
        <w:adjustRightInd w:val="0"/>
        <w:spacing w:after="0" w:line="240" w:lineRule="auto"/>
        <w:jc w:val="both"/>
        <w:rPr>
          <w:rFonts w:ascii="Arial" w:hAnsi="Arial" w:cs="Arial"/>
          <w:bCs/>
        </w:rPr>
      </w:pPr>
    </w:p>
    <w:p w14:paraId="0936C3B4"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¿Estaría dispuesto (a) de formar parta del programa de Banca para el Desarrollo para fomentar una producción de café bajo la denominación de origen?</w:t>
      </w:r>
    </w:p>
    <w:p w14:paraId="14FE83CB" w14:textId="77777777" w:rsidR="00B60F36" w:rsidRDefault="00B60F36" w:rsidP="00B60F36">
      <w:pPr>
        <w:autoSpaceDE w:val="0"/>
        <w:autoSpaceDN w:val="0"/>
        <w:adjustRightInd w:val="0"/>
        <w:spacing w:after="0" w:line="240" w:lineRule="auto"/>
        <w:jc w:val="both"/>
        <w:rPr>
          <w:rFonts w:ascii="Arial" w:hAnsi="Arial" w:cs="Arial"/>
          <w:bCs/>
        </w:rPr>
      </w:pPr>
    </w:p>
    <w:p w14:paraId="0312CD74"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1 Si </w:t>
      </w:r>
    </w:p>
    <w:p w14:paraId="0360924B"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2 No</w:t>
      </w:r>
    </w:p>
    <w:p w14:paraId="2AD8EEBD" w14:textId="77777777" w:rsidR="00B60F36" w:rsidRDefault="00B60F36" w:rsidP="00B60F36">
      <w:pPr>
        <w:autoSpaceDE w:val="0"/>
        <w:autoSpaceDN w:val="0"/>
        <w:adjustRightInd w:val="0"/>
        <w:spacing w:after="0" w:line="240" w:lineRule="auto"/>
        <w:jc w:val="both"/>
        <w:rPr>
          <w:rFonts w:ascii="Arial" w:hAnsi="Arial" w:cs="Arial"/>
          <w:bCs/>
        </w:rPr>
      </w:pPr>
    </w:p>
    <w:p w14:paraId="5F4B8890"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Conoce usted un aproximado en colones lo que tendría que invertir en su finca, parcela entre otros para fomentar una pequeña industria que le permita producir bajo la denominación de origen.</w:t>
      </w:r>
    </w:p>
    <w:p w14:paraId="6FC2EAF1" w14:textId="77777777" w:rsidR="00B60F36" w:rsidRDefault="00B60F36" w:rsidP="00B60F36">
      <w:pPr>
        <w:autoSpaceDE w:val="0"/>
        <w:autoSpaceDN w:val="0"/>
        <w:adjustRightInd w:val="0"/>
        <w:spacing w:after="0" w:line="240" w:lineRule="auto"/>
        <w:jc w:val="both"/>
        <w:rPr>
          <w:rFonts w:ascii="Arial" w:hAnsi="Arial" w:cs="Arial"/>
          <w:bCs/>
        </w:rPr>
      </w:pPr>
    </w:p>
    <w:p w14:paraId="23BC13FE"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1 Si Especifique un monto aproximado: _________________________________________</w:t>
      </w:r>
    </w:p>
    <w:p w14:paraId="0157B53E"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2 No </w:t>
      </w:r>
    </w:p>
    <w:p w14:paraId="1CD0C752" w14:textId="77777777" w:rsidR="00B60F36" w:rsidRDefault="00B60F36" w:rsidP="00B60F36">
      <w:pPr>
        <w:autoSpaceDE w:val="0"/>
        <w:autoSpaceDN w:val="0"/>
        <w:adjustRightInd w:val="0"/>
        <w:spacing w:after="0" w:line="240" w:lineRule="auto"/>
        <w:jc w:val="both"/>
        <w:rPr>
          <w:rFonts w:ascii="Arial" w:hAnsi="Arial" w:cs="Arial"/>
          <w:bCs/>
        </w:rPr>
      </w:pPr>
    </w:p>
    <w:p w14:paraId="107B4652"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¿Considera usted que el programa de Banca para el Desarrollo genera beneficios para los productores de café en la Zona de los Satos? </w:t>
      </w:r>
    </w:p>
    <w:p w14:paraId="6445793D" w14:textId="77777777" w:rsidR="00B60F36" w:rsidRDefault="00B60F36" w:rsidP="00B60F36">
      <w:pPr>
        <w:autoSpaceDE w:val="0"/>
        <w:autoSpaceDN w:val="0"/>
        <w:adjustRightInd w:val="0"/>
        <w:spacing w:after="0" w:line="240" w:lineRule="auto"/>
        <w:jc w:val="both"/>
        <w:rPr>
          <w:rFonts w:ascii="Arial" w:hAnsi="Arial" w:cs="Arial"/>
          <w:bCs/>
        </w:rPr>
      </w:pPr>
    </w:p>
    <w:p w14:paraId="5848F941"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1 Si (Siga con la pregunta A) </w:t>
      </w:r>
    </w:p>
    <w:p w14:paraId="028F1DEA"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2 No (No realiza la pregunta A)</w:t>
      </w:r>
    </w:p>
    <w:p w14:paraId="477B51AE" w14:textId="77777777" w:rsidR="00B60F36" w:rsidRDefault="00B60F36" w:rsidP="00B60F36">
      <w:pPr>
        <w:autoSpaceDE w:val="0"/>
        <w:autoSpaceDN w:val="0"/>
        <w:adjustRightInd w:val="0"/>
        <w:spacing w:after="0" w:line="240" w:lineRule="auto"/>
        <w:jc w:val="both"/>
        <w:rPr>
          <w:rFonts w:ascii="Arial" w:hAnsi="Arial" w:cs="Arial"/>
          <w:bCs/>
        </w:rPr>
      </w:pPr>
    </w:p>
    <w:p w14:paraId="60F9587A" w14:textId="77777777" w:rsidR="00B60F36" w:rsidRPr="007E34B9" w:rsidRDefault="00B60F36" w:rsidP="00B60F36">
      <w:pPr>
        <w:pStyle w:val="Prrafodelista"/>
        <w:numPr>
          <w:ilvl w:val="0"/>
          <w:numId w:val="36"/>
        </w:numPr>
        <w:autoSpaceDE w:val="0"/>
        <w:autoSpaceDN w:val="0"/>
        <w:adjustRightInd w:val="0"/>
        <w:spacing w:after="0" w:line="240" w:lineRule="auto"/>
        <w:jc w:val="both"/>
        <w:rPr>
          <w:rFonts w:ascii="Arial" w:hAnsi="Arial" w:cs="Arial"/>
          <w:b/>
          <w:bCs/>
        </w:rPr>
      </w:pPr>
      <w:r w:rsidRPr="007E34B9">
        <w:rPr>
          <w:rFonts w:ascii="Arial" w:hAnsi="Arial" w:cs="Arial"/>
          <w:b/>
          <w:bCs/>
        </w:rPr>
        <w:t>¿Cuáles son los principales beneficios?</w:t>
      </w:r>
    </w:p>
    <w:p w14:paraId="58C4301D" w14:textId="77777777" w:rsidR="00B60F36" w:rsidRDefault="00B60F36" w:rsidP="00B60F36">
      <w:pPr>
        <w:pStyle w:val="Prrafodelista"/>
        <w:numPr>
          <w:ilvl w:val="0"/>
          <w:numId w:val="32"/>
        </w:numPr>
        <w:autoSpaceDE w:val="0"/>
        <w:autoSpaceDN w:val="0"/>
        <w:adjustRightInd w:val="0"/>
        <w:spacing w:after="0" w:line="240" w:lineRule="auto"/>
        <w:jc w:val="both"/>
        <w:rPr>
          <w:rFonts w:ascii="Arial" w:hAnsi="Arial" w:cs="Arial"/>
          <w:bCs/>
        </w:rPr>
      </w:pPr>
      <w:r>
        <w:rPr>
          <w:rFonts w:ascii="Arial" w:hAnsi="Arial" w:cs="Arial"/>
          <w:bCs/>
        </w:rPr>
        <w:t xml:space="preserve">Estabilidad económica </w:t>
      </w:r>
    </w:p>
    <w:p w14:paraId="7976A2AC" w14:textId="77777777" w:rsidR="00B60F36" w:rsidRDefault="00B60F36" w:rsidP="00B60F36">
      <w:pPr>
        <w:pStyle w:val="Prrafodelista"/>
        <w:numPr>
          <w:ilvl w:val="0"/>
          <w:numId w:val="32"/>
        </w:numPr>
        <w:autoSpaceDE w:val="0"/>
        <w:autoSpaceDN w:val="0"/>
        <w:adjustRightInd w:val="0"/>
        <w:spacing w:after="0" w:line="240" w:lineRule="auto"/>
        <w:jc w:val="both"/>
        <w:rPr>
          <w:rFonts w:ascii="Arial" w:hAnsi="Arial" w:cs="Arial"/>
          <w:bCs/>
        </w:rPr>
      </w:pPr>
      <w:r>
        <w:rPr>
          <w:rFonts w:ascii="Arial" w:hAnsi="Arial" w:cs="Arial"/>
          <w:bCs/>
        </w:rPr>
        <w:t xml:space="preserve">Mayores inversiones en la finca </w:t>
      </w:r>
    </w:p>
    <w:p w14:paraId="574B8E07" w14:textId="77777777" w:rsidR="00B60F36" w:rsidRDefault="00B60F36" w:rsidP="00B60F36">
      <w:pPr>
        <w:pStyle w:val="Prrafodelista"/>
        <w:numPr>
          <w:ilvl w:val="0"/>
          <w:numId w:val="32"/>
        </w:numPr>
        <w:autoSpaceDE w:val="0"/>
        <w:autoSpaceDN w:val="0"/>
        <w:adjustRightInd w:val="0"/>
        <w:spacing w:after="0" w:line="240" w:lineRule="auto"/>
        <w:jc w:val="both"/>
        <w:rPr>
          <w:rFonts w:ascii="Arial" w:hAnsi="Arial" w:cs="Arial"/>
          <w:bCs/>
        </w:rPr>
      </w:pPr>
      <w:r>
        <w:rPr>
          <w:rFonts w:ascii="Arial" w:hAnsi="Arial" w:cs="Arial"/>
          <w:bCs/>
        </w:rPr>
        <w:t>Mejora en la calidad del café que es producido en la finca</w:t>
      </w:r>
    </w:p>
    <w:p w14:paraId="089491F7" w14:textId="77777777" w:rsidR="00B60F36" w:rsidRDefault="00B60F36" w:rsidP="00B60F36">
      <w:pPr>
        <w:pStyle w:val="Prrafodelista"/>
        <w:numPr>
          <w:ilvl w:val="0"/>
          <w:numId w:val="32"/>
        </w:numPr>
        <w:autoSpaceDE w:val="0"/>
        <w:autoSpaceDN w:val="0"/>
        <w:adjustRightInd w:val="0"/>
        <w:spacing w:after="0" w:line="240" w:lineRule="auto"/>
        <w:jc w:val="both"/>
        <w:rPr>
          <w:rFonts w:ascii="Arial" w:hAnsi="Arial" w:cs="Arial"/>
          <w:bCs/>
        </w:rPr>
      </w:pPr>
      <w:r>
        <w:rPr>
          <w:rFonts w:ascii="Arial" w:hAnsi="Arial" w:cs="Arial"/>
          <w:bCs/>
        </w:rPr>
        <w:t>Otros.  Especifique_______________________________</w:t>
      </w:r>
    </w:p>
    <w:p w14:paraId="46B06807" w14:textId="77777777" w:rsidR="00B60F36" w:rsidRPr="007E34B9" w:rsidRDefault="00B60F36" w:rsidP="00B60F36">
      <w:pPr>
        <w:autoSpaceDE w:val="0"/>
        <w:autoSpaceDN w:val="0"/>
        <w:adjustRightInd w:val="0"/>
        <w:spacing w:after="0" w:line="240" w:lineRule="auto"/>
        <w:ind w:left="360"/>
        <w:jc w:val="both"/>
        <w:rPr>
          <w:rFonts w:ascii="Arial" w:hAnsi="Arial" w:cs="Arial"/>
          <w:bCs/>
        </w:rPr>
      </w:pPr>
    </w:p>
    <w:p w14:paraId="7893B054" w14:textId="77777777" w:rsidR="00B60F36" w:rsidRDefault="00B60F36" w:rsidP="00B60F36">
      <w:pPr>
        <w:autoSpaceDE w:val="0"/>
        <w:autoSpaceDN w:val="0"/>
        <w:adjustRightInd w:val="0"/>
        <w:spacing w:after="0" w:line="240" w:lineRule="auto"/>
        <w:jc w:val="both"/>
        <w:rPr>
          <w:rFonts w:ascii="Arial" w:hAnsi="Arial" w:cs="Arial"/>
          <w:bCs/>
        </w:rPr>
      </w:pPr>
      <w:r w:rsidRPr="007E34B9">
        <w:rPr>
          <w:rFonts w:ascii="Arial" w:hAnsi="Arial" w:cs="Arial"/>
          <w:bCs/>
        </w:rPr>
        <w:lastRenderedPageBreak/>
        <w:t>¿Considera que el programa de Banca para el Desarrollo puede contribuir en la construcción de una industria mediana para el procesamiento del café bajo la denominación de origen de café Tarrazú?</w:t>
      </w:r>
    </w:p>
    <w:p w14:paraId="54E073E9" w14:textId="77777777" w:rsidR="00B60F36" w:rsidRPr="007E34B9" w:rsidRDefault="00B60F36" w:rsidP="00B60F36">
      <w:pPr>
        <w:autoSpaceDE w:val="0"/>
        <w:autoSpaceDN w:val="0"/>
        <w:adjustRightInd w:val="0"/>
        <w:spacing w:after="0" w:line="240" w:lineRule="auto"/>
        <w:jc w:val="both"/>
        <w:rPr>
          <w:rFonts w:ascii="Arial" w:hAnsi="Arial" w:cs="Arial"/>
          <w:bCs/>
        </w:rPr>
      </w:pPr>
    </w:p>
    <w:p w14:paraId="41CB92FA"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1 Si </w:t>
      </w:r>
    </w:p>
    <w:p w14:paraId="39D258C9"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2 No</w:t>
      </w:r>
    </w:p>
    <w:p w14:paraId="55A4FA4C" w14:textId="77777777" w:rsidR="00B60F36" w:rsidRDefault="00B60F36" w:rsidP="00B60F36">
      <w:pPr>
        <w:autoSpaceDE w:val="0"/>
        <w:autoSpaceDN w:val="0"/>
        <w:adjustRightInd w:val="0"/>
        <w:spacing w:after="0" w:line="240" w:lineRule="auto"/>
        <w:jc w:val="both"/>
        <w:rPr>
          <w:rFonts w:ascii="Arial" w:hAnsi="Arial" w:cs="Arial"/>
          <w:bCs/>
        </w:rPr>
      </w:pPr>
    </w:p>
    <w:p w14:paraId="3523294D" w14:textId="77777777" w:rsidR="00B60F36" w:rsidRDefault="00B60F36" w:rsidP="00B60F36">
      <w:pPr>
        <w:autoSpaceDE w:val="0"/>
        <w:autoSpaceDN w:val="0"/>
        <w:adjustRightInd w:val="0"/>
        <w:spacing w:after="0" w:line="240" w:lineRule="auto"/>
        <w:jc w:val="both"/>
        <w:rPr>
          <w:rFonts w:ascii="Arial" w:hAnsi="Arial" w:cs="Arial"/>
          <w:bCs/>
        </w:rPr>
      </w:pPr>
    </w:p>
    <w:p w14:paraId="20F433D5" w14:textId="77777777" w:rsidR="00B60F36" w:rsidRDefault="00B60F36" w:rsidP="00B60F36">
      <w:pPr>
        <w:autoSpaceDE w:val="0"/>
        <w:autoSpaceDN w:val="0"/>
        <w:adjustRightInd w:val="0"/>
        <w:spacing w:after="0" w:line="240" w:lineRule="auto"/>
        <w:jc w:val="both"/>
        <w:rPr>
          <w:rFonts w:ascii="Arial" w:hAnsi="Arial" w:cs="Arial"/>
          <w:bCs/>
        </w:rPr>
      </w:pPr>
    </w:p>
    <w:p w14:paraId="53754972"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¿Qué tipo de la transformación del café considera usted que se puede financiar con el programa de Banca para el Desarrollo?  (se puede marcar multi-sección).</w:t>
      </w:r>
    </w:p>
    <w:p w14:paraId="558F76CD" w14:textId="77777777" w:rsidR="00B60F36" w:rsidRDefault="00B60F36" w:rsidP="00B60F36">
      <w:pPr>
        <w:autoSpaceDE w:val="0"/>
        <w:autoSpaceDN w:val="0"/>
        <w:adjustRightInd w:val="0"/>
        <w:spacing w:after="0" w:line="240" w:lineRule="auto"/>
        <w:jc w:val="both"/>
        <w:rPr>
          <w:rFonts w:ascii="Arial" w:hAnsi="Arial" w:cs="Arial"/>
          <w:bCs/>
        </w:rPr>
      </w:pPr>
    </w:p>
    <w:p w14:paraId="7BCD6EE2" w14:textId="77777777" w:rsidR="00B60F36" w:rsidRDefault="00B60F36" w:rsidP="00B60F36">
      <w:pPr>
        <w:pStyle w:val="Prrafodelista"/>
        <w:numPr>
          <w:ilvl w:val="0"/>
          <w:numId w:val="33"/>
        </w:numPr>
        <w:autoSpaceDE w:val="0"/>
        <w:autoSpaceDN w:val="0"/>
        <w:adjustRightInd w:val="0"/>
        <w:spacing w:after="0" w:line="240" w:lineRule="auto"/>
        <w:jc w:val="both"/>
        <w:rPr>
          <w:rFonts w:ascii="Arial" w:hAnsi="Arial" w:cs="Arial"/>
          <w:bCs/>
        </w:rPr>
      </w:pPr>
      <w:r>
        <w:rPr>
          <w:rFonts w:ascii="Arial" w:hAnsi="Arial" w:cs="Arial"/>
          <w:bCs/>
        </w:rPr>
        <w:t>Mantenimiento de finca (pago de mano de obra, equipo, insumos entre otros)</w:t>
      </w:r>
      <w:r w:rsidRPr="00CA036C">
        <w:rPr>
          <w:rFonts w:ascii="Arial" w:hAnsi="Arial" w:cs="Arial"/>
          <w:bCs/>
        </w:rPr>
        <w:t xml:space="preserve"> </w:t>
      </w:r>
    </w:p>
    <w:p w14:paraId="1323E132" w14:textId="77777777" w:rsidR="00B60F36" w:rsidRDefault="00B60F36" w:rsidP="00B60F36">
      <w:pPr>
        <w:pStyle w:val="Prrafodelista"/>
        <w:numPr>
          <w:ilvl w:val="0"/>
          <w:numId w:val="33"/>
        </w:numPr>
        <w:autoSpaceDE w:val="0"/>
        <w:autoSpaceDN w:val="0"/>
        <w:adjustRightInd w:val="0"/>
        <w:spacing w:after="0" w:line="240" w:lineRule="auto"/>
        <w:jc w:val="both"/>
        <w:rPr>
          <w:rFonts w:ascii="Arial" w:hAnsi="Arial" w:cs="Arial"/>
          <w:bCs/>
        </w:rPr>
      </w:pPr>
      <w:r>
        <w:rPr>
          <w:rFonts w:ascii="Arial" w:hAnsi="Arial" w:cs="Arial"/>
          <w:bCs/>
        </w:rPr>
        <w:t>Recolección adecuada del grano</w:t>
      </w:r>
    </w:p>
    <w:p w14:paraId="6282EFD6" w14:textId="77777777" w:rsidR="00B60F36" w:rsidRDefault="00B60F36" w:rsidP="00B60F36">
      <w:pPr>
        <w:pStyle w:val="Prrafodelista"/>
        <w:numPr>
          <w:ilvl w:val="0"/>
          <w:numId w:val="33"/>
        </w:numPr>
        <w:autoSpaceDE w:val="0"/>
        <w:autoSpaceDN w:val="0"/>
        <w:adjustRightInd w:val="0"/>
        <w:spacing w:after="0" w:line="240" w:lineRule="auto"/>
        <w:jc w:val="both"/>
        <w:rPr>
          <w:rFonts w:ascii="Arial" w:hAnsi="Arial" w:cs="Arial"/>
          <w:bCs/>
        </w:rPr>
      </w:pPr>
      <w:r>
        <w:rPr>
          <w:rFonts w:ascii="Arial" w:hAnsi="Arial" w:cs="Arial"/>
          <w:bCs/>
        </w:rPr>
        <w:t xml:space="preserve">Beneficiado </w:t>
      </w:r>
    </w:p>
    <w:p w14:paraId="5437D92E" w14:textId="77777777" w:rsidR="00B60F36" w:rsidRDefault="00B60F36" w:rsidP="00B60F36">
      <w:pPr>
        <w:pStyle w:val="Prrafodelista"/>
        <w:numPr>
          <w:ilvl w:val="0"/>
          <w:numId w:val="33"/>
        </w:numPr>
        <w:autoSpaceDE w:val="0"/>
        <w:autoSpaceDN w:val="0"/>
        <w:adjustRightInd w:val="0"/>
        <w:spacing w:after="0" w:line="240" w:lineRule="auto"/>
        <w:jc w:val="both"/>
        <w:rPr>
          <w:rFonts w:ascii="Arial" w:hAnsi="Arial" w:cs="Arial"/>
          <w:bCs/>
        </w:rPr>
      </w:pPr>
      <w:r>
        <w:rPr>
          <w:rFonts w:ascii="Arial" w:hAnsi="Arial" w:cs="Arial"/>
          <w:bCs/>
        </w:rPr>
        <w:t xml:space="preserve">Torrefacción </w:t>
      </w:r>
    </w:p>
    <w:p w14:paraId="7D939DE3" w14:textId="77777777" w:rsidR="00B60F36" w:rsidRDefault="00B60F36" w:rsidP="00B60F36">
      <w:pPr>
        <w:pStyle w:val="Prrafodelista"/>
        <w:numPr>
          <w:ilvl w:val="0"/>
          <w:numId w:val="33"/>
        </w:numPr>
        <w:autoSpaceDE w:val="0"/>
        <w:autoSpaceDN w:val="0"/>
        <w:adjustRightInd w:val="0"/>
        <w:spacing w:after="0" w:line="240" w:lineRule="auto"/>
        <w:jc w:val="both"/>
        <w:rPr>
          <w:rFonts w:ascii="Arial" w:hAnsi="Arial" w:cs="Arial"/>
          <w:bCs/>
        </w:rPr>
      </w:pPr>
      <w:r>
        <w:rPr>
          <w:rFonts w:ascii="Arial" w:hAnsi="Arial" w:cs="Arial"/>
          <w:bCs/>
        </w:rPr>
        <w:t xml:space="preserve">Tueste  </w:t>
      </w:r>
    </w:p>
    <w:p w14:paraId="231D080D" w14:textId="77777777" w:rsidR="00B60F36" w:rsidRPr="00CA036C" w:rsidRDefault="00B60F36" w:rsidP="00B60F36">
      <w:pPr>
        <w:pStyle w:val="Prrafodelista"/>
        <w:numPr>
          <w:ilvl w:val="0"/>
          <w:numId w:val="33"/>
        </w:numPr>
        <w:autoSpaceDE w:val="0"/>
        <w:autoSpaceDN w:val="0"/>
        <w:adjustRightInd w:val="0"/>
        <w:spacing w:after="0" w:line="240" w:lineRule="auto"/>
        <w:jc w:val="both"/>
        <w:rPr>
          <w:rFonts w:ascii="Arial" w:hAnsi="Arial" w:cs="Arial"/>
          <w:bCs/>
        </w:rPr>
      </w:pPr>
      <w:r>
        <w:rPr>
          <w:rFonts w:ascii="Arial" w:hAnsi="Arial" w:cs="Arial"/>
          <w:bCs/>
        </w:rPr>
        <w:t>Otros: _____________________________________________________________</w:t>
      </w:r>
    </w:p>
    <w:p w14:paraId="2BCA947E" w14:textId="77777777" w:rsidR="00B60F36" w:rsidRDefault="00B60F36" w:rsidP="00B60F36">
      <w:pPr>
        <w:autoSpaceDE w:val="0"/>
        <w:autoSpaceDN w:val="0"/>
        <w:adjustRightInd w:val="0"/>
        <w:spacing w:after="0" w:line="240" w:lineRule="auto"/>
        <w:jc w:val="both"/>
        <w:rPr>
          <w:rFonts w:ascii="Arial" w:hAnsi="Arial" w:cs="Arial"/>
          <w:bCs/>
        </w:rPr>
      </w:pPr>
    </w:p>
    <w:p w14:paraId="15AF8157"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Considera que existe otras fuentes de recursos financieros para financiar una industria mediana que implica la denominación de origen de café Tarrazú.</w:t>
      </w:r>
    </w:p>
    <w:p w14:paraId="090198BC" w14:textId="77777777" w:rsidR="00B60F36" w:rsidRDefault="00B60F36" w:rsidP="00B60F36">
      <w:pPr>
        <w:autoSpaceDE w:val="0"/>
        <w:autoSpaceDN w:val="0"/>
        <w:adjustRightInd w:val="0"/>
        <w:spacing w:after="0" w:line="240" w:lineRule="auto"/>
        <w:jc w:val="both"/>
        <w:rPr>
          <w:rFonts w:ascii="Arial" w:hAnsi="Arial" w:cs="Arial"/>
          <w:bCs/>
        </w:rPr>
      </w:pPr>
    </w:p>
    <w:p w14:paraId="1D4D2BA2"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1 Si  </w:t>
      </w:r>
    </w:p>
    <w:p w14:paraId="348F9655"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2 No </w:t>
      </w:r>
    </w:p>
    <w:p w14:paraId="0387025D" w14:textId="77777777" w:rsidR="00B60F36" w:rsidRDefault="00B60F36" w:rsidP="00B60F36">
      <w:pPr>
        <w:autoSpaceDE w:val="0"/>
        <w:autoSpaceDN w:val="0"/>
        <w:adjustRightInd w:val="0"/>
        <w:spacing w:after="0" w:line="240" w:lineRule="auto"/>
        <w:jc w:val="both"/>
        <w:rPr>
          <w:rFonts w:ascii="Arial" w:hAnsi="Arial" w:cs="Arial"/>
          <w:bCs/>
        </w:rPr>
      </w:pPr>
    </w:p>
    <w:p w14:paraId="6D726833"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Que otras instituciones considera usted que pueden financiar una industria mediana para la denominación de origen del café de Tarrazú</w:t>
      </w:r>
    </w:p>
    <w:p w14:paraId="59145221" w14:textId="77777777" w:rsidR="00B60F36" w:rsidRDefault="00B60F36" w:rsidP="00B60F36">
      <w:pPr>
        <w:autoSpaceDE w:val="0"/>
        <w:autoSpaceDN w:val="0"/>
        <w:adjustRightInd w:val="0"/>
        <w:spacing w:after="0" w:line="240" w:lineRule="auto"/>
        <w:jc w:val="both"/>
        <w:rPr>
          <w:rFonts w:ascii="Arial" w:hAnsi="Arial" w:cs="Arial"/>
          <w:bCs/>
        </w:rPr>
      </w:pPr>
    </w:p>
    <w:p w14:paraId="7B9FA183" w14:textId="77777777" w:rsidR="00B60F36" w:rsidRDefault="00B60F36" w:rsidP="00B60F36">
      <w:pPr>
        <w:pStyle w:val="Prrafodelista"/>
        <w:numPr>
          <w:ilvl w:val="0"/>
          <w:numId w:val="34"/>
        </w:numPr>
        <w:autoSpaceDE w:val="0"/>
        <w:autoSpaceDN w:val="0"/>
        <w:adjustRightInd w:val="0"/>
        <w:spacing w:after="0" w:line="240" w:lineRule="auto"/>
        <w:rPr>
          <w:rFonts w:ascii="Arial" w:hAnsi="Arial" w:cs="Arial"/>
          <w:bCs/>
        </w:rPr>
      </w:pPr>
      <w:r>
        <w:rPr>
          <w:rFonts w:ascii="Arial" w:hAnsi="Arial" w:cs="Arial"/>
          <w:bCs/>
        </w:rPr>
        <w:t>Cooperativas de café de la Zona (Coopetarrazu R.L, Coopedota R.L)</w:t>
      </w:r>
    </w:p>
    <w:p w14:paraId="36042383" w14:textId="77777777" w:rsidR="00B60F36" w:rsidRDefault="00B60F36" w:rsidP="00B60F36">
      <w:pPr>
        <w:pStyle w:val="Prrafodelista"/>
        <w:numPr>
          <w:ilvl w:val="0"/>
          <w:numId w:val="34"/>
        </w:numPr>
        <w:autoSpaceDE w:val="0"/>
        <w:autoSpaceDN w:val="0"/>
        <w:adjustRightInd w:val="0"/>
        <w:spacing w:after="0" w:line="240" w:lineRule="auto"/>
        <w:rPr>
          <w:rFonts w:ascii="Arial" w:hAnsi="Arial" w:cs="Arial"/>
          <w:bCs/>
        </w:rPr>
      </w:pPr>
      <w:r>
        <w:rPr>
          <w:rFonts w:ascii="Arial" w:hAnsi="Arial" w:cs="Arial"/>
          <w:bCs/>
        </w:rPr>
        <w:t>Cooperativas de ahorro y crédito (Coope San Marcos R.L)</w:t>
      </w:r>
    </w:p>
    <w:p w14:paraId="57D33B6B" w14:textId="77777777" w:rsidR="00B60F36" w:rsidRDefault="00B60F36" w:rsidP="00B60F36">
      <w:pPr>
        <w:pStyle w:val="Prrafodelista"/>
        <w:numPr>
          <w:ilvl w:val="0"/>
          <w:numId w:val="34"/>
        </w:numPr>
        <w:autoSpaceDE w:val="0"/>
        <w:autoSpaceDN w:val="0"/>
        <w:adjustRightInd w:val="0"/>
        <w:spacing w:after="0" w:line="240" w:lineRule="auto"/>
        <w:rPr>
          <w:rFonts w:ascii="Arial" w:hAnsi="Arial" w:cs="Arial"/>
          <w:bCs/>
        </w:rPr>
      </w:pPr>
      <w:r>
        <w:rPr>
          <w:rFonts w:ascii="Arial" w:hAnsi="Arial" w:cs="Arial"/>
          <w:bCs/>
        </w:rPr>
        <w:t>Bancos públicos o privados mediante otros programas de financiamiento</w:t>
      </w:r>
    </w:p>
    <w:p w14:paraId="5D9B681D" w14:textId="77777777" w:rsidR="00B60F36" w:rsidRDefault="00B60F36" w:rsidP="00B60F36">
      <w:pPr>
        <w:pStyle w:val="Prrafodelista"/>
        <w:numPr>
          <w:ilvl w:val="0"/>
          <w:numId w:val="34"/>
        </w:numPr>
        <w:autoSpaceDE w:val="0"/>
        <w:autoSpaceDN w:val="0"/>
        <w:adjustRightInd w:val="0"/>
        <w:spacing w:after="0" w:line="240" w:lineRule="auto"/>
        <w:rPr>
          <w:rFonts w:ascii="Arial" w:hAnsi="Arial" w:cs="Arial"/>
          <w:bCs/>
        </w:rPr>
      </w:pPr>
      <w:r>
        <w:rPr>
          <w:rFonts w:ascii="Arial" w:hAnsi="Arial" w:cs="Arial"/>
          <w:bCs/>
        </w:rPr>
        <w:t>Otros: ___________________________________________________________</w:t>
      </w:r>
    </w:p>
    <w:p w14:paraId="2DF5FE1F" w14:textId="77777777" w:rsidR="00B60F36" w:rsidRPr="00ED62E9" w:rsidRDefault="00B60F36" w:rsidP="00B60F36">
      <w:pPr>
        <w:pStyle w:val="Prrafodelista"/>
        <w:autoSpaceDE w:val="0"/>
        <w:autoSpaceDN w:val="0"/>
        <w:adjustRightInd w:val="0"/>
        <w:spacing w:after="0" w:line="240" w:lineRule="auto"/>
        <w:rPr>
          <w:rFonts w:ascii="Arial" w:hAnsi="Arial" w:cs="Arial"/>
          <w:bCs/>
        </w:rPr>
      </w:pPr>
    </w:p>
    <w:p w14:paraId="5122C014"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Considera usted que la denominación de origen y la posibilidad de financiar una industria mediana podría brindar una mayor autonomía al productor con su producción. </w:t>
      </w:r>
    </w:p>
    <w:p w14:paraId="3D2FB0C8" w14:textId="77777777" w:rsidR="00B60F36" w:rsidRDefault="00B60F36" w:rsidP="00B60F36">
      <w:pPr>
        <w:autoSpaceDE w:val="0"/>
        <w:autoSpaceDN w:val="0"/>
        <w:adjustRightInd w:val="0"/>
        <w:spacing w:after="0" w:line="240" w:lineRule="auto"/>
        <w:rPr>
          <w:rFonts w:ascii="Arial" w:hAnsi="Arial" w:cs="Arial"/>
          <w:bCs/>
        </w:rPr>
      </w:pPr>
    </w:p>
    <w:p w14:paraId="699DC99C"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1 Si</w:t>
      </w:r>
    </w:p>
    <w:p w14:paraId="654C6785"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2 No</w:t>
      </w:r>
    </w:p>
    <w:p w14:paraId="3F2C5134" w14:textId="77777777" w:rsidR="00B60F36" w:rsidRDefault="00B60F36" w:rsidP="00B60F36">
      <w:pPr>
        <w:autoSpaceDE w:val="0"/>
        <w:autoSpaceDN w:val="0"/>
        <w:adjustRightInd w:val="0"/>
        <w:spacing w:after="0" w:line="240" w:lineRule="auto"/>
        <w:rPr>
          <w:rFonts w:ascii="Arial" w:hAnsi="Arial" w:cs="Arial"/>
          <w:bCs/>
        </w:rPr>
      </w:pPr>
    </w:p>
    <w:p w14:paraId="22340358"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Nos podría especificar qué tipo de autonomía esperaría con la denominación de origen y los beneficios que observarían con esta. </w:t>
      </w:r>
    </w:p>
    <w:p w14:paraId="40711D70" w14:textId="77777777" w:rsidR="00B60F36" w:rsidRPr="00BA06F5" w:rsidRDefault="00B60F36" w:rsidP="00B60F36">
      <w:pPr>
        <w:autoSpaceDE w:val="0"/>
        <w:autoSpaceDN w:val="0"/>
        <w:adjustRightInd w:val="0"/>
        <w:spacing w:after="0" w:line="240" w:lineRule="auto"/>
        <w:rPr>
          <w:rFonts w:ascii="Arial" w:hAnsi="Arial" w:cs="Arial"/>
          <w:bCs/>
        </w:rPr>
      </w:pPr>
      <w:r>
        <w:rPr>
          <w:rFonts w:ascii="Arial" w:hAnsi="Arial" w:cs="Arial"/>
          <w:b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831CB1" w14:textId="77777777" w:rsidR="00B60F36" w:rsidRDefault="00B60F36" w:rsidP="00B60F36">
      <w:pPr>
        <w:autoSpaceDE w:val="0"/>
        <w:autoSpaceDN w:val="0"/>
        <w:adjustRightInd w:val="0"/>
        <w:spacing w:after="0" w:line="240" w:lineRule="auto"/>
        <w:rPr>
          <w:rFonts w:ascii="Arial" w:hAnsi="Arial" w:cs="Arial"/>
          <w:b/>
          <w:bCs/>
        </w:rPr>
      </w:pPr>
      <w:r>
        <w:rPr>
          <w:rFonts w:ascii="Arial" w:hAnsi="Arial" w:cs="Arial"/>
          <w:b/>
          <w:bCs/>
        </w:rPr>
        <w:t xml:space="preserve"> </w:t>
      </w:r>
    </w:p>
    <w:p w14:paraId="10AA9178" w14:textId="77777777" w:rsidR="00AF1E1D" w:rsidRDefault="00AF1E1D" w:rsidP="00B60F36">
      <w:pPr>
        <w:autoSpaceDE w:val="0"/>
        <w:autoSpaceDN w:val="0"/>
        <w:adjustRightInd w:val="0"/>
        <w:spacing w:after="0" w:line="240" w:lineRule="auto"/>
        <w:jc w:val="center"/>
        <w:rPr>
          <w:rFonts w:ascii="Arial" w:hAnsi="Arial" w:cs="Arial"/>
          <w:b/>
          <w:bCs/>
        </w:rPr>
      </w:pPr>
    </w:p>
    <w:p w14:paraId="379D73E4" w14:textId="77777777" w:rsidR="00AF1E1D" w:rsidRDefault="00AF1E1D" w:rsidP="00B60F36">
      <w:pPr>
        <w:autoSpaceDE w:val="0"/>
        <w:autoSpaceDN w:val="0"/>
        <w:adjustRightInd w:val="0"/>
        <w:spacing w:after="0" w:line="240" w:lineRule="auto"/>
        <w:jc w:val="center"/>
        <w:rPr>
          <w:rFonts w:ascii="Arial" w:hAnsi="Arial" w:cs="Arial"/>
          <w:b/>
          <w:bCs/>
        </w:rPr>
      </w:pPr>
    </w:p>
    <w:p w14:paraId="2845943B" w14:textId="77777777" w:rsidR="00AF1E1D" w:rsidRDefault="00AF1E1D" w:rsidP="00B60F36">
      <w:pPr>
        <w:autoSpaceDE w:val="0"/>
        <w:autoSpaceDN w:val="0"/>
        <w:adjustRightInd w:val="0"/>
        <w:spacing w:after="0" w:line="240" w:lineRule="auto"/>
        <w:jc w:val="center"/>
        <w:rPr>
          <w:rFonts w:ascii="Arial" w:hAnsi="Arial" w:cs="Arial"/>
          <w:b/>
          <w:bCs/>
        </w:rPr>
      </w:pPr>
    </w:p>
    <w:p w14:paraId="0FD0F663" w14:textId="77777777" w:rsidR="00AF1E1D" w:rsidRDefault="00AF1E1D" w:rsidP="00B60F36">
      <w:pPr>
        <w:autoSpaceDE w:val="0"/>
        <w:autoSpaceDN w:val="0"/>
        <w:adjustRightInd w:val="0"/>
        <w:spacing w:after="0" w:line="240" w:lineRule="auto"/>
        <w:jc w:val="center"/>
        <w:rPr>
          <w:rFonts w:ascii="Arial" w:hAnsi="Arial" w:cs="Arial"/>
          <w:b/>
          <w:bCs/>
        </w:rPr>
      </w:pPr>
    </w:p>
    <w:p w14:paraId="43E779F3" w14:textId="77777777" w:rsidR="00AF1E1D" w:rsidRDefault="00AF1E1D" w:rsidP="00B60F36">
      <w:pPr>
        <w:autoSpaceDE w:val="0"/>
        <w:autoSpaceDN w:val="0"/>
        <w:adjustRightInd w:val="0"/>
        <w:spacing w:after="0" w:line="240" w:lineRule="auto"/>
        <w:jc w:val="center"/>
        <w:rPr>
          <w:rFonts w:ascii="Arial" w:hAnsi="Arial" w:cs="Arial"/>
          <w:b/>
          <w:bCs/>
        </w:rPr>
      </w:pPr>
    </w:p>
    <w:p w14:paraId="16F08553" w14:textId="5E88DF32" w:rsidR="00B60F36" w:rsidRPr="007A69E8" w:rsidRDefault="00B60F36" w:rsidP="00B60F36">
      <w:pPr>
        <w:autoSpaceDE w:val="0"/>
        <w:autoSpaceDN w:val="0"/>
        <w:adjustRightInd w:val="0"/>
        <w:spacing w:after="0" w:line="240" w:lineRule="auto"/>
        <w:jc w:val="center"/>
        <w:rPr>
          <w:rFonts w:ascii="Arial" w:hAnsi="Arial" w:cs="Arial"/>
          <w:b/>
          <w:bCs/>
        </w:rPr>
      </w:pPr>
      <w:r w:rsidRPr="007A69E8">
        <w:rPr>
          <w:rFonts w:ascii="Arial" w:hAnsi="Arial" w:cs="Arial"/>
          <w:b/>
          <w:bCs/>
        </w:rPr>
        <w:lastRenderedPageBreak/>
        <w:t>Sección V</w:t>
      </w:r>
    </w:p>
    <w:p w14:paraId="24377E85" w14:textId="77777777" w:rsidR="00B60F36" w:rsidRPr="007A69E8" w:rsidRDefault="00B60F36" w:rsidP="00B60F36">
      <w:pPr>
        <w:autoSpaceDE w:val="0"/>
        <w:autoSpaceDN w:val="0"/>
        <w:adjustRightInd w:val="0"/>
        <w:spacing w:after="0" w:line="240" w:lineRule="auto"/>
        <w:jc w:val="center"/>
        <w:rPr>
          <w:rFonts w:ascii="Arial" w:hAnsi="Arial" w:cs="Arial"/>
          <w:b/>
          <w:bCs/>
        </w:rPr>
      </w:pPr>
      <w:r w:rsidRPr="007A69E8">
        <w:rPr>
          <w:rFonts w:ascii="Arial" w:hAnsi="Arial" w:cs="Arial"/>
          <w:b/>
          <w:bCs/>
        </w:rPr>
        <w:t xml:space="preserve"> Prospectivas de la denominación de origen Tarrazú y Banca para el Desarrollo</w:t>
      </w:r>
    </w:p>
    <w:p w14:paraId="7FFD8516" w14:textId="77777777" w:rsidR="00B60F36" w:rsidRDefault="00B60F36" w:rsidP="00B60F36">
      <w:pPr>
        <w:autoSpaceDE w:val="0"/>
        <w:autoSpaceDN w:val="0"/>
        <w:adjustRightInd w:val="0"/>
        <w:spacing w:after="0" w:line="240" w:lineRule="auto"/>
        <w:jc w:val="both"/>
        <w:rPr>
          <w:rFonts w:ascii="Arial" w:hAnsi="Arial" w:cs="Arial"/>
          <w:bCs/>
        </w:rPr>
      </w:pPr>
    </w:p>
    <w:p w14:paraId="3BE795DA"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Estaría dispuesto a iniciar un proceso de transformación según el planteamiento de la denominación de origen Tarrazu </w:t>
      </w:r>
    </w:p>
    <w:p w14:paraId="3E6CA596" w14:textId="77777777" w:rsidR="00B60F36" w:rsidRDefault="00B60F36" w:rsidP="00B60F36">
      <w:pPr>
        <w:autoSpaceDE w:val="0"/>
        <w:autoSpaceDN w:val="0"/>
        <w:adjustRightInd w:val="0"/>
        <w:spacing w:after="0" w:line="240" w:lineRule="auto"/>
        <w:jc w:val="both"/>
        <w:rPr>
          <w:rFonts w:ascii="Arial" w:hAnsi="Arial" w:cs="Arial"/>
          <w:bCs/>
        </w:rPr>
      </w:pPr>
    </w:p>
    <w:p w14:paraId="691939B7"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1 Si </w:t>
      </w:r>
    </w:p>
    <w:p w14:paraId="07C8139A"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2 No</w:t>
      </w:r>
    </w:p>
    <w:p w14:paraId="21A4A090"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¿Por qué? </w:t>
      </w:r>
    </w:p>
    <w:p w14:paraId="43B06ED5" w14:textId="77777777" w:rsidR="00B60F36" w:rsidRDefault="00B60F36" w:rsidP="00B60F36">
      <w:pPr>
        <w:autoSpaceDE w:val="0"/>
        <w:autoSpaceDN w:val="0"/>
        <w:adjustRightInd w:val="0"/>
        <w:spacing w:after="0" w:line="240" w:lineRule="auto"/>
        <w:jc w:val="both"/>
        <w:rPr>
          <w:rFonts w:ascii="Arial" w:hAnsi="Arial" w:cs="Arial"/>
          <w:bCs/>
        </w:rPr>
      </w:pPr>
    </w:p>
    <w:p w14:paraId="6298B5E5" w14:textId="77777777" w:rsidR="00B60F36" w:rsidRDefault="00B60F36" w:rsidP="00B60F36">
      <w:pPr>
        <w:autoSpaceDE w:val="0"/>
        <w:autoSpaceDN w:val="0"/>
        <w:adjustRightInd w:val="0"/>
        <w:spacing w:after="0" w:line="240" w:lineRule="auto"/>
        <w:jc w:val="both"/>
        <w:rPr>
          <w:rFonts w:ascii="Arial" w:hAnsi="Arial" w:cs="Arial"/>
          <w:bCs/>
        </w:rPr>
      </w:pPr>
    </w:p>
    <w:p w14:paraId="17870E33" w14:textId="77777777" w:rsidR="00B60F36" w:rsidRDefault="00B60F36" w:rsidP="00B60F36">
      <w:pPr>
        <w:autoSpaceDE w:val="0"/>
        <w:autoSpaceDN w:val="0"/>
        <w:adjustRightInd w:val="0"/>
        <w:spacing w:after="0" w:line="240" w:lineRule="auto"/>
        <w:jc w:val="both"/>
        <w:rPr>
          <w:rFonts w:ascii="Arial" w:hAnsi="Arial" w:cs="Arial"/>
          <w:bCs/>
        </w:rPr>
      </w:pPr>
    </w:p>
    <w:p w14:paraId="3338859B" w14:textId="77777777" w:rsidR="00B60F36" w:rsidRDefault="00B60F36" w:rsidP="00B60F36">
      <w:pPr>
        <w:autoSpaceDE w:val="0"/>
        <w:autoSpaceDN w:val="0"/>
        <w:adjustRightInd w:val="0"/>
        <w:spacing w:after="0" w:line="240" w:lineRule="auto"/>
        <w:jc w:val="both"/>
        <w:rPr>
          <w:rFonts w:ascii="Arial" w:hAnsi="Arial" w:cs="Arial"/>
          <w:bCs/>
        </w:rPr>
      </w:pPr>
    </w:p>
    <w:p w14:paraId="1A6A654D"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¿Qué ventajas obtendría de implementar una industria mediana referente al procesamiento de café?</w:t>
      </w:r>
    </w:p>
    <w:p w14:paraId="7EBCF437" w14:textId="77777777" w:rsidR="00B60F36" w:rsidRDefault="00B60F36" w:rsidP="00B60F36">
      <w:pPr>
        <w:autoSpaceDE w:val="0"/>
        <w:autoSpaceDN w:val="0"/>
        <w:adjustRightInd w:val="0"/>
        <w:spacing w:after="0" w:line="240" w:lineRule="auto"/>
        <w:jc w:val="both"/>
        <w:rPr>
          <w:rFonts w:ascii="Arial" w:hAnsi="Arial" w:cs="Arial"/>
          <w:bCs/>
        </w:rPr>
      </w:pPr>
      <w:r>
        <w:rPr>
          <w:rFonts w:ascii="Arial" w:hAnsi="Arial" w:cs="Arial"/>
          <w:bCs/>
        </w:rPr>
        <w:t xml:space="preserve">________________________________________________________________________________________________________________________________________________________________________________________________________________________ </w:t>
      </w:r>
    </w:p>
    <w:p w14:paraId="31F1D97E" w14:textId="77777777" w:rsidR="00B60F36" w:rsidRDefault="00B60F36" w:rsidP="00B60F36">
      <w:pPr>
        <w:autoSpaceDE w:val="0"/>
        <w:autoSpaceDN w:val="0"/>
        <w:adjustRightInd w:val="0"/>
        <w:spacing w:after="0" w:line="240" w:lineRule="auto"/>
        <w:jc w:val="both"/>
        <w:rPr>
          <w:rFonts w:ascii="Arial" w:hAnsi="Arial" w:cs="Arial"/>
          <w:bCs/>
        </w:rPr>
      </w:pPr>
    </w:p>
    <w:p w14:paraId="263185D3" w14:textId="77777777" w:rsidR="00B60F36" w:rsidRPr="00EE13C5" w:rsidRDefault="00B60F36" w:rsidP="00B60F36">
      <w:pPr>
        <w:autoSpaceDE w:val="0"/>
        <w:autoSpaceDN w:val="0"/>
        <w:adjustRightInd w:val="0"/>
        <w:spacing w:after="0" w:line="240" w:lineRule="auto"/>
        <w:jc w:val="both"/>
        <w:rPr>
          <w:rFonts w:ascii="Arial" w:hAnsi="Arial" w:cs="Arial"/>
          <w:bCs/>
        </w:rPr>
      </w:pPr>
      <w:r>
        <w:rPr>
          <w:rFonts w:ascii="Arial" w:hAnsi="Arial" w:cs="Arial"/>
          <w:bCs/>
        </w:rPr>
        <w:t>¿Cuáles son las desventajas que observa con la implementación de la denominación de origen en la producción de café en la Zona de los Santos?</w:t>
      </w:r>
    </w:p>
    <w:p w14:paraId="54E7BB54" w14:textId="77777777" w:rsidR="00B60F36" w:rsidRPr="007E34B9" w:rsidRDefault="00B60F36" w:rsidP="00B60F36">
      <w:pPr>
        <w:autoSpaceDE w:val="0"/>
        <w:autoSpaceDN w:val="0"/>
        <w:adjustRightInd w:val="0"/>
        <w:spacing w:after="0" w:line="240" w:lineRule="auto"/>
        <w:rPr>
          <w:rFonts w:ascii="Arial" w:hAnsi="Arial" w:cs="Arial"/>
          <w:bCs/>
        </w:rPr>
      </w:pPr>
      <w:r>
        <w:rPr>
          <w:rFonts w:ascii="Arial" w:hAnsi="Arial" w:cs="Arial"/>
          <w:b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0A70E3" w14:textId="77777777" w:rsidR="00B60F36" w:rsidRDefault="00B60F36" w:rsidP="00B60F36">
      <w:pPr>
        <w:autoSpaceDE w:val="0"/>
        <w:autoSpaceDN w:val="0"/>
        <w:adjustRightInd w:val="0"/>
        <w:spacing w:after="0" w:line="240" w:lineRule="auto"/>
        <w:rPr>
          <w:rFonts w:ascii="Arial" w:hAnsi="Arial" w:cs="Arial"/>
          <w:b/>
          <w:bCs/>
        </w:rPr>
      </w:pPr>
    </w:p>
    <w:p w14:paraId="00999979" w14:textId="77777777" w:rsidR="00B60F36" w:rsidRPr="00343E78" w:rsidRDefault="00B60F36" w:rsidP="00B60F36">
      <w:pPr>
        <w:autoSpaceDE w:val="0"/>
        <w:autoSpaceDN w:val="0"/>
        <w:adjustRightInd w:val="0"/>
        <w:spacing w:after="0" w:line="240" w:lineRule="auto"/>
        <w:rPr>
          <w:rFonts w:ascii="Arial" w:hAnsi="Arial" w:cs="Arial"/>
          <w:bCs/>
        </w:rPr>
      </w:pPr>
      <w:r>
        <w:rPr>
          <w:rFonts w:ascii="Arial" w:hAnsi="Arial" w:cs="Arial"/>
          <w:bCs/>
        </w:rPr>
        <w:t>¿</w:t>
      </w:r>
      <w:r w:rsidRPr="00343E78">
        <w:rPr>
          <w:rFonts w:ascii="Arial" w:hAnsi="Arial" w:cs="Arial"/>
          <w:bCs/>
        </w:rPr>
        <w:t xml:space="preserve">Cree que las condiciones actuales del programa de Banca para el Desarrollo Facilite la implementación de Denominación de Origen </w:t>
      </w:r>
    </w:p>
    <w:p w14:paraId="1FA164BE" w14:textId="77777777" w:rsidR="00B60F36" w:rsidRDefault="00B60F36" w:rsidP="00B60F36">
      <w:pPr>
        <w:autoSpaceDE w:val="0"/>
        <w:autoSpaceDN w:val="0"/>
        <w:adjustRightInd w:val="0"/>
        <w:spacing w:after="0" w:line="240" w:lineRule="auto"/>
        <w:rPr>
          <w:rFonts w:ascii="Arial" w:hAnsi="Arial" w:cs="Arial"/>
          <w:bCs/>
        </w:rPr>
      </w:pPr>
    </w:p>
    <w:p w14:paraId="0DA27FD4" w14:textId="77777777" w:rsidR="00B60F36" w:rsidRDefault="00B60F36" w:rsidP="00B60F36">
      <w:pPr>
        <w:autoSpaceDE w:val="0"/>
        <w:autoSpaceDN w:val="0"/>
        <w:adjustRightInd w:val="0"/>
        <w:spacing w:after="0" w:line="240" w:lineRule="auto"/>
        <w:rPr>
          <w:rFonts w:ascii="Arial" w:hAnsi="Arial" w:cs="Arial"/>
          <w:bCs/>
        </w:rPr>
      </w:pPr>
      <w:r w:rsidRPr="00343E78">
        <w:rPr>
          <w:rFonts w:ascii="Arial" w:hAnsi="Arial" w:cs="Arial"/>
          <w:bCs/>
        </w:rPr>
        <w:t xml:space="preserve">1 Si </w:t>
      </w:r>
    </w:p>
    <w:p w14:paraId="2E0EACD7" w14:textId="77777777" w:rsidR="00B60F36" w:rsidRPr="00343E78" w:rsidRDefault="00B60F36" w:rsidP="00B60F36">
      <w:pPr>
        <w:autoSpaceDE w:val="0"/>
        <w:autoSpaceDN w:val="0"/>
        <w:adjustRightInd w:val="0"/>
        <w:spacing w:after="0" w:line="240" w:lineRule="auto"/>
        <w:rPr>
          <w:rFonts w:ascii="Arial" w:hAnsi="Arial" w:cs="Arial"/>
          <w:bCs/>
        </w:rPr>
      </w:pPr>
      <w:r w:rsidRPr="00343E78">
        <w:rPr>
          <w:rFonts w:ascii="Arial" w:hAnsi="Arial" w:cs="Arial"/>
          <w:bCs/>
        </w:rPr>
        <w:t>2 No</w:t>
      </w:r>
    </w:p>
    <w:p w14:paraId="04097483" w14:textId="77777777" w:rsidR="00B60F36" w:rsidRDefault="00B60F36" w:rsidP="00B60F36">
      <w:pPr>
        <w:autoSpaceDE w:val="0"/>
        <w:autoSpaceDN w:val="0"/>
        <w:adjustRightInd w:val="0"/>
        <w:spacing w:after="0" w:line="240" w:lineRule="auto"/>
        <w:rPr>
          <w:rFonts w:ascii="Arial" w:hAnsi="Arial" w:cs="Arial"/>
          <w:bCs/>
        </w:rPr>
      </w:pPr>
      <w:r w:rsidRPr="00343E78">
        <w:rPr>
          <w:rFonts w:ascii="Arial" w:hAnsi="Arial" w:cs="Arial"/>
          <w:bCs/>
        </w:rPr>
        <w:t>¿Por qué?</w:t>
      </w:r>
    </w:p>
    <w:p w14:paraId="79C76A7D"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4D3C00" w14:textId="77777777" w:rsidR="00B60F36" w:rsidRDefault="00B60F36" w:rsidP="00B60F36">
      <w:pPr>
        <w:autoSpaceDE w:val="0"/>
        <w:autoSpaceDN w:val="0"/>
        <w:adjustRightInd w:val="0"/>
        <w:spacing w:after="0" w:line="240" w:lineRule="auto"/>
        <w:rPr>
          <w:rFonts w:ascii="Arial" w:hAnsi="Arial" w:cs="Arial"/>
          <w:bCs/>
        </w:rPr>
      </w:pPr>
    </w:p>
    <w:p w14:paraId="1803B487" w14:textId="77777777" w:rsidR="00B60F36" w:rsidRDefault="00B60F36" w:rsidP="00B60F36">
      <w:pPr>
        <w:autoSpaceDE w:val="0"/>
        <w:autoSpaceDN w:val="0"/>
        <w:adjustRightInd w:val="0"/>
        <w:spacing w:after="0" w:line="240" w:lineRule="auto"/>
        <w:rPr>
          <w:rFonts w:ascii="Arial" w:hAnsi="Arial" w:cs="Arial"/>
          <w:bCs/>
        </w:rPr>
      </w:pPr>
      <w:r>
        <w:rPr>
          <w:rFonts w:ascii="Arial" w:hAnsi="Arial" w:cs="Arial"/>
          <w:bCs/>
        </w:rPr>
        <w:t>¿Cuáles considera usted que serían los efectos inmediatos que se observarían con la denominación de origen en la producción de café?</w:t>
      </w:r>
    </w:p>
    <w:p w14:paraId="61316181" w14:textId="77777777" w:rsidR="00B60F36" w:rsidRPr="00343E78" w:rsidRDefault="00B60F36" w:rsidP="00B60F36">
      <w:pPr>
        <w:autoSpaceDE w:val="0"/>
        <w:autoSpaceDN w:val="0"/>
        <w:adjustRightInd w:val="0"/>
        <w:spacing w:after="0" w:line="240" w:lineRule="auto"/>
        <w:rPr>
          <w:rFonts w:ascii="Arial" w:hAnsi="Arial" w:cs="Arial"/>
          <w:bCs/>
        </w:rPr>
      </w:pPr>
      <w:r>
        <w:rPr>
          <w:rFonts w:ascii="Arial" w:hAnsi="Arial" w:cs="Arial"/>
          <w:bCs/>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3E767020" w14:textId="77777777" w:rsidR="00B60F36" w:rsidRDefault="00B60F36" w:rsidP="00B60F36">
      <w:pPr>
        <w:autoSpaceDE w:val="0"/>
        <w:autoSpaceDN w:val="0"/>
        <w:adjustRightInd w:val="0"/>
        <w:spacing w:after="0" w:line="240" w:lineRule="auto"/>
        <w:rPr>
          <w:rFonts w:ascii="Arial" w:hAnsi="Arial" w:cs="Arial"/>
          <w:b/>
          <w:bCs/>
        </w:rPr>
      </w:pPr>
    </w:p>
    <w:p w14:paraId="60B8426E" w14:textId="77777777" w:rsidR="00B60F36" w:rsidRDefault="00B60F36" w:rsidP="00B60F36">
      <w:pPr>
        <w:autoSpaceDE w:val="0"/>
        <w:autoSpaceDN w:val="0"/>
        <w:adjustRightInd w:val="0"/>
        <w:spacing w:after="0" w:line="240" w:lineRule="auto"/>
        <w:rPr>
          <w:rFonts w:ascii="Arial" w:hAnsi="Arial" w:cs="Arial"/>
          <w:b/>
          <w:bCs/>
        </w:rPr>
      </w:pPr>
    </w:p>
    <w:p w14:paraId="17D968C1" w14:textId="77777777" w:rsidR="00B60F36" w:rsidRDefault="00B60F36" w:rsidP="00B60F36">
      <w:pPr>
        <w:autoSpaceDE w:val="0"/>
        <w:autoSpaceDN w:val="0"/>
        <w:adjustRightInd w:val="0"/>
        <w:spacing w:after="0" w:line="240" w:lineRule="auto"/>
        <w:rPr>
          <w:rFonts w:ascii="Arial" w:hAnsi="Arial" w:cs="Arial"/>
          <w:b/>
          <w:bCs/>
        </w:rPr>
      </w:pPr>
    </w:p>
    <w:p w14:paraId="378E9F51" w14:textId="54687452" w:rsidR="00B60F36" w:rsidRPr="00431183" w:rsidRDefault="00B60F36" w:rsidP="00B60F36">
      <w:pPr>
        <w:spacing w:line="240" w:lineRule="auto"/>
        <w:jc w:val="center"/>
        <w:rPr>
          <w:rFonts w:ascii="Cambria" w:hAnsi="Cambria" w:cs="Arial"/>
          <w:b/>
          <w:bCs/>
          <w:sz w:val="24"/>
          <w:szCs w:val="24"/>
        </w:rPr>
      </w:pPr>
      <w:r w:rsidRPr="00071C3D">
        <w:rPr>
          <w:rFonts w:ascii="Arial" w:hAnsi="Arial" w:cs="Arial"/>
          <w:b/>
          <w:bCs/>
        </w:rPr>
        <w:t>Gracias por su colaboraci</w:t>
      </w:r>
      <w:r>
        <w:rPr>
          <w:rFonts w:ascii="Arial" w:hAnsi="Arial" w:cs="Arial"/>
          <w:b/>
          <w:bCs/>
        </w:rPr>
        <w:t>ón</w:t>
      </w:r>
    </w:p>
    <w:p w14:paraId="2F439D70" w14:textId="6120D583" w:rsidR="00AB67B9" w:rsidRPr="00431183" w:rsidRDefault="00AB67B9" w:rsidP="00AF1E1D">
      <w:pPr>
        <w:spacing w:line="240" w:lineRule="auto"/>
        <w:jc w:val="center"/>
        <w:rPr>
          <w:rFonts w:ascii="Cambria" w:hAnsi="Cambria" w:cs="Arial"/>
          <w:sz w:val="24"/>
          <w:szCs w:val="24"/>
        </w:rPr>
      </w:pPr>
    </w:p>
    <w:p w14:paraId="4FFB975F" w14:textId="77777777" w:rsidR="00B20840" w:rsidRPr="00431183" w:rsidRDefault="00B20840" w:rsidP="004836BF">
      <w:pPr>
        <w:spacing w:line="480" w:lineRule="auto"/>
        <w:jc w:val="center"/>
        <w:rPr>
          <w:rFonts w:ascii="Cambria" w:hAnsi="Cambria" w:cs="Arial"/>
          <w:sz w:val="24"/>
          <w:szCs w:val="24"/>
        </w:rPr>
      </w:pPr>
    </w:p>
    <w:sectPr w:rsidR="00B20840" w:rsidRPr="00431183" w:rsidSect="005C7CB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0FE740" w14:textId="77777777" w:rsidR="00B127E3" w:rsidRDefault="00B127E3" w:rsidP="001510DF">
      <w:pPr>
        <w:spacing w:after="0" w:line="240" w:lineRule="auto"/>
      </w:pPr>
      <w:r>
        <w:separator/>
      </w:r>
    </w:p>
  </w:endnote>
  <w:endnote w:type="continuationSeparator" w:id="0">
    <w:p w14:paraId="03BEAE26" w14:textId="77777777" w:rsidR="00B127E3" w:rsidRDefault="00B127E3" w:rsidP="001510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8492382"/>
      <w:docPartObj>
        <w:docPartGallery w:val="Page Numbers (Bottom of Page)"/>
        <w:docPartUnique/>
      </w:docPartObj>
    </w:sdtPr>
    <w:sdtEndPr/>
    <w:sdtContent>
      <w:p w14:paraId="09CFFEC5" w14:textId="03D7D5A6" w:rsidR="00AF1E1D" w:rsidRDefault="00AF1E1D">
        <w:pPr>
          <w:pStyle w:val="Piedepgina"/>
          <w:jc w:val="right"/>
        </w:pPr>
        <w:r>
          <w:fldChar w:fldCharType="begin"/>
        </w:r>
        <w:r>
          <w:instrText>PAGE   \* MERGEFORMAT</w:instrText>
        </w:r>
        <w:r>
          <w:fldChar w:fldCharType="separate"/>
        </w:r>
        <w:r w:rsidRPr="00B32380">
          <w:rPr>
            <w:noProof/>
            <w:lang w:val="es-ES"/>
          </w:rPr>
          <w:t>75</w:t>
        </w:r>
        <w:r>
          <w:fldChar w:fldCharType="end"/>
        </w:r>
      </w:p>
    </w:sdtContent>
  </w:sdt>
  <w:p w14:paraId="0B6D75AE" w14:textId="77777777" w:rsidR="00AF1E1D" w:rsidRDefault="00AF1E1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32433132"/>
      <w:docPartObj>
        <w:docPartGallery w:val="Page Numbers (Bottom of Page)"/>
        <w:docPartUnique/>
      </w:docPartObj>
    </w:sdtPr>
    <w:sdtEndPr/>
    <w:sdtContent>
      <w:p w14:paraId="7BE94B6B" w14:textId="77777777" w:rsidR="00AF1E1D" w:rsidRDefault="00AF1E1D">
        <w:pPr>
          <w:pStyle w:val="Piedepgina"/>
          <w:jc w:val="right"/>
        </w:pPr>
        <w:r>
          <w:fldChar w:fldCharType="begin"/>
        </w:r>
        <w:r>
          <w:instrText>PAGE   \* MERGEFORMAT</w:instrText>
        </w:r>
        <w:r>
          <w:fldChar w:fldCharType="separate"/>
        </w:r>
        <w:r w:rsidRPr="005C14C0">
          <w:rPr>
            <w:noProof/>
            <w:lang w:val="es-ES"/>
          </w:rPr>
          <w:t>1</w:t>
        </w:r>
        <w:r>
          <w:fldChar w:fldCharType="end"/>
        </w:r>
      </w:p>
    </w:sdtContent>
  </w:sdt>
  <w:p w14:paraId="3FFF4620" w14:textId="77777777" w:rsidR="00AF1E1D" w:rsidRDefault="00AF1E1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9159D5" w14:textId="77777777" w:rsidR="00B127E3" w:rsidRDefault="00B127E3" w:rsidP="001510DF">
      <w:pPr>
        <w:spacing w:after="0" w:line="240" w:lineRule="auto"/>
      </w:pPr>
      <w:r>
        <w:separator/>
      </w:r>
    </w:p>
  </w:footnote>
  <w:footnote w:type="continuationSeparator" w:id="0">
    <w:p w14:paraId="29B8AF83" w14:textId="77777777" w:rsidR="00B127E3" w:rsidRDefault="00B127E3" w:rsidP="001510DF">
      <w:pPr>
        <w:spacing w:after="0" w:line="240" w:lineRule="auto"/>
      </w:pPr>
      <w:r>
        <w:continuationSeparator/>
      </w:r>
    </w:p>
  </w:footnote>
  <w:footnote w:id="1">
    <w:p w14:paraId="385F2579" w14:textId="77777777" w:rsidR="00AF1E1D" w:rsidRDefault="00AF1E1D">
      <w:pPr>
        <w:pStyle w:val="Textonotapie"/>
      </w:pPr>
      <w:r>
        <w:rPr>
          <w:rStyle w:val="Refdenotaalpie"/>
        </w:rPr>
        <w:footnoteRef/>
      </w:r>
      <w:r>
        <w:t xml:space="preserve"> A partir de este punto será denominado como DO</w:t>
      </w:r>
    </w:p>
  </w:footnote>
  <w:footnote w:id="2">
    <w:p w14:paraId="352D5605" w14:textId="77777777" w:rsidR="00AF1E1D" w:rsidRPr="00EA3BF3" w:rsidRDefault="00AF1E1D" w:rsidP="00F507BE">
      <w:pPr>
        <w:pStyle w:val="Textonotapie"/>
        <w:rPr>
          <w:lang w:val="es-ES"/>
        </w:rPr>
      </w:pPr>
      <w:r>
        <w:rPr>
          <w:rStyle w:val="Refdenotaalpie"/>
        </w:rPr>
        <w:footnoteRef/>
      </w:r>
      <w:r>
        <w:t xml:space="preserve"> </w:t>
      </w:r>
      <w:r>
        <w:rPr>
          <w:lang w:val="es-ES"/>
        </w:rPr>
        <w:t xml:space="preserve">Al utilizar otros valores, se refiere a valores que no necesariamente están ligados con valores económicos en la producción, si no, a temas culturales, intangibles intrínsecos en los procesos productivos </w:t>
      </w:r>
    </w:p>
  </w:footnote>
  <w:footnote w:id="3">
    <w:p w14:paraId="2749C719" w14:textId="77777777" w:rsidR="00AF1E1D" w:rsidRDefault="00AF1E1D" w:rsidP="00F507BE">
      <w:pPr>
        <w:pStyle w:val="Textonotapie"/>
      </w:pPr>
      <w:r>
        <w:rPr>
          <w:rStyle w:val="Refdenotaalpie"/>
        </w:rPr>
        <w:footnoteRef/>
      </w:r>
      <w:r>
        <w:t xml:space="preserve"> El termino no tiene que ser mal interpretado y asociado a modelos de desarrollo institucionalidades en un periodo de tiempo determinado, al usar el término se refiere a la necesidad de un mayor valor agregado de las actividades productivas ante una internacionalización de las bases productivas. </w:t>
      </w:r>
    </w:p>
  </w:footnote>
  <w:footnote w:id="4">
    <w:p w14:paraId="5467D648" w14:textId="77777777" w:rsidR="00AF1E1D" w:rsidRDefault="00AF1E1D" w:rsidP="00F507BE">
      <w:pPr>
        <w:pStyle w:val="Textonotapie"/>
      </w:pPr>
      <w:r>
        <w:rPr>
          <w:rStyle w:val="Refdenotaalpie"/>
        </w:rPr>
        <w:footnoteRef/>
      </w:r>
      <w:r>
        <w:t xml:space="preserve"> El nombre de Tarrazú es utilizado por otros agentes económicos para obtener mayores beneficios </w:t>
      </w:r>
    </w:p>
  </w:footnote>
  <w:footnote w:id="5">
    <w:p w14:paraId="2E947DF2" w14:textId="77777777" w:rsidR="00AF1E1D" w:rsidRDefault="00AF1E1D" w:rsidP="00AB67B9">
      <w:pPr>
        <w:pStyle w:val="Textonotapie"/>
      </w:pPr>
      <w:r>
        <w:rPr>
          <w:rStyle w:val="Refdenotaalpie"/>
        </w:rPr>
        <w:footnoteRef/>
      </w:r>
      <w:r>
        <w:t xml:space="preserve"> La no observación de los valores para algunos individuos puede responder más a una conducta sistemática dadas sus características y preferencias. </w:t>
      </w:r>
    </w:p>
  </w:footnote>
  <w:footnote w:id="6">
    <w:p w14:paraId="11B07513" w14:textId="77777777" w:rsidR="00AF1E1D" w:rsidRPr="004E3188" w:rsidRDefault="00AF1E1D">
      <w:pPr>
        <w:pStyle w:val="Textonotapie"/>
        <w:rPr>
          <w:lang w:val="es-ES"/>
        </w:rPr>
      </w:pPr>
      <w:r>
        <w:rPr>
          <w:rStyle w:val="Refdenotaalpie"/>
        </w:rPr>
        <w:footnoteRef/>
      </w:r>
      <w:r>
        <w:t xml:space="preserve"> </w:t>
      </w:r>
      <w:r>
        <w:rPr>
          <w:lang w:val="es-ES"/>
        </w:rPr>
        <w:t>Un café es considerado Premium o de alta calidad cuando su catacion supera la nota de 85</w:t>
      </w:r>
    </w:p>
  </w:footnote>
  <w:footnote w:id="7">
    <w:p w14:paraId="71E7F6E8" w14:textId="5BFA0EAF" w:rsidR="00AF1E1D" w:rsidRDefault="00AF1E1D">
      <w:pPr>
        <w:pStyle w:val="Textonotapie"/>
      </w:pPr>
      <w:r>
        <w:rPr>
          <w:rStyle w:val="Refdenotaalpie"/>
        </w:rPr>
        <w:footnoteRef/>
      </w:r>
      <w:r>
        <w:t xml:space="preserve"> Este indicador es elaborado por la Escuela de Economía y el Observatorio del Desarrollo de la Universidad de Costa Rica </w:t>
      </w:r>
    </w:p>
  </w:footnote>
  <w:footnote w:id="8">
    <w:p w14:paraId="0DDC55E1" w14:textId="1463AF9E" w:rsidR="00AF1E1D" w:rsidRDefault="00AF1E1D">
      <w:pPr>
        <w:pStyle w:val="Textonotapie"/>
      </w:pPr>
      <w:r>
        <w:rPr>
          <w:rStyle w:val="Refdenotaalpie"/>
        </w:rPr>
        <w:footnoteRef/>
      </w:r>
      <w:r>
        <w:t xml:space="preserve"> Este indicador es elaborado por el Ministerio de Planificación Nacional y Política Económica </w:t>
      </w:r>
    </w:p>
  </w:footnote>
  <w:footnote w:id="9">
    <w:p w14:paraId="39880A4F" w14:textId="77777777" w:rsidR="00AF1E1D" w:rsidRDefault="00AF1E1D" w:rsidP="00251BA7">
      <w:pPr>
        <w:pStyle w:val="Textonotapie"/>
      </w:pPr>
      <w:r>
        <w:rPr>
          <w:rStyle w:val="Refdenotaalpie"/>
        </w:rPr>
        <w:footnoteRef/>
      </w:r>
      <w:r>
        <w:t xml:space="preserve"> Para el cálculo del promedio, se realiza mediante un promedio ponderado con las parcelas por productor y su extensión con el objeto de no sesgar el resultado si se calcula un promedio simple si no se contempla la cantidad de propiedades. </w:t>
      </w:r>
    </w:p>
  </w:footnote>
  <w:footnote w:id="10">
    <w:p w14:paraId="33003937" w14:textId="77777777" w:rsidR="00AF1E1D" w:rsidRDefault="00AF1E1D">
      <w:pPr>
        <w:pStyle w:val="Textonotapie"/>
      </w:pPr>
      <w:r>
        <w:rPr>
          <w:rStyle w:val="Refdenotaalpie"/>
        </w:rPr>
        <w:footnoteRef/>
      </w:r>
      <w:r>
        <w:t xml:space="preserve"> Es un método utilizado para cuantificar mediante una nota en una escala de 0 a 100 la calidad de un lote o finca de producción de café.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2752E"/>
    <w:multiLevelType w:val="multilevel"/>
    <w:tmpl w:val="8520BD8A"/>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61307B0"/>
    <w:multiLevelType w:val="hybridMultilevel"/>
    <w:tmpl w:val="1826D15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8DB4864"/>
    <w:multiLevelType w:val="hybridMultilevel"/>
    <w:tmpl w:val="0194F626"/>
    <w:lvl w:ilvl="0" w:tplc="2C4A7200">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20521368"/>
    <w:multiLevelType w:val="hybridMultilevel"/>
    <w:tmpl w:val="1826D15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22915A56"/>
    <w:multiLevelType w:val="hybridMultilevel"/>
    <w:tmpl w:val="1826D15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5DD47FC"/>
    <w:multiLevelType w:val="multilevel"/>
    <w:tmpl w:val="AA46DD0E"/>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6B95375"/>
    <w:multiLevelType w:val="hybridMultilevel"/>
    <w:tmpl w:val="26921520"/>
    <w:lvl w:ilvl="0" w:tplc="B764F330">
      <w:start w:val="1"/>
      <w:numFmt w:val="decimal"/>
      <w:lvlText w:val="%1)"/>
      <w:lvlJc w:val="left"/>
      <w:pPr>
        <w:ind w:left="720" w:hanging="360"/>
      </w:pPr>
      <w:rPr>
        <w:rFonts w:eastAsiaTheme="minorEastAsia"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27471886"/>
    <w:multiLevelType w:val="hybridMultilevel"/>
    <w:tmpl w:val="E2F45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E518AD"/>
    <w:multiLevelType w:val="multilevel"/>
    <w:tmpl w:val="F37C985C"/>
    <w:lvl w:ilvl="0">
      <w:start w:val="1"/>
      <w:numFmt w:val="bullet"/>
      <w:lvlText w:val=""/>
      <w:lvlJc w:val="left"/>
      <w:pPr>
        <w:ind w:left="720" w:hanging="360"/>
      </w:pPr>
      <w:rPr>
        <w:rFonts w:ascii="Wingdings" w:hAnsi="Wingdings" w:hint="default"/>
        <w:color w:val="auto"/>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9" w15:restartNumberingAfterBreak="0">
    <w:nsid w:val="2CBE3C55"/>
    <w:multiLevelType w:val="hybridMultilevel"/>
    <w:tmpl w:val="A3E2AF08"/>
    <w:lvl w:ilvl="0" w:tplc="140A0011">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35680CE0"/>
    <w:multiLevelType w:val="hybridMultilevel"/>
    <w:tmpl w:val="1826D15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39274A18"/>
    <w:multiLevelType w:val="multilevel"/>
    <w:tmpl w:val="F4FE6DB4"/>
    <w:lvl w:ilvl="0">
      <w:start w:val="1"/>
      <w:numFmt w:val="decimal"/>
      <w:lvlText w:val="%1."/>
      <w:lvlJc w:val="left"/>
      <w:pPr>
        <w:ind w:left="720" w:hanging="360"/>
      </w:pPr>
      <w:rPr>
        <w:rFonts w:hint="default"/>
      </w:rPr>
    </w:lvl>
    <w:lvl w:ilvl="1">
      <w:start w:val="2"/>
      <w:numFmt w:val="decimal"/>
      <w:isLgl/>
      <w:lvlText w:val="%1.%2"/>
      <w:lvlJc w:val="left"/>
      <w:pPr>
        <w:ind w:left="1044" w:hanging="684"/>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A365E7B"/>
    <w:multiLevelType w:val="hybridMultilevel"/>
    <w:tmpl w:val="4FF603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E2D72FC"/>
    <w:multiLevelType w:val="hybridMultilevel"/>
    <w:tmpl w:val="FE1659AE"/>
    <w:lvl w:ilvl="0" w:tplc="140A000F">
      <w:start w:val="1"/>
      <w:numFmt w:val="decimal"/>
      <w:lvlText w:val="%1."/>
      <w:lvlJc w:val="left"/>
      <w:pPr>
        <w:ind w:left="1428" w:hanging="360"/>
      </w:pPr>
    </w:lvl>
    <w:lvl w:ilvl="1" w:tplc="140A0019" w:tentative="1">
      <w:start w:val="1"/>
      <w:numFmt w:val="lowerLetter"/>
      <w:lvlText w:val="%2."/>
      <w:lvlJc w:val="left"/>
      <w:pPr>
        <w:ind w:left="2148" w:hanging="360"/>
      </w:pPr>
    </w:lvl>
    <w:lvl w:ilvl="2" w:tplc="140A001B" w:tentative="1">
      <w:start w:val="1"/>
      <w:numFmt w:val="lowerRoman"/>
      <w:lvlText w:val="%3."/>
      <w:lvlJc w:val="right"/>
      <w:pPr>
        <w:ind w:left="2868" w:hanging="180"/>
      </w:pPr>
    </w:lvl>
    <w:lvl w:ilvl="3" w:tplc="140A000F" w:tentative="1">
      <w:start w:val="1"/>
      <w:numFmt w:val="decimal"/>
      <w:lvlText w:val="%4."/>
      <w:lvlJc w:val="left"/>
      <w:pPr>
        <w:ind w:left="3588" w:hanging="360"/>
      </w:pPr>
    </w:lvl>
    <w:lvl w:ilvl="4" w:tplc="140A0019" w:tentative="1">
      <w:start w:val="1"/>
      <w:numFmt w:val="lowerLetter"/>
      <w:lvlText w:val="%5."/>
      <w:lvlJc w:val="left"/>
      <w:pPr>
        <w:ind w:left="4308" w:hanging="360"/>
      </w:pPr>
    </w:lvl>
    <w:lvl w:ilvl="5" w:tplc="140A001B" w:tentative="1">
      <w:start w:val="1"/>
      <w:numFmt w:val="lowerRoman"/>
      <w:lvlText w:val="%6."/>
      <w:lvlJc w:val="right"/>
      <w:pPr>
        <w:ind w:left="5028" w:hanging="180"/>
      </w:pPr>
    </w:lvl>
    <w:lvl w:ilvl="6" w:tplc="140A000F" w:tentative="1">
      <w:start w:val="1"/>
      <w:numFmt w:val="decimal"/>
      <w:lvlText w:val="%7."/>
      <w:lvlJc w:val="left"/>
      <w:pPr>
        <w:ind w:left="5748" w:hanging="360"/>
      </w:pPr>
    </w:lvl>
    <w:lvl w:ilvl="7" w:tplc="140A0019" w:tentative="1">
      <w:start w:val="1"/>
      <w:numFmt w:val="lowerLetter"/>
      <w:lvlText w:val="%8."/>
      <w:lvlJc w:val="left"/>
      <w:pPr>
        <w:ind w:left="6468" w:hanging="360"/>
      </w:pPr>
    </w:lvl>
    <w:lvl w:ilvl="8" w:tplc="140A001B" w:tentative="1">
      <w:start w:val="1"/>
      <w:numFmt w:val="lowerRoman"/>
      <w:lvlText w:val="%9."/>
      <w:lvlJc w:val="right"/>
      <w:pPr>
        <w:ind w:left="7188" w:hanging="180"/>
      </w:pPr>
    </w:lvl>
  </w:abstractNum>
  <w:abstractNum w:abstractNumId="14" w15:restartNumberingAfterBreak="0">
    <w:nsid w:val="3FBA0684"/>
    <w:multiLevelType w:val="multilevel"/>
    <w:tmpl w:val="674C3372"/>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1080F6D"/>
    <w:multiLevelType w:val="hybridMultilevel"/>
    <w:tmpl w:val="D0ECA366"/>
    <w:lvl w:ilvl="0" w:tplc="140A0011">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46F8636F"/>
    <w:multiLevelType w:val="hybridMultilevel"/>
    <w:tmpl w:val="A57AECD0"/>
    <w:lvl w:ilvl="0" w:tplc="9A74C9F8">
      <w:start w:val="1"/>
      <w:numFmt w:val="upperRoman"/>
      <w:lvlText w:val="%1."/>
      <w:lvlJc w:val="right"/>
      <w:pPr>
        <w:ind w:left="1440" w:hanging="360"/>
      </w:pPr>
      <w:rPr>
        <w:b/>
      </w:r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17" w15:restartNumberingAfterBreak="0">
    <w:nsid w:val="497A7F5A"/>
    <w:multiLevelType w:val="hybridMultilevel"/>
    <w:tmpl w:val="E45EA3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D836B4C"/>
    <w:multiLevelType w:val="hybridMultilevel"/>
    <w:tmpl w:val="0FCAF3C0"/>
    <w:lvl w:ilvl="0" w:tplc="140A0011">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52AD75A3"/>
    <w:multiLevelType w:val="multilevel"/>
    <w:tmpl w:val="8CB6C3D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3733669"/>
    <w:multiLevelType w:val="hybridMultilevel"/>
    <w:tmpl w:val="6EEAA23E"/>
    <w:lvl w:ilvl="0" w:tplc="FEFA4662">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1" w15:restartNumberingAfterBreak="0">
    <w:nsid w:val="55F44026"/>
    <w:multiLevelType w:val="hybridMultilevel"/>
    <w:tmpl w:val="1826D15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580C07AF"/>
    <w:multiLevelType w:val="multilevel"/>
    <w:tmpl w:val="CE284EF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ED025B3"/>
    <w:multiLevelType w:val="hybridMultilevel"/>
    <w:tmpl w:val="C6A2CD46"/>
    <w:lvl w:ilvl="0" w:tplc="B2F2650E">
      <w:start w:val="1"/>
      <w:numFmt w:val="decimal"/>
      <w:lvlText w:val="%1-"/>
      <w:lvlJc w:val="left"/>
      <w:pPr>
        <w:ind w:left="720" w:hanging="360"/>
      </w:pPr>
      <w:rPr>
        <w:rFonts w:eastAsia="Times New Roman"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5FCA0A4A"/>
    <w:multiLevelType w:val="multilevel"/>
    <w:tmpl w:val="BA4699C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FDB21A3"/>
    <w:multiLevelType w:val="multilevel"/>
    <w:tmpl w:val="6250EF00"/>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2034D17"/>
    <w:multiLevelType w:val="multilevel"/>
    <w:tmpl w:val="725A8758"/>
    <w:lvl w:ilvl="0">
      <w:start w:val="2"/>
      <w:numFmt w:val="decimal"/>
      <w:lvlText w:val="%1"/>
      <w:lvlJc w:val="left"/>
      <w:pPr>
        <w:ind w:left="360" w:hanging="360"/>
      </w:pPr>
      <w:rPr>
        <w:rFonts w:hint="default"/>
        <w:b/>
      </w:rPr>
    </w:lvl>
    <w:lvl w:ilvl="1">
      <w:start w:val="3"/>
      <w:numFmt w:val="decimal"/>
      <w:lvlText w:val="%1.%2"/>
      <w:lvlJc w:val="left"/>
      <w:pPr>
        <w:ind w:left="644" w:hanging="360"/>
      </w:pPr>
      <w:rPr>
        <w:rFonts w:hint="default"/>
        <w:b/>
      </w:rPr>
    </w:lvl>
    <w:lvl w:ilvl="2">
      <w:start w:val="1"/>
      <w:numFmt w:val="decimal"/>
      <w:lvlText w:val="%1.%2.%3"/>
      <w:lvlJc w:val="left"/>
      <w:pPr>
        <w:ind w:left="1288" w:hanging="720"/>
      </w:pPr>
      <w:rPr>
        <w:rFonts w:hint="default"/>
        <w:b/>
      </w:rPr>
    </w:lvl>
    <w:lvl w:ilvl="3">
      <w:start w:val="1"/>
      <w:numFmt w:val="decimal"/>
      <w:lvlText w:val="%1.%2.%3.%4"/>
      <w:lvlJc w:val="left"/>
      <w:pPr>
        <w:ind w:left="1932" w:hanging="1080"/>
      </w:pPr>
      <w:rPr>
        <w:rFonts w:hint="default"/>
        <w:b/>
      </w:rPr>
    </w:lvl>
    <w:lvl w:ilvl="4">
      <w:start w:val="1"/>
      <w:numFmt w:val="decimal"/>
      <w:lvlText w:val="%1.%2.%3.%4.%5"/>
      <w:lvlJc w:val="left"/>
      <w:pPr>
        <w:ind w:left="2216" w:hanging="1080"/>
      </w:pPr>
      <w:rPr>
        <w:rFonts w:hint="default"/>
        <w:b/>
      </w:rPr>
    </w:lvl>
    <w:lvl w:ilvl="5">
      <w:start w:val="1"/>
      <w:numFmt w:val="decimal"/>
      <w:lvlText w:val="%1.%2.%3.%4.%5.%6"/>
      <w:lvlJc w:val="left"/>
      <w:pPr>
        <w:ind w:left="2860" w:hanging="1440"/>
      </w:pPr>
      <w:rPr>
        <w:rFonts w:hint="default"/>
        <w:b/>
      </w:rPr>
    </w:lvl>
    <w:lvl w:ilvl="6">
      <w:start w:val="1"/>
      <w:numFmt w:val="decimal"/>
      <w:lvlText w:val="%1.%2.%3.%4.%5.%6.%7"/>
      <w:lvlJc w:val="left"/>
      <w:pPr>
        <w:ind w:left="3144" w:hanging="1440"/>
      </w:pPr>
      <w:rPr>
        <w:rFonts w:hint="default"/>
        <w:b/>
      </w:rPr>
    </w:lvl>
    <w:lvl w:ilvl="7">
      <w:start w:val="1"/>
      <w:numFmt w:val="decimal"/>
      <w:lvlText w:val="%1.%2.%3.%4.%5.%6.%7.%8"/>
      <w:lvlJc w:val="left"/>
      <w:pPr>
        <w:ind w:left="3788" w:hanging="1800"/>
      </w:pPr>
      <w:rPr>
        <w:rFonts w:hint="default"/>
        <w:b/>
      </w:rPr>
    </w:lvl>
    <w:lvl w:ilvl="8">
      <w:start w:val="1"/>
      <w:numFmt w:val="decimal"/>
      <w:lvlText w:val="%1.%2.%3.%4.%5.%6.%7.%8.%9"/>
      <w:lvlJc w:val="left"/>
      <w:pPr>
        <w:ind w:left="4072" w:hanging="1800"/>
      </w:pPr>
      <w:rPr>
        <w:rFonts w:hint="default"/>
        <w:b/>
      </w:rPr>
    </w:lvl>
  </w:abstractNum>
  <w:abstractNum w:abstractNumId="27" w15:restartNumberingAfterBreak="0">
    <w:nsid w:val="66E07177"/>
    <w:multiLevelType w:val="multilevel"/>
    <w:tmpl w:val="92C03486"/>
    <w:lvl w:ilvl="0">
      <w:start w:val="1"/>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8A26DC4"/>
    <w:multiLevelType w:val="hybridMultilevel"/>
    <w:tmpl w:val="35A67A30"/>
    <w:lvl w:ilvl="0" w:tplc="CDB08B72">
      <w:start w:val="1"/>
      <w:numFmt w:val="low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9" w15:restartNumberingAfterBreak="0">
    <w:nsid w:val="6A104290"/>
    <w:multiLevelType w:val="hybridMultilevel"/>
    <w:tmpl w:val="211A4354"/>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6AF50EA0"/>
    <w:multiLevelType w:val="hybridMultilevel"/>
    <w:tmpl w:val="8F681F3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6C512716"/>
    <w:multiLevelType w:val="hybridMultilevel"/>
    <w:tmpl w:val="5CA0F38A"/>
    <w:lvl w:ilvl="0" w:tplc="140A0011">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6DED632C"/>
    <w:multiLevelType w:val="hybridMultilevel"/>
    <w:tmpl w:val="B610288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70040FCB"/>
    <w:multiLevelType w:val="multilevel"/>
    <w:tmpl w:val="27F4017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75141A0"/>
    <w:multiLevelType w:val="hybridMultilevel"/>
    <w:tmpl w:val="1826D15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5" w15:restartNumberingAfterBreak="0">
    <w:nsid w:val="7CBB59AC"/>
    <w:multiLevelType w:val="hybridMultilevel"/>
    <w:tmpl w:val="F23461AE"/>
    <w:lvl w:ilvl="0" w:tplc="A45CF37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2"/>
  </w:num>
  <w:num w:numId="3">
    <w:abstractNumId w:val="27"/>
  </w:num>
  <w:num w:numId="4">
    <w:abstractNumId w:val="33"/>
  </w:num>
  <w:num w:numId="5">
    <w:abstractNumId w:val="19"/>
  </w:num>
  <w:num w:numId="6">
    <w:abstractNumId w:val="25"/>
  </w:num>
  <w:num w:numId="7">
    <w:abstractNumId w:val="0"/>
  </w:num>
  <w:num w:numId="8">
    <w:abstractNumId w:val="24"/>
  </w:num>
  <w:num w:numId="9">
    <w:abstractNumId w:val="14"/>
  </w:num>
  <w:num w:numId="10">
    <w:abstractNumId w:val="6"/>
  </w:num>
  <w:num w:numId="11">
    <w:abstractNumId w:val="29"/>
  </w:num>
  <w:num w:numId="12">
    <w:abstractNumId w:val="16"/>
  </w:num>
  <w:num w:numId="13">
    <w:abstractNumId w:val="35"/>
  </w:num>
  <w:num w:numId="14">
    <w:abstractNumId w:val="7"/>
  </w:num>
  <w:num w:numId="15">
    <w:abstractNumId w:val="17"/>
  </w:num>
  <w:num w:numId="16">
    <w:abstractNumId w:val="28"/>
  </w:num>
  <w:num w:numId="17">
    <w:abstractNumId w:val="4"/>
  </w:num>
  <w:num w:numId="18">
    <w:abstractNumId w:val="34"/>
  </w:num>
  <w:num w:numId="19">
    <w:abstractNumId w:val="3"/>
  </w:num>
  <w:num w:numId="20">
    <w:abstractNumId w:val="1"/>
  </w:num>
  <w:num w:numId="21">
    <w:abstractNumId w:val="30"/>
  </w:num>
  <w:num w:numId="22">
    <w:abstractNumId w:val="21"/>
  </w:num>
  <w:num w:numId="23">
    <w:abstractNumId w:val="10"/>
  </w:num>
  <w:num w:numId="24">
    <w:abstractNumId w:val="22"/>
  </w:num>
  <w:num w:numId="25">
    <w:abstractNumId w:val="26"/>
  </w:num>
  <w:num w:numId="26">
    <w:abstractNumId w:val="32"/>
  </w:num>
  <w:num w:numId="27">
    <w:abstractNumId w:val="5"/>
  </w:num>
  <w:num w:numId="28">
    <w:abstractNumId w:val="8"/>
  </w:num>
  <w:num w:numId="29">
    <w:abstractNumId w:val="20"/>
  </w:num>
  <w:num w:numId="30">
    <w:abstractNumId w:val="13"/>
  </w:num>
  <w:num w:numId="31">
    <w:abstractNumId w:val="23"/>
  </w:num>
  <w:num w:numId="32">
    <w:abstractNumId w:val="15"/>
  </w:num>
  <w:num w:numId="33">
    <w:abstractNumId w:val="31"/>
  </w:num>
  <w:num w:numId="34">
    <w:abstractNumId w:val="18"/>
  </w:num>
  <w:num w:numId="35">
    <w:abstractNumId w:val="9"/>
  </w:num>
  <w:num w:numId="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49B3"/>
    <w:rsid w:val="000018AA"/>
    <w:rsid w:val="00005212"/>
    <w:rsid w:val="0000596C"/>
    <w:rsid w:val="00011885"/>
    <w:rsid w:val="00014E39"/>
    <w:rsid w:val="000155D9"/>
    <w:rsid w:val="000156FA"/>
    <w:rsid w:val="00022A29"/>
    <w:rsid w:val="0002336A"/>
    <w:rsid w:val="000244CA"/>
    <w:rsid w:val="000257F9"/>
    <w:rsid w:val="00025AA4"/>
    <w:rsid w:val="00026A34"/>
    <w:rsid w:val="000373EA"/>
    <w:rsid w:val="00043805"/>
    <w:rsid w:val="00045BB3"/>
    <w:rsid w:val="00046C0F"/>
    <w:rsid w:val="000530F6"/>
    <w:rsid w:val="000632A8"/>
    <w:rsid w:val="00065D0E"/>
    <w:rsid w:val="00072E8A"/>
    <w:rsid w:val="00073353"/>
    <w:rsid w:val="000734FC"/>
    <w:rsid w:val="00073ECD"/>
    <w:rsid w:val="00081D6E"/>
    <w:rsid w:val="0008377B"/>
    <w:rsid w:val="00090AB5"/>
    <w:rsid w:val="0009604A"/>
    <w:rsid w:val="00097FDD"/>
    <w:rsid w:val="000A0E07"/>
    <w:rsid w:val="000A41E7"/>
    <w:rsid w:val="000A6957"/>
    <w:rsid w:val="000B46DE"/>
    <w:rsid w:val="000C19DC"/>
    <w:rsid w:val="000C4616"/>
    <w:rsid w:val="000C5540"/>
    <w:rsid w:val="000C5E40"/>
    <w:rsid w:val="000D3C31"/>
    <w:rsid w:val="000E2190"/>
    <w:rsid w:val="000F13CA"/>
    <w:rsid w:val="000F6D35"/>
    <w:rsid w:val="001007CC"/>
    <w:rsid w:val="00102BE2"/>
    <w:rsid w:val="0010523A"/>
    <w:rsid w:val="00105565"/>
    <w:rsid w:val="00107AEF"/>
    <w:rsid w:val="00107F94"/>
    <w:rsid w:val="00113CD6"/>
    <w:rsid w:val="00120BC5"/>
    <w:rsid w:val="00122431"/>
    <w:rsid w:val="001247F4"/>
    <w:rsid w:val="0013099D"/>
    <w:rsid w:val="0013272A"/>
    <w:rsid w:val="00133703"/>
    <w:rsid w:val="00144B7F"/>
    <w:rsid w:val="00145CB4"/>
    <w:rsid w:val="00146202"/>
    <w:rsid w:val="001510DF"/>
    <w:rsid w:val="001518B5"/>
    <w:rsid w:val="001529EE"/>
    <w:rsid w:val="00153859"/>
    <w:rsid w:val="00165F1A"/>
    <w:rsid w:val="0016683D"/>
    <w:rsid w:val="00171E9E"/>
    <w:rsid w:val="0017531B"/>
    <w:rsid w:val="00181685"/>
    <w:rsid w:val="001859CD"/>
    <w:rsid w:val="00185B8C"/>
    <w:rsid w:val="00187E00"/>
    <w:rsid w:val="001901A6"/>
    <w:rsid w:val="00191DB0"/>
    <w:rsid w:val="00193948"/>
    <w:rsid w:val="001B471F"/>
    <w:rsid w:val="001B53FB"/>
    <w:rsid w:val="001B6060"/>
    <w:rsid w:val="001C064F"/>
    <w:rsid w:val="001D2CD9"/>
    <w:rsid w:val="001D34CF"/>
    <w:rsid w:val="001D38D7"/>
    <w:rsid w:val="001D7BF8"/>
    <w:rsid w:val="001E0BC0"/>
    <w:rsid w:val="001E3B2F"/>
    <w:rsid w:val="001E4A5E"/>
    <w:rsid w:val="001E5385"/>
    <w:rsid w:val="001F0F29"/>
    <w:rsid w:val="001F3245"/>
    <w:rsid w:val="001F4151"/>
    <w:rsid w:val="001F59B9"/>
    <w:rsid w:val="001F6294"/>
    <w:rsid w:val="001F6729"/>
    <w:rsid w:val="00202F7F"/>
    <w:rsid w:val="0020534F"/>
    <w:rsid w:val="00206761"/>
    <w:rsid w:val="00206C17"/>
    <w:rsid w:val="00207AF6"/>
    <w:rsid w:val="002104D6"/>
    <w:rsid w:val="002116DA"/>
    <w:rsid w:val="00213E71"/>
    <w:rsid w:val="0021690A"/>
    <w:rsid w:val="002170C5"/>
    <w:rsid w:val="00220B46"/>
    <w:rsid w:val="00223E7A"/>
    <w:rsid w:val="00224090"/>
    <w:rsid w:val="00232078"/>
    <w:rsid w:val="00233251"/>
    <w:rsid w:val="00235486"/>
    <w:rsid w:val="00241917"/>
    <w:rsid w:val="002459D7"/>
    <w:rsid w:val="0025095D"/>
    <w:rsid w:val="002510E7"/>
    <w:rsid w:val="002515AF"/>
    <w:rsid w:val="00251BA7"/>
    <w:rsid w:val="0025565C"/>
    <w:rsid w:val="002612F7"/>
    <w:rsid w:val="00261C22"/>
    <w:rsid w:val="00263002"/>
    <w:rsid w:val="00264236"/>
    <w:rsid w:val="00265973"/>
    <w:rsid w:val="00266024"/>
    <w:rsid w:val="00266050"/>
    <w:rsid w:val="002668EF"/>
    <w:rsid w:val="00266EBE"/>
    <w:rsid w:val="002707B8"/>
    <w:rsid w:val="002735AF"/>
    <w:rsid w:val="0027508A"/>
    <w:rsid w:val="00275CE4"/>
    <w:rsid w:val="00280218"/>
    <w:rsid w:val="002804D0"/>
    <w:rsid w:val="002820A6"/>
    <w:rsid w:val="00283900"/>
    <w:rsid w:val="00284429"/>
    <w:rsid w:val="00290CC7"/>
    <w:rsid w:val="00291466"/>
    <w:rsid w:val="00292F6B"/>
    <w:rsid w:val="002963A0"/>
    <w:rsid w:val="002965EE"/>
    <w:rsid w:val="002A3F2D"/>
    <w:rsid w:val="002A40CA"/>
    <w:rsid w:val="002A44C6"/>
    <w:rsid w:val="002A5A47"/>
    <w:rsid w:val="002A731A"/>
    <w:rsid w:val="002B4BF5"/>
    <w:rsid w:val="002B4C24"/>
    <w:rsid w:val="002B6B7F"/>
    <w:rsid w:val="002B7BA8"/>
    <w:rsid w:val="002C28D0"/>
    <w:rsid w:val="002C2FB7"/>
    <w:rsid w:val="002C3F46"/>
    <w:rsid w:val="002C4AF2"/>
    <w:rsid w:val="002C7111"/>
    <w:rsid w:val="002D1224"/>
    <w:rsid w:val="002D549B"/>
    <w:rsid w:val="002E1669"/>
    <w:rsid w:val="002E33EA"/>
    <w:rsid w:val="002F06F2"/>
    <w:rsid w:val="002F3071"/>
    <w:rsid w:val="002F3EB0"/>
    <w:rsid w:val="002F5512"/>
    <w:rsid w:val="00302E51"/>
    <w:rsid w:val="003035D9"/>
    <w:rsid w:val="003042C9"/>
    <w:rsid w:val="003110F2"/>
    <w:rsid w:val="003147AE"/>
    <w:rsid w:val="003148E5"/>
    <w:rsid w:val="003149B3"/>
    <w:rsid w:val="0032296D"/>
    <w:rsid w:val="00322C5A"/>
    <w:rsid w:val="003306C2"/>
    <w:rsid w:val="00333CBF"/>
    <w:rsid w:val="00335263"/>
    <w:rsid w:val="00340E07"/>
    <w:rsid w:val="003434EE"/>
    <w:rsid w:val="00344500"/>
    <w:rsid w:val="003516FA"/>
    <w:rsid w:val="00353758"/>
    <w:rsid w:val="00354CCD"/>
    <w:rsid w:val="00354F80"/>
    <w:rsid w:val="00357B17"/>
    <w:rsid w:val="00362F8B"/>
    <w:rsid w:val="003636F4"/>
    <w:rsid w:val="00364F43"/>
    <w:rsid w:val="003678CB"/>
    <w:rsid w:val="00376801"/>
    <w:rsid w:val="00377083"/>
    <w:rsid w:val="00377E43"/>
    <w:rsid w:val="00391E22"/>
    <w:rsid w:val="00392A3F"/>
    <w:rsid w:val="00395C09"/>
    <w:rsid w:val="0039681A"/>
    <w:rsid w:val="003971A7"/>
    <w:rsid w:val="003A0848"/>
    <w:rsid w:val="003A2E38"/>
    <w:rsid w:val="003A58FB"/>
    <w:rsid w:val="003A6D4E"/>
    <w:rsid w:val="003A7CA0"/>
    <w:rsid w:val="003B1037"/>
    <w:rsid w:val="003B24C3"/>
    <w:rsid w:val="003B24F4"/>
    <w:rsid w:val="003B6A60"/>
    <w:rsid w:val="003B6E4C"/>
    <w:rsid w:val="003B6E4F"/>
    <w:rsid w:val="003B771C"/>
    <w:rsid w:val="003C35C7"/>
    <w:rsid w:val="003C3939"/>
    <w:rsid w:val="003C3AED"/>
    <w:rsid w:val="003C5287"/>
    <w:rsid w:val="003D00F3"/>
    <w:rsid w:val="003D0330"/>
    <w:rsid w:val="003D5A3A"/>
    <w:rsid w:val="003D5C22"/>
    <w:rsid w:val="003D62CD"/>
    <w:rsid w:val="003D671B"/>
    <w:rsid w:val="003D77F0"/>
    <w:rsid w:val="003E001E"/>
    <w:rsid w:val="003E6097"/>
    <w:rsid w:val="003F22C0"/>
    <w:rsid w:val="003F3E84"/>
    <w:rsid w:val="004006CC"/>
    <w:rsid w:val="00403211"/>
    <w:rsid w:val="00403932"/>
    <w:rsid w:val="00403D14"/>
    <w:rsid w:val="0040573E"/>
    <w:rsid w:val="00405FA6"/>
    <w:rsid w:val="00410972"/>
    <w:rsid w:val="00414CAA"/>
    <w:rsid w:val="0042201C"/>
    <w:rsid w:val="004225C4"/>
    <w:rsid w:val="00426764"/>
    <w:rsid w:val="004271A7"/>
    <w:rsid w:val="00427FA9"/>
    <w:rsid w:val="00430493"/>
    <w:rsid w:val="00430DC8"/>
    <w:rsid w:val="00431183"/>
    <w:rsid w:val="004314D9"/>
    <w:rsid w:val="00432DB6"/>
    <w:rsid w:val="00432E1A"/>
    <w:rsid w:val="0043532D"/>
    <w:rsid w:val="0043629C"/>
    <w:rsid w:val="004376EF"/>
    <w:rsid w:val="00442110"/>
    <w:rsid w:val="00443B9A"/>
    <w:rsid w:val="00446EDC"/>
    <w:rsid w:val="004470A3"/>
    <w:rsid w:val="0045280D"/>
    <w:rsid w:val="00454967"/>
    <w:rsid w:val="0045794D"/>
    <w:rsid w:val="00462BB0"/>
    <w:rsid w:val="00467017"/>
    <w:rsid w:val="00473269"/>
    <w:rsid w:val="00480524"/>
    <w:rsid w:val="00482335"/>
    <w:rsid w:val="004836BC"/>
    <w:rsid w:val="004836BF"/>
    <w:rsid w:val="004867BF"/>
    <w:rsid w:val="004945DF"/>
    <w:rsid w:val="004956F1"/>
    <w:rsid w:val="00495EEE"/>
    <w:rsid w:val="00496DAB"/>
    <w:rsid w:val="00497EC6"/>
    <w:rsid w:val="004A3CD2"/>
    <w:rsid w:val="004A3F4D"/>
    <w:rsid w:val="004B4327"/>
    <w:rsid w:val="004B674A"/>
    <w:rsid w:val="004C0030"/>
    <w:rsid w:val="004C5887"/>
    <w:rsid w:val="004C7D67"/>
    <w:rsid w:val="004D258F"/>
    <w:rsid w:val="004D27DE"/>
    <w:rsid w:val="004D2C25"/>
    <w:rsid w:val="004D56E0"/>
    <w:rsid w:val="004D5748"/>
    <w:rsid w:val="004D6F95"/>
    <w:rsid w:val="004E3188"/>
    <w:rsid w:val="004E54CF"/>
    <w:rsid w:val="004E68B9"/>
    <w:rsid w:val="004F3ED1"/>
    <w:rsid w:val="00500E0E"/>
    <w:rsid w:val="00502185"/>
    <w:rsid w:val="00514B59"/>
    <w:rsid w:val="005203C5"/>
    <w:rsid w:val="005209B5"/>
    <w:rsid w:val="00522419"/>
    <w:rsid w:val="005254B2"/>
    <w:rsid w:val="00531DFF"/>
    <w:rsid w:val="00533ED7"/>
    <w:rsid w:val="00536106"/>
    <w:rsid w:val="005365FB"/>
    <w:rsid w:val="005376BA"/>
    <w:rsid w:val="00537DF8"/>
    <w:rsid w:val="005441FA"/>
    <w:rsid w:val="00564B9B"/>
    <w:rsid w:val="005656D7"/>
    <w:rsid w:val="00566914"/>
    <w:rsid w:val="0057043B"/>
    <w:rsid w:val="00572694"/>
    <w:rsid w:val="005819B2"/>
    <w:rsid w:val="0058255D"/>
    <w:rsid w:val="00582B76"/>
    <w:rsid w:val="00583676"/>
    <w:rsid w:val="00583A3B"/>
    <w:rsid w:val="00583E81"/>
    <w:rsid w:val="0059032C"/>
    <w:rsid w:val="00590768"/>
    <w:rsid w:val="00590775"/>
    <w:rsid w:val="00592F87"/>
    <w:rsid w:val="0059345A"/>
    <w:rsid w:val="00594659"/>
    <w:rsid w:val="005A0C5C"/>
    <w:rsid w:val="005A0CB7"/>
    <w:rsid w:val="005A1D3D"/>
    <w:rsid w:val="005A3208"/>
    <w:rsid w:val="005A538C"/>
    <w:rsid w:val="005B3B5C"/>
    <w:rsid w:val="005B42ED"/>
    <w:rsid w:val="005B4DEA"/>
    <w:rsid w:val="005B661E"/>
    <w:rsid w:val="005B6C54"/>
    <w:rsid w:val="005C6522"/>
    <w:rsid w:val="005C7CB3"/>
    <w:rsid w:val="005D102C"/>
    <w:rsid w:val="005D5139"/>
    <w:rsid w:val="005D5BD0"/>
    <w:rsid w:val="005D685A"/>
    <w:rsid w:val="005E0500"/>
    <w:rsid w:val="005E1323"/>
    <w:rsid w:val="005E45F6"/>
    <w:rsid w:val="005E4C50"/>
    <w:rsid w:val="005E63D4"/>
    <w:rsid w:val="005E6D8C"/>
    <w:rsid w:val="005F3612"/>
    <w:rsid w:val="005F523A"/>
    <w:rsid w:val="005F5608"/>
    <w:rsid w:val="005F60A7"/>
    <w:rsid w:val="00600AD4"/>
    <w:rsid w:val="0060575E"/>
    <w:rsid w:val="00605C08"/>
    <w:rsid w:val="00611FAE"/>
    <w:rsid w:val="00613425"/>
    <w:rsid w:val="006357CE"/>
    <w:rsid w:val="006360F1"/>
    <w:rsid w:val="00637B45"/>
    <w:rsid w:val="00642658"/>
    <w:rsid w:val="00642D13"/>
    <w:rsid w:val="00643F70"/>
    <w:rsid w:val="0064714C"/>
    <w:rsid w:val="00647587"/>
    <w:rsid w:val="00651BE0"/>
    <w:rsid w:val="00653956"/>
    <w:rsid w:val="00654768"/>
    <w:rsid w:val="00657E6C"/>
    <w:rsid w:val="00662873"/>
    <w:rsid w:val="00662A8D"/>
    <w:rsid w:val="0066464A"/>
    <w:rsid w:val="00666828"/>
    <w:rsid w:val="00666A4B"/>
    <w:rsid w:val="00667A8F"/>
    <w:rsid w:val="006762EB"/>
    <w:rsid w:val="00681529"/>
    <w:rsid w:val="00682176"/>
    <w:rsid w:val="0068455E"/>
    <w:rsid w:val="00685428"/>
    <w:rsid w:val="00687FBE"/>
    <w:rsid w:val="0069023F"/>
    <w:rsid w:val="006910E2"/>
    <w:rsid w:val="00692971"/>
    <w:rsid w:val="006959F9"/>
    <w:rsid w:val="00696BBF"/>
    <w:rsid w:val="006A0328"/>
    <w:rsid w:val="006A5657"/>
    <w:rsid w:val="006A61D2"/>
    <w:rsid w:val="006A6C21"/>
    <w:rsid w:val="006B0835"/>
    <w:rsid w:val="006B2022"/>
    <w:rsid w:val="006C2E2C"/>
    <w:rsid w:val="006D04FB"/>
    <w:rsid w:val="006D160C"/>
    <w:rsid w:val="006D2279"/>
    <w:rsid w:val="006D2978"/>
    <w:rsid w:val="006D37CE"/>
    <w:rsid w:val="006E05DB"/>
    <w:rsid w:val="006E215C"/>
    <w:rsid w:val="006E5E69"/>
    <w:rsid w:val="006E7A9A"/>
    <w:rsid w:val="006E7AB5"/>
    <w:rsid w:val="006F1EF6"/>
    <w:rsid w:val="00701287"/>
    <w:rsid w:val="00702FB2"/>
    <w:rsid w:val="0070598B"/>
    <w:rsid w:val="00707D07"/>
    <w:rsid w:val="00715B2A"/>
    <w:rsid w:val="007226E5"/>
    <w:rsid w:val="00726E1B"/>
    <w:rsid w:val="00732B5A"/>
    <w:rsid w:val="007371BD"/>
    <w:rsid w:val="00741422"/>
    <w:rsid w:val="00741AA1"/>
    <w:rsid w:val="0074446C"/>
    <w:rsid w:val="0075124D"/>
    <w:rsid w:val="007545D7"/>
    <w:rsid w:val="0075552D"/>
    <w:rsid w:val="0076192B"/>
    <w:rsid w:val="00762274"/>
    <w:rsid w:val="00764811"/>
    <w:rsid w:val="0076696C"/>
    <w:rsid w:val="00767524"/>
    <w:rsid w:val="00775AF0"/>
    <w:rsid w:val="0077677E"/>
    <w:rsid w:val="007772A4"/>
    <w:rsid w:val="00783058"/>
    <w:rsid w:val="007857F4"/>
    <w:rsid w:val="00790790"/>
    <w:rsid w:val="0079140E"/>
    <w:rsid w:val="00791865"/>
    <w:rsid w:val="007930C8"/>
    <w:rsid w:val="00796E9C"/>
    <w:rsid w:val="007974DB"/>
    <w:rsid w:val="007A151D"/>
    <w:rsid w:val="007A31F5"/>
    <w:rsid w:val="007A605B"/>
    <w:rsid w:val="007A6963"/>
    <w:rsid w:val="007A7C22"/>
    <w:rsid w:val="007C03AE"/>
    <w:rsid w:val="007C13BD"/>
    <w:rsid w:val="007C24B8"/>
    <w:rsid w:val="007C7616"/>
    <w:rsid w:val="007D04E3"/>
    <w:rsid w:val="007D1A7B"/>
    <w:rsid w:val="007D384C"/>
    <w:rsid w:val="007D3C54"/>
    <w:rsid w:val="007D5DC7"/>
    <w:rsid w:val="007E066D"/>
    <w:rsid w:val="007E235D"/>
    <w:rsid w:val="007E38A8"/>
    <w:rsid w:val="007F083B"/>
    <w:rsid w:val="007F0924"/>
    <w:rsid w:val="007F34CB"/>
    <w:rsid w:val="008016EF"/>
    <w:rsid w:val="00805C03"/>
    <w:rsid w:val="008060BE"/>
    <w:rsid w:val="00806B12"/>
    <w:rsid w:val="008134B1"/>
    <w:rsid w:val="00814DE2"/>
    <w:rsid w:val="00815006"/>
    <w:rsid w:val="008150BA"/>
    <w:rsid w:val="00816E7A"/>
    <w:rsid w:val="00817E63"/>
    <w:rsid w:val="00821D86"/>
    <w:rsid w:val="00823641"/>
    <w:rsid w:val="008245E7"/>
    <w:rsid w:val="00827723"/>
    <w:rsid w:val="008314B5"/>
    <w:rsid w:val="00832E0C"/>
    <w:rsid w:val="00833E2F"/>
    <w:rsid w:val="008362D1"/>
    <w:rsid w:val="0084170B"/>
    <w:rsid w:val="00841A7C"/>
    <w:rsid w:val="00842018"/>
    <w:rsid w:val="00842ED0"/>
    <w:rsid w:val="00850683"/>
    <w:rsid w:val="00851DBC"/>
    <w:rsid w:val="00852BE2"/>
    <w:rsid w:val="008602B3"/>
    <w:rsid w:val="00861938"/>
    <w:rsid w:val="00862935"/>
    <w:rsid w:val="0086431A"/>
    <w:rsid w:val="00865811"/>
    <w:rsid w:val="00867BF4"/>
    <w:rsid w:val="00870631"/>
    <w:rsid w:val="00874403"/>
    <w:rsid w:val="00875EBA"/>
    <w:rsid w:val="008805B2"/>
    <w:rsid w:val="008823E9"/>
    <w:rsid w:val="0089108B"/>
    <w:rsid w:val="0089613B"/>
    <w:rsid w:val="00897498"/>
    <w:rsid w:val="00897E93"/>
    <w:rsid w:val="008A0ED6"/>
    <w:rsid w:val="008A1192"/>
    <w:rsid w:val="008A15D6"/>
    <w:rsid w:val="008A291D"/>
    <w:rsid w:val="008A692F"/>
    <w:rsid w:val="008A76E2"/>
    <w:rsid w:val="008B0920"/>
    <w:rsid w:val="008B0FAA"/>
    <w:rsid w:val="008B1459"/>
    <w:rsid w:val="008C1C0F"/>
    <w:rsid w:val="008C3D37"/>
    <w:rsid w:val="008D0F51"/>
    <w:rsid w:val="008D4048"/>
    <w:rsid w:val="008D42B4"/>
    <w:rsid w:val="008D4A8B"/>
    <w:rsid w:val="008D4AE0"/>
    <w:rsid w:val="008D5DE5"/>
    <w:rsid w:val="008D5E67"/>
    <w:rsid w:val="008E192B"/>
    <w:rsid w:val="008E39BC"/>
    <w:rsid w:val="00904FF0"/>
    <w:rsid w:val="00911639"/>
    <w:rsid w:val="00912974"/>
    <w:rsid w:val="00922A87"/>
    <w:rsid w:val="00926ED5"/>
    <w:rsid w:val="0093129B"/>
    <w:rsid w:val="0093276D"/>
    <w:rsid w:val="0093284B"/>
    <w:rsid w:val="00941BDD"/>
    <w:rsid w:val="009461D3"/>
    <w:rsid w:val="009529ED"/>
    <w:rsid w:val="00953462"/>
    <w:rsid w:val="00955C36"/>
    <w:rsid w:val="00961358"/>
    <w:rsid w:val="00962EC6"/>
    <w:rsid w:val="00966F55"/>
    <w:rsid w:val="00970611"/>
    <w:rsid w:val="009725E6"/>
    <w:rsid w:val="00972AD5"/>
    <w:rsid w:val="00977191"/>
    <w:rsid w:val="00982EC8"/>
    <w:rsid w:val="00984984"/>
    <w:rsid w:val="009867E0"/>
    <w:rsid w:val="00992225"/>
    <w:rsid w:val="009927C4"/>
    <w:rsid w:val="00993A92"/>
    <w:rsid w:val="00996D3E"/>
    <w:rsid w:val="009A03BB"/>
    <w:rsid w:val="009A378B"/>
    <w:rsid w:val="009A546D"/>
    <w:rsid w:val="009B08FF"/>
    <w:rsid w:val="009B12BD"/>
    <w:rsid w:val="009B19CF"/>
    <w:rsid w:val="009B21B1"/>
    <w:rsid w:val="009B383A"/>
    <w:rsid w:val="009B4452"/>
    <w:rsid w:val="009C07E3"/>
    <w:rsid w:val="009C42E8"/>
    <w:rsid w:val="009C5C3F"/>
    <w:rsid w:val="009C6145"/>
    <w:rsid w:val="009D0D92"/>
    <w:rsid w:val="009D2E27"/>
    <w:rsid w:val="009D2FFE"/>
    <w:rsid w:val="009E4F01"/>
    <w:rsid w:val="009F6BEE"/>
    <w:rsid w:val="00A005C7"/>
    <w:rsid w:val="00A0157C"/>
    <w:rsid w:val="00A01B82"/>
    <w:rsid w:val="00A1016B"/>
    <w:rsid w:val="00A10237"/>
    <w:rsid w:val="00A11D20"/>
    <w:rsid w:val="00A13128"/>
    <w:rsid w:val="00A13982"/>
    <w:rsid w:val="00A16D50"/>
    <w:rsid w:val="00A204EB"/>
    <w:rsid w:val="00A2306C"/>
    <w:rsid w:val="00A23A20"/>
    <w:rsid w:val="00A25AE4"/>
    <w:rsid w:val="00A27B39"/>
    <w:rsid w:val="00A31404"/>
    <w:rsid w:val="00A33A81"/>
    <w:rsid w:val="00A35831"/>
    <w:rsid w:val="00A361BE"/>
    <w:rsid w:val="00A3798C"/>
    <w:rsid w:val="00A42C93"/>
    <w:rsid w:val="00A46573"/>
    <w:rsid w:val="00A46C1D"/>
    <w:rsid w:val="00A4786C"/>
    <w:rsid w:val="00A50440"/>
    <w:rsid w:val="00A50521"/>
    <w:rsid w:val="00A571ED"/>
    <w:rsid w:val="00A627BA"/>
    <w:rsid w:val="00A63C96"/>
    <w:rsid w:val="00A661A3"/>
    <w:rsid w:val="00A67BDD"/>
    <w:rsid w:val="00A70F85"/>
    <w:rsid w:val="00A75A28"/>
    <w:rsid w:val="00A803A3"/>
    <w:rsid w:val="00A828A0"/>
    <w:rsid w:val="00A829D4"/>
    <w:rsid w:val="00A8314C"/>
    <w:rsid w:val="00A90466"/>
    <w:rsid w:val="00A90A6E"/>
    <w:rsid w:val="00A91422"/>
    <w:rsid w:val="00A9237F"/>
    <w:rsid w:val="00A9640E"/>
    <w:rsid w:val="00AA05C0"/>
    <w:rsid w:val="00AA0C10"/>
    <w:rsid w:val="00AB466F"/>
    <w:rsid w:val="00AB5878"/>
    <w:rsid w:val="00AB67B9"/>
    <w:rsid w:val="00AC0B58"/>
    <w:rsid w:val="00AC2B56"/>
    <w:rsid w:val="00AC377A"/>
    <w:rsid w:val="00AC7029"/>
    <w:rsid w:val="00AD09B7"/>
    <w:rsid w:val="00AD1B02"/>
    <w:rsid w:val="00AD1BF9"/>
    <w:rsid w:val="00AD24F7"/>
    <w:rsid w:val="00AE07A1"/>
    <w:rsid w:val="00AE1933"/>
    <w:rsid w:val="00AE460D"/>
    <w:rsid w:val="00AF04FC"/>
    <w:rsid w:val="00AF1E1D"/>
    <w:rsid w:val="00AF1FD0"/>
    <w:rsid w:val="00AF5A7E"/>
    <w:rsid w:val="00B0002F"/>
    <w:rsid w:val="00B0099A"/>
    <w:rsid w:val="00B05239"/>
    <w:rsid w:val="00B072B7"/>
    <w:rsid w:val="00B078E1"/>
    <w:rsid w:val="00B10EC9"/>
    <w:rsid w:val="00B11012"/>
    <w:rsid w:val="00B11626"/>
    <w:rsid w:val="00B127E3"/>
    <w:rsid w:val="00B14C49"/>
    <w:rsid w:val="00B14D06"/>
    <w:rsid w:val="00B1510B"/>
    <w:rsid w:val="00B16547"/>
    <w:rsid w:val="00B20840"/>
    <w:rsid w:val="00B30E88"/>
    <w:rsid w:val="00B32380"/>
    <w:rsid w:val="00B32509"/>
    <w:rsid w:val="00B32C7E"/>
    <w:rsid w:val="00B413BD"/>
    <w:rsid w:val="00B438F8"/>
    <w:rsid w:val="00B43C51"/>
    <w:rsid w:val="00B525A9"/>
    <w:rsid w:val="00B55ADB"/>
    <w:rsid w:val="00B60F36"/>
    <w:rsid w:val="00B62822"/>
    <w:rsid w:val="00B629E7"/>
    <w:rsid w:val="00B631BB"/>
    <w:rsid w:val="00B653E6"/>
    <w:rsid w:val="00B70657"/>
    <w:rsid w:val="00B707C3"/>
    <w:rsid w:val="00B738D6"/>
    <w:rsid w:val="00B75FC3"/>
    <w:rsid w:val="00B762A3"/>
    <w:rsid w:val="00B771EE"/>
    <w:rsid w:val="00B7767F"/>
    <w:rsid w:val="00B85F17"/>
    <w:rsid w:val="00B940C2"/>
    <w:rsid w:val="00B95D52"/>
    <w:rsid w:val="00BA0373"/>
    <w:rsid w:val="00BA3D31"/>
    <w:rsid w:val="00BA4FED"/>
    <w:rsid w:val="00BB0B23"/>
    <w:rsid w:val="00BB0D69"/>
    <w:rsid w:val="00BB5113"/>
    <w:rsid w:val="00BB7D72"/>
    <w:rsid w:val="00BC194C"/>
    <w:rsid w:val="00BC23CC"/>
    <w:rsid w:val="00BC2A84"/>
    <w:rsid w:val="00BC6B76"/>
    <w:rsid w:val="00BC72BC"/>
    <w:rsid w:val="00BD4688"/>
    <w:rsid w:val="00BD51AB"/>
    <w:rsid w:val="00BE0F23"/>
    <w:rsid w:val="00BE4840"/>
    <w:rsid w:val="00BE5A3C"/>
    <w:rsid w:val="00BF05E6"/>
    <w:rsid w:val="00BF2D33"/>
    <w:rsid w:val="00BF342B"/>
    <w:rsid w:val="00BF5D72"/>
    <w:rsid w:val="00BF7AED"/>
    <w:rsid w:val="00C00DB4"/>
    <w:rsid w:val="00C20B7F"/>
    <w:rsid w:val="00C21ED8"/>
    <w:rsid w:val="00C228BF"/>
    <w:rsid w:val="00C22D7D"/>
    <w:rsid w:val="00C23786"/>
    <w:rsid w:val="00C23F36"/>
    <w:rsid w:val="00C2405E"/>
    <w:rsid w:val="00C240D3"/>
    <w:rsid w:val="00C241B0"/>
    <w:rsid w:val="00C31B38"/>
    <w:rsid w:val="00C36924"/>
    <w:rsid w:val="00C46E82"/>
    <w:rsid w:val="00C47DEA"/>
    <w:rsid w:val="00C514E8"/>
    <w:rsid w:val="00C61D36"/>
    <w:rsid w:val="00C63672"/>
    <w:rsid w:val="00C64C70"/>
    <w:rsid w:val="00C71BFC"/>
    <w:rsid w:val="00C73003"/>
    <w:rsid w:val="00C74F8B"/>
    <w:rsid w:val="00C77538"/>
    <w:rsid w:val="00C81054"/>
    <w:rsid w:val="00C82F79"/>
    <w:rsid w:val="00C83965"/>
    <w:rsid w:val="00C853CC"/>
    <w:rsid w:val="00C85FD9"/>
    <w:rsid w:val="00C9117E"/>
    <w:rsid w:val="00C9190F"/>
    <w:rsid w:val="00C91DA7"/>
    <w:rsid w:val="00C967FB"/>
    <w:rsid w:val="00CA004F"/>
    <w:rsid w:val="00CA1282"/>
    <w:rsid w:val="00CA5573"/>
    <w:rsid w:val="00CA6ABA"/>
    <w:rsid w:val="00CB127F"/>
    <w:rsid w:val="00CB1689"/>
    <w:rsid w:val="00CB240A"/>
    <w:rsid w:val="00CB3B4E"/>
    <w:rsid w:val="00CB4D89"/>
    <w:rsid w:val="00CC1D9D"/>
    <w:rsid w:val="00CC3C60"/>
    <w:rsid w:val="00CC6720"/>
    <w:rsid w:val="00CD0361"/>
    <w:rsid w:val="00CD0602"/>
    <w:rsid w:val="00CD54E7"/>
    <w:rsid w:val="00CE5D78"/>
    <w:rsid w:val="00CE6395"/>
    <w:rsid w:val="00CE6E5D"/>
    <w:rsid w:val="00CF422E"/>
    <w:rsid w:val="00CF74D3"/>
    <w:rsid w:val="00D06AA0"/>
    <w:rsid w:val="00D0753B"/>
    <w:rsid w:val="00D1010F"/>
    <w:rsid w:val="00D15897"/>
    <w:rsid w:val="00D15C89"/>
    <w:rsid w:val="00D17200"/>
    <w:rsid w:val="00D174D2"/>
    <w:rsid w:val="00D205D3"/>
    <w:rsid w:val="00D211FA"/>
    <w:rsid w:val="00D259B2"/>
    <w:rsid w:val="00D2794F"/>
    <w:rsid w:val="00D308D0"/>
    <w:rsid w:val="00D30E45"/>
    <w:rsid w:val="00D31BB1"/>
    <w:rsid w:val="00D327D7"/>
    <w:rsid w:val="00D37720"/>
    <w:rsid w:val="00D404EF"/>
    <w:rsid w:val="00D43A65"/>
    <w:rsid w:val="00D46F27"/>
    <w:rsid w:val="00D47EBD"/>
    <w:rsid w:val="00D509DF"/>
    <w:rsid w:val="00D510F5"/>
    <w:rsid w:val="00D555A8"/>
    <w:rsid w:val="00D60A62"/>
    <w:rsid w:val="00D65EC3"/>
    <w:rsid w:val="00D7203F"/>
    <w:rsid w:val="00D73907"/>
    <w:rsid w:val="00D747BB"/>
    <w:rsid w:val="00D75B8C"/>
    <w:rsid w:val="00D80964"/>
    <w:rsid w:val="00D939EF"/>
    <w:rsid w:val="00D9402D"/>
    <w:rsid w:val="00DA0E11"/>
    <w:rsid w:val="00DA382C"/>
    <w:rsid w:val="00DA4710"/>
    <w:rsid w:val="00DA5659"/>
    <w:rsid w:val="00DB0DC4"/>
    <w:rsid w:val="00DC01D4"/>
    <w:rsid w:val="00DC2BC3"/>
    <w:rsid w:val="00DC64E1"/>
    <w:rsid w:val="00DD23EF"/>
    <w:rsid w:val="00DD5BF0"/>
    <w:rsid w:val="00DE1ACC"/>
    <w:rsid w:val="00DE2056"/>
    <w:rsid w:val="00DE58F8"/>
    <w:rsid w:val="00DF01F8"/>
    <w:rsid w:val="00DF063F"/>
    <w:rsid w:val="00DF2DCF"/>
    <w:rsid w:val="00DF5D61"/>
    <w:rsid w:val="00E00859"/>
    <w:rsid w:val="00E043BD"/>
    <w:rsid w:val="00E056A0"/>
    <w:rsid w:val="00E07B8B"/>
    <w:rsid w:val="00E14F63"/>
    <w:rsid w:val="00E15A35"/>
    <w:rsid w:val="00E17D80"/>
    <w:rsid w:val="00E20128"/>
    <w:rsid w:val="00E2669B"/>
    <w:rsid w:val="00E32234"/>
    <w:rsid w:val="00E32F8C"/>
    <w:rsid w:val="00E336F3"/>
    <w:rsid w:val="00E341F4"/>
    <w:rsid w:val="00E433C9"/>
    <w:rsid w:val="00E44B1F"/>
    <w:rsid w:val="00E45B7A"/>
    <w:rsid w:val="00E4614D"/>
    <w:rsid w:val="00E47416"/>
    <w:rsid w:val="00E4777D"/>
    <w:rsid w:val="00E51C4F"/>
    <w:rsid w:val="00E53B4B"/>
    <w:rsid w:val="00E5531B"/>
    <w:rsid w:val="00E60E4B"/>
    <w:rsid w:val="00E63075"/>
    <w:rsid w:val="00E635C3"/>
    <w:rsid w:val="00E70137"/>
    <w:rsid w:val="00E7634B"/>
    <w:rsid w:val="00E80260"/>
    <w:rsid w:val="00E81B91"/>
    <w:rsid w:val="00E82B05"/>
    <w:rsid w:val="00E8397E"/>
    <w:rsid w:val="00E857CF"/>
    <w:rsid w:val="00E8585E"/>
    <w:rsid w:val="00E862E3"/>
    <w:rsid w:val="00E95271"/>
    <w:rsid w:val="00E96BC3"/>
    <w:rsid w:val="00EA187A"/>
    <w:rsid w:val="00EA207A"/>
    <w:rsid w:val="00EA6C04"/>
    <w:rsid w:val="00EB36A9"/>
    <w:rsid w:val="00EB371C"/>
    <w:rsid w:val="00EC72B9"/>
    <w:rsid w:val="00EC7CF7"/>
    <w:rsid w:val="00ED3B61"/>
    <w:rsid w:val="00ED3DF5"/>
    <w:rsid w:val="00ED4DFA"/>
    <w:rsid w:val="00ED586C"/>
    <w:rsid w:val="00ED6B9C"/>
    <w:rsid w:val="00ED6CCB"/>
    <w:rsid w:val="00EE040F"/>
    <w:rsid w:val="00EE738A"/>
    <w:rsid w:val="00EE793E"/>
    <w:rsid w:val="00EF2C9C"/>
    <w:rsid w:val="00F01738"/>
    <w:rsid w:val="00F05F12"/>
    <w:rsid w:val="00F068B1"/>
    <w:rsid w:val="00F12E69"/>
    <w:rsid w:val="00F13089"/>
    <w:rsid w:val="00F149AD"/>
    <w:rsid w:val="00F16DB5"/>
    <w:rsid w:val="00F173F2"/>
    <w:rsid w:val="00F17A60"/>
    <w:rsid w:val="00F22210"/>
    <w:rsid w:val="00F308AE"/>
    <w:rsid w:val="00F33572"/>
    <w:rsid w:val="00F3492E"/>
    <w:rsid w:val="00F34BFA"/>
    <w:rsid w:val="00F351F1"/>
    <w:rsid w:val="00F36AC0"/>
    <w:rsid w:val="00F37BC2"/>
    <w:rsid w:val="00F434FC"/>
    <w:rsid w:val="00F45481"/>
    <w:rsid w:val="00F4631D"/>
    <w:rsid w:val="00F47E47"/>
    <w:rsid w:val="00F507BE"/>
    <w:rsid w:val="00F55D28"/>
    <w:rsid w:val="00F60B2C"/>
    <w:rsid w:val="00F72E89"/>
    <w:rsid w:val="00F73497"/>
    <w:rsid w:val="00F735A6"/>
    <w:rsid w:val="00F736BC"/>
    <w:rsid w:val="00F74154"/>
    <w:rsid w:val="00F747C9"/>
    <w:rsid w:val="00F77929"/>
    <w:rsid w:val="00F843AA"/>
    <w:rsid w:val="00F85527"/>
    <w:rsid w:val="00F86233"/>
    <w:rsid w:val="00F8780F"/>
    <w:rsid w:val="00F903C5"/>
    <w:rsid w:val="00F9427D"/>
    <w:rsid w:val="00FA1386"/>
    <w:rsid w:val="00FA239E"/>
    <w:rsid w:val="00FA4225"/>
    <w:rsid w:val="00FA74A3"/>
    <w:rsid w:val="00FB1FEF"/>
    <w:rsid w:val="00FB2A5A"/>
    <w:rsid w:val="00FB60D6"/>
    <w:rsid w:val="00FC0196"/>
    <w:rsid w:val="00FC084A"/>
    <w:rsid w:val="00FC2058"/>
    <w:rsid w:val="00FC2D87"/>
    <w:rsid w:val="00FD23D7"/>
    <w:rsid w:val="00FD3612"/>
    <w:rsid w:val="00FE07C8"/>
    <w:rsid w:val="00FE0914"/>
    <w:rsid w:val="00FE0DCB"/>
    <w:rsid w:val="00FF7B8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B25A5"/>
  <w15:docId w15:val="{699FD6E1-218B-4D54-8A3B-49681711B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49B3"/>
  </w:style>
  <w:style w:type="paragraph" w:styleId="Ttulo1">
    <w:name w:val="heading 1"/>
    <w:basedOn w:val="Normal"/>
    <w:next w:val="Normal"/>
    <w:link w:val="Ttulo1Car"/>
    <w:uiPriority w:val="9"/>
    <w:qFormat/>
    <w:rsid w:val="003149B3"/>
    <w:pPr>
      <w:keepNext/>
      <w:keepLines/>
      <w:spacing w:before="240" w:after="0"/>
      <w:outlineLvl w:val="0"/>
    </w:pPr>
    <w:rPr>
      <w:rFonts w:asciiTheme="majorHAnsi" w:eastAsiaTheme="majorEastAsia" w:hAnsiTheme="majorHAnsi" w:cstheme="majorBidi"/>
      <w:color w:val="2E74B5" w:themeColor="accent1" w:themeShade="BF"/>
      <w:sz w:val="32"/>
      <w:szCs w:val="32"/>
      <w:lang w:eastAsia="es-CR"/>
    </w:rPr>
  </w:style>
  <w:style w:type="paragraph" w:styleId="Ttulo2">
    <w:name w:val="heading 2"/>
    <w:basedOn w:val="Normal"/>
    <w:next w:val="Normal"/>
    <w:link w:val="Ttulo2Car"/>
    <w:uiPriority w:val="9"/>
    <w:unhideWhenUsed/>
    <w:qFormat/>
    <w:rsid w:val="00E15A3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3636F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149B3"/>
    <w:rPr>
      <w:rFonts w:asciiTheme="majorHAnsi" w:eastAsiaTheme="majorEastAsia" w:hAnsiTheme="majorHAnsi" w:cstheme="majorBidi"/>
      <w:color w:val="2E74B5" w:themeColor="accent1" w:themeShade="BF"/>
      <w:sz w:val="32"/>
      <w:szCs w:val="32"/>
      <w:lang w:eastAsia="es-CR"/>
    </w:rPr>
  </w:style>
  <w:style w:type="paragraph" w:styleId="Bibliografa">
    <w:name w:val="Bibliography"/>
    <w:basedOn w:val="Normal"/>
    <w:next w:val="Normal"/>
    <w:uiPriority w:val="37"/>
    <w:unhideWhenUsed/>
    <w:rsid w:val="003149B3"/>
  </w:style>
  <w:style w:type="paragraph" w:styleId="Fecha">
    <w:name w:val="Date"/>
    <w:basedOn w:val="Normal"/>
    <w:next w:val="Normal"/>
    <w:link w:val="FechaCar"/>
    <w:uiPriority w:val="99"/>
    <w:semiHidden/>
    <w:unhideWhenUsed/>
    <w:rsid w:val="00611FAE"/>
  </w:style>
  <w:style w:type="character" w:customStyle="1" w:styleId="FechaCar">
    <w:name w:val="Fecha Car"/>
    <w:basedOn w:val="Fuentedeprrafopredeter"/>
    <w:link w:val="Fecha"/>
    <w:uiPriority w:val="99"/>
    <w:semiHidden/>
    <w:rsid w:val="00611FAE"/>
  </w:style>
  <w:style w:type="paragraph" w:styleId="Textonotapie">
    <w:name w:val="footnote text"/>
    <w:basedOn w:val="Normal"/>
    <w:link w:val="TextonotapieCar"/>
    <w:uiPriority w:val="99"/>
    <w:semiHidden/>
    <w:unhideWhenUsed/>
    <w:rsid w:val="001510D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510DF"/>
    <w:rPr>
      <w:sz w:val="20"/>
      <w:szCs w:val="20"/>
    </w:rPr>
  </w:style>
  <w:style w:type="character" w:styleId="Refdenotaalpie">
    <w:name w:val="footnote reference"/>
    <w:basedOn w:val="Fuentedeprrafopredeter"/>
    <w:uiPriority w:val="99"/>
    <w:semiHidden/>
    <w:unhideWhenUsed/>
    <w:rsid w:val="001510DF"/>
    <w:rPr>
      <w:vertAlign w:val="superscript"/>
    </w:rPr>
  </w:style>
  <w:style w:type="paragraph" w:customStyle="1" w:styleId="Normal1">
    <w:name w:val="Normal1"/>
    <w:rsid w:val="00022A29"/>
    <w:pPr>
      <w:spacing w:after="0" w:line="276" w:lineRule="auto"/>
    </w:pPr>
    <w:rPr>
      <w:rFonts w:ascii="Arial" w:eastAsia="Arial" w:hAnsi="Arial" w:cs="Arial"/>
      <w:color w:val="000000"/>
      <w:lang w:eastAsia="es-CR"/>
    </w:rPr>
  </w:style>
  <w:style w:type="paragraph" w:styleId="Prrafodelista">
    <w:name w:val="List Paragraph"/>
    <w:basedOn w:val="Normal"/>
    <w:uiPriority w:val="34"/>
    <w:qFormat/>
    <w:rsid w:val="00EE738A"/>
    <w:pPr>
      <w:ind w:left="720"/>
      <w:contextualSpacing/>
    </w:pPr>
  </w:style>
  <w:style w:type="paragraph" w:styleId="NormalWeb">
    <w:name w:val="Normal (Web)"/>
    <w:basedOn w:val="Normal"/>
    <w:uiPriority w:val="99"/>
    <w:unhideWhenUsed/>
    <w:rsid w:val="00185B8C"/>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customStyle="1" w:styleId="apple-converted-space">
    <w:name w:val="apple-converted-space"/>
    <w:basedOn w:val="Fuentedeprrafopredeter"/>
    <w:rsid w:val="00185B8C"/>
  </w:style>
  <w:style w:type="character" w:styleId="Hipervnculo">
    <w:name w:val="Hyperlink"/>
    <w:basedOn w:val="Fuentedeprrafopredeter"/>
    <w:uiPriority w:val="99"/>
    <w:unhideWhenUsed/>
    <w:rsid w:val="00185B8C"/>
    <w:rPr>
      <w:color w:val="0000FF"/>
      <w:u w:val="single"/>
    </w:rPr>
  </w:style>
  <w:style w:type="paragraph" w:styleId="Textodeglobo">
    <w:name w:val="Balloon Text"/>
    <w:basedOn w:val="Normal"/>
    <w:link w:val="TextodegloboCar"/>
    <w:uiPriority w:val="99"/>
    <w:semiHidden/>
    <w:unhideWhenUsed/>
    <w:rsid w:val="008D4AE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D4AE0"/>
    <w:rPr>
      <w:rFonts w:ascii="Tahoma" w:hAnsi="Tahoma" w:cs="Tahoma"/>
      <w:sz w:val="16"/>
      <w:szCs w:val="16"/>
    </w:rPr>
  </w:style>
  <w:style w:type="character" w:styleId="Refdecomentario">
    <w:name w:val="annotation reference"/>
    <w:basedOn w:val="Fuentedeprrafopredeter"/>
    <w:uiPriority w:val="99"/>
    <w:semiHidden/>
    <w:unhideWhenUsed/>
    <w:rsid w:val="008D4AE0"/>
    <w:rPr>
      <w:sz w:val="16"/>
      <w:szCs w:val="16"/>
    </w:rPr>
  </w:style>
  <w:style w:type="paragraph" w:styleId="Textocomentario">
    <w:name w:val="annotation text"/>
    <w:basedOn w:val="Normal"/>
    <w:link w:val="TextocomentarioCar"/>
    <w:uiPriority w:val="99"/>
    <w:semiHidden/>
    <w:unhideWhenUsed/>
    <w:rsid w:val="008D4AE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D4AE0"/>
    <w:rPr>
      <w:sz w:val="20"/>
      <w:szCs w:val="20"/>
    </w:rPr>
  </w:style>
  <w:style w:type="paragraph" w:styleId="Asuntodelcomentario">
    <w:name w:val="annotation subject"/>
    <w:basedOn w:val="Textocomentario"/>
    <w:next w:val="Textocomentario"/>
    <w:link w:val="AsuntodelcomentarioCar"/>
    <w:uiPriority w:val="99"/>
    <w:semiHidden/>
    <w:unhideWhenUsed/>
    <w:rsid w:val="008D4AE0"/>
    <w:rPr>
      <w:b/>
      <w:bCs/>
    </w:rPr>
  </w:style>
  <w:style w:type="character" w:customStyle="1" w:styleId="AsuntodelcomentarioCar">
    <w:name w:val="Asunto del comentario Car"/>
    <w:basedOn w:val="TextocomentarioCar"/>
    <w:link w:val="Asuntodelcomentario"/>
    <w:uiPriority w:val="99"/>
    <w:semiHidden/>
    <w:rsid w:val="008D4AE0"/>
    <w:rPr>
      <w:b/>
      <w:bCs/>
      <w:sz w:val="20"/>
      <w:szCs w:val="20"/>
    </w:rPr>
  </w:style>
  <w:style w:type="paragraph" w:styleId="Revisin">
    <w:name w:val="Revision"/>
    <w:hidden/>
    <w:uiPriority w:val="99"/>
    <w:semiHidden/>
    <w:rsid w:val="00AE07A1"/>
    <w:pPr>
      <w:spacing w:after="0" w:line="240" w:lineRule="auto"/>
    </w:pPr>
  </w:style>
  <w:style w:type="character" w:customStyle="1" w:styleId="Ttulo2Car">
    <w:name w:val="Título 2 Car"/>
    <w:basedOn w:val="Fuentedeprrafopredeter"/>
    <w:link w:val="Ttulo2"/>
    <w:uiPriority w:val="9"/>
    <w:rsid w:val="00E15A35"/>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3636F4"/>
    <w:rPr>
      <w:rFonts w:asciiTheme="majorHAnsi" w:eastAsiaTheme="majorEastAsia" w:hAnsiTheme="majorHAnsi" w:cstheme="majorBidi"/>
      <w:color w:val="1F4D78" w:themeColor="accent1" w:themeShade="7F"/>
      <w:sz w:val="24"/>
      <w:szCs w:val="24"/>
    </w:rPr>
  </w:style>
  <w:style w:type="paragraph" w:styleId="TtuloTDC">
    <w:name w:val="TOC Heading"/>
    <w:basedOn w:val="Ttulo1"/>
    <w:next w:val="Normal"/>
    <w:uiPriority w:val="39"/>
    <w:unhideWhenUsed/>
    <w:qFormat/>
    <w:rsid w:val="003636F4"/>
    <w:pPr>
      <w:outlineLvl w:val="9"/>
    </w:pPr>
  </w:style>
  <w:style w:type="paragraph" w:styleId="TDC1">
    <w:name w:val="toc 1"/>
    <w:basedOn w:val="Normal"/>
    <w:next w:val="Normal"/>
    <w:autoRedefine/>
    <w:uiPriority w:val="39"/>
    <w:unhideWhenUsed/>
    <w:rsid w:val="003636F4"/>
    <w:pPr>
      <w:spacing w:after="100"/>
    </w:pPr>
  </w:style>
  <w:style w:type="paragraph" w:styleId="TDC2">
    <w:name w:val="toc 2"/>
    <w:basedOn w:val="Normal"/>
    <w:next w:val="Normal"/>
    <w:autoRedefine/>
    <w:uiPriority w:val="39"/>
    <w:unhideWhenUsed/>
    <w:rsid w:val="003636F4"/>
    <w:pPr>
      <w:spacing w:after="100"/>
      <w:ind w:left="220"/>
    </w:pPr>
  </w:style>
  <w:style w:type="paragraph" w:styleId="TDC3">
    <w:name w:val="toc 3"/>
    <w:basedOn w:val="Normal"/>
    <w:next w:val="Normal"/>
    <w:autoRedefine/>
    <w:uiPriority w:val="39"/>
    <w:unhideWhenUsed/>
    <w:rsid w:val="003636F4"/>
    <w:pPr>
      <w:spacing w:after="100"/>
      <w:ind w:left="440"/>
    </w:pPr>
  </w:style>
  <w:style w:type="character" w:styleId="Textodelmarcadordeposicin">
    <w:name w:val="Placeholder Text"/>
    <w:basedOn w:val="Fuentedeprrafopredeter"/>
    <w:uiPriority w:val="99"/>
    <w:semiHidden/>
    <w:rsid w:val="0089613B"/>
    <w:rPr>
      <w:color w:val="808080"/>
    </w:rPr>
  </w:style>
  <w:style w:type="table" w:styleId="Tablaconcuadrcula">
    <w:name w:val="Table Grid"/>
    <w:basedOn w:val="Tablanormal"/>
    <w:uiPriority w:val="39"/>
    <w:rsid w:val="00E70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A91422"/>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A91422"/>
  </w:style>
  <w:style w:type="paragraph" w:styleId="Piedepgina">
    <w:name w:val="footer"/>
    <w:basedOn w:val="Normal"/>
    <w:link w:val="PiedepginaCar"/>
    <w:uiPriority w:val="99"/>
    <w:unhideWhenUsed/>
    <w:rsid w:val="00A91422"/>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A91422"/>
  </w:style>
  <w:style w:type="paragraph" w:styleId="Descripcin">
    <w:name w:val="caption"/>
    <w:basedOn w:val="Normal"/>
    <w:next w:val="Normal"/>
    <w:uiPriority w:val="35"/>
    <w:unhideWhenUsed/>
    <w:qFormat/>
    <w:rsid w:val="003C3AED"/>
    <w:pPr>
      <w:spacing w:after="200" w:line="240" w:lineRule="auto"/>
    </w:pPr>
    <w:rPr>
      <w:i/>
      <w:iCs/>
      <w:color w:val="44546A" w:themeColor="text2"/>
      <w:sz w:val="18"/>
      <w:szCs w:val="18"/>
    </w:rPr>
  </w:style>
  <w:style w:type="table" w:customStyle="1" w:styleId="Tablanormal21">
    <w:name w:val="Tabla normal 21"/>
    <w:basedOn w:val="Tablanormal"/>
    <w:uiPriority w:val="42"/>
    <w:rsid w:val="002B7BA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31">
    <w:name w:val="Tabla normal 31"/>
    <w:basedOn w:val="Tablanormal"/>
    <w:uiPriority w:val="43"/>
    <w:rsid w:val="00C31B3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Sinespaciado">
    <w:name w:val="No Spacing"/>
    <w:link w:val="SinespaciadoCar"/>
    <w:uiPriority w:val="1"/>
    <w:qFormat/>
    <w:rsid w:val="00B55ADB"/>
    <w:pPr>
      <w:spacing w:after="0" w:line="240" w:lineRule="auto"/>
    </w:pPr>
    <w:rPr>
      <w:rFonts w:eastAsiaTheme="minorEastAsia"/>
      <w:lang w:eastAsia="es-CR"/>
    </w:rPr>
  </w:style>
  <w:style w:type="character" w:customStyle="1" w:styleId="SinespaciadoCar">
    <w:name w:val="Sin espaciado Car"/>
    <w:basedOn w:val="Fuentedeprrafopredeter"/>
    <w:link w:val="Sinespaciado"/>
    <w:uiPriority w:val="1"/>
    <w:rsid w:val="00B55ADB"/>
    <w:rPr>
      <w:rFonts w:eastAsiaTheme="minorEastAsia"/>
      <w:lang w:eastAsia="es-CR"/>
    </w:rPr>
  </w:style>
  <w:style w:type="paragraph" w:styleId="Tabladeilustraciones">
    <w:name w:val="table of figures"/>
    <w:basedOn w:val="Normal"/>
    <w:next w:val="Normal"/>
    <w:uiPriority w:val="99"/>
    <w:unhideWhenUsed/>
    <w:rsid w:val="002E1669"/>
    <w:pPr>
      <w:spacing w:after="0"/>
    </w:pPr>
  </w:style>
  <w:style w:type="character" w:styleId="Textoennegrita">
    <w:name w:val="Strong"/>
    <w:basedOn w:val="Fuentedeprrafopredeter"/>
    <w:uiPriority w:val="22"/>
    <w:qFormat/>
    <w:rsid w:val="002A3F2D"/>
    <w:rPr>
      <w:b/>
      <w:bCs/>
    </w:rPr>
  </w:style>
  <w:style w:type="table" w:styleId="Tablanormal3">
    <w:name w:val="Plain Table 3"/>
    <w:basedOn w:val="Tablanormal"/>
    <w:uiPriority w:val="43"/>
    <w:rsid w:val="003E001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31485">
      <w:bodyDiv w:val="1"/>
      <w:marLeft w:val="0"/>
      <w:marRight w:val="0"/>
      <w:marTop w:val="0"/>
      <w:marBottom w:val="0"/>
      <w:divBdr>
        <w:top w:val="none" w:sz="0" w:space="0" w:color="auto"/>
        <w:left w:val="none" w:sz="0" w:space="0" w:color="auto"/>
        <w:bottom w:val="none" w:sz="0" w:space="0" w:color="auto"/>
        <w:right w:val="none" w:sz="0" w:space="0" w:color="auto"/>
      </w:divBdr>
    </w:div>
    <w:div w:id="14965227">
      <w:bodyDiv w:val="1"/>
      <w:marLeft w:val="0"/>
      <w:marRight w:val="0"/>
      <w:marTop w:val="0"/>
      <w:marBottom w:val="0"/>
      <w:divBdr>
        <w:top w:val="none" w:sz="0" w:space="0" w:color="auto"/>
        <w:left w:val="none" w:sz="0" w:space="0" w:color="auto"/>
        <w:bottom w:val="none" w:sz="0" w:space="0" w:color="auto"/>
        <w:right w:val="none" w:sz="0" w:space="0" w:color="auto"/>
      </w:divBdr>
    </w:div>
    <w:div w:id="19164965">
      <w:bodyDiv w:val="1"/>
      <w:marLeft w:val="0"/>
      <w:marRight w:val="0"/>
      <w:marTop w:val="0"/>
      <w:marBottom w:val="0"/>
      <w:divBdr>
        <w:top w:val="none" w:sz="0" w:space="0" w:color="auto"/>
        <w:left w:val="none" w:sz="0" w:space="0" w:color="auto"/>
        <w:bottom w:val="none" w:sz="0" w:space="0" w:color="auto"/>
        <w:right w:val="none" w:sz="0" w:space="0" w:color="auto"/>
      </w:divBdr>
    </w:div>
    <w:div w:id="20252267">
      <w:bodyDiv w:val="1"/>
      <w:marLeft w:val="0"/>
      <w:marRight w:val="0"/>
      <w:marTop w:val="0"/>
      <w:marBottom w:val="0"/>
      <w:divBdr>
        <w:top w:val="none" w:sz="0" w:space="0" w:color="auto"/>
        <w:left w:val="none" w:sz="0" w:space="0" w:color="auto"/>
        <w:bottom w:val="none" w:sz="0" w:space="0" w:color="auto"/>
        <w:right w:val="none" w:sz="0" w:space="0" w:color="auto"/>
      </w:divBdr>
    </w:div>
    <w:div w:id="23944690">
      <w:bodyDiv w:val="1"/>
      <w:marLeft w:val="0"/>
      <w:marRight w:val="0"/>
      <w:marTop w:val="0"/>
      <w:marBottom w:val="0"/>
      <w:divBdr>
        <w:top w:val="none" w:sz="0" w:space="0" w:color="auto"/>
        <w:left w:val="none" w:sz="0" w:space="0" w:color="auto"/>
        <w:bottom w:val="none" w:sz="0" w:space="0" w:color="auto"/>
        <w:right w:val="none" w:sz="0" w:space="0" w:color="auto"/>
      </w:divBdr>
    </w:div>
    <w:div w:id="28454385">
      <w:bodyDiv w:val="1"/>
      <w:marLeft w:val="0"/>
      <w:marRight w:val="0"/>
      <w:marTop w:val="0"/>
      <w:marBottom w:val="0"/>
      <w:divBdr>
        <w:top w:val="none" w:sz="0" w:space="0" w:color="auto"/>
        <w:left w:val="none" w:sz="0" w:space="0" w:color="auto"/>
        <w:bottom w:val="none" w:sz="0" w:space="0" w:color="auto"/>
        <w:right w:val="none" w:sz="0" w:space="0" w:color="auto"/>
      </w:divBdr>
    </w:div>
    <w:div w:id="30687250">
      <w:bodyDiv w:val="1"/>
      <w:marLeft w:val="0"/>
      <w:marRight w:val="0"/>
      <w:marTop w:val="0"/>
      <w:marBottom w:val="0"/>
      <w:divBdr>
        <w:top w:val="none" w:sz="0" w:space="0" w:color="auto"/>
        <w:left w:val="none" w:sz="0" w:space="0" w:color="auto"/>
        <w:bottom w:val="none" w:sz="0" w:space="0" w:color="auto"/>
        <w:right w:val="none" w:sz="0" w:space="0" w:color="auto"/>
      </w:divBdr>
    </w:div>
    <w:div w:id="39281341">
      <w:bodyDiv w:val="1"/>
      <w:marLeft w:val="0"/>
      <w:marRight w:val="0"/>
      <w:marTop w:val="0"/>
      <w:marBottom w:val="0"/>
      <w:divBdr>
        <w:top w:val="none" w:sz="0" w:space="0" w:color="auto"/>
        <w:left w:val="none" w:sz="0" w:space="0" w:color="auto"/>
        <w:bottom w:val="none" w:sz="0" w:space="0" w:color="auto"/>
        <w:right w:val="none" w:sz="0" w:space="0" w:color="auto"/>
      </w:divBdr>
    </w:div>
    <w:div w:id="61101635">
      <w:bodyDiv w:val="1"/>
      <w:marLeft w:val="0"/>
      <w:marRight w:val="0"/>
      <w:marTop w:val="0"/>
      <w:marBottom w:val="0"/>
      <w:divBdr>
        <w:top w:val="none" w:sz="0" w:space="0" w:color="auto"/>
        <w:left w:val="none" w:sz="0" w:space="0" w:color="auto"/>
        <w:bottom w:val="none" w:sz="0" w:space="0" w:color="auto"/>
        <w:right w:val="none" w:sz="0" w:space="0" w:color="auto"/>
      </w:divBdr>
    </w:div>
    <w:div w:id="62068260">
      <w:bodyDiv w:val="1"/>
      <w:marLeft w:val="0"/>
      <w:marRight w:val="0"/>
      <w:marTop w:val="0"/>
      <w:marBottom w:val="0"/>
      <w:divBdr>
        <w:top w:val="none" w:sz="0" w:space="0" w:color="auto"/>
        <w:left w:val="none" w:sz="0" w:space="0" w:color="auto"/>
        <w:bottom w:val="none" w:sz="0" w:space="0" w:color="auto"/>
        <w:right w:val="none" w:sz="0" w:space="0" w:color="auto"/>
      </w:divBdr>
    </w:div>
    <w:div w:id="68617058">
      <w:bodyDiv w:val="1"/>
      <w:marLeft w:val="0"/>
      <w:marRight w:val="0"/>
      <w:marTop w:val="0"/>
      <w:marBottom w:val="0"/>
      <w:divBdr>
        <w:top w:val="none" w:sz="0" w:space="0" w:color="auto"/>
        <w:left w:val="none" w:sz="0" w:space="0" w:color="auto"/>
        <w:bottom w:val="none" w:sz="0" w:space="0" w:color="auto"/>
        <w:right w:val="none" w:sz="0" w:space="0" w:color="auto"/>
      </w:divBdr>
    </w:div>
    <w:div w:id="76294643">
      <w:bodyDiv w:val="1"/>
      <w:marLeft w:val="0"/>
      <w:marRight w:val="0"/>
      <w:marTop w:val="0"/>
      <w:marBottom w:val="0"/>
      <w:divBdr>
        <w:top w:val="none" w:sz="0" w:space="0" w:color="auto"/>
        <w:left w:val="none" w:sz="0" w:space="0" w:color="auto"/>
        <w:bottom w:val="none" w:sz="0" w:space="0" w:color="auto"/>
        <w:right w:val="none" w:sz="0" w:space="0" w:color="auto"/>
      </w:divBdr>
    </w:div>
    <w:div w:id="77021527">
      <w:bodyDiv w:val="1"/>
      <w:marLeft w:val="0"/>
      <w:marRight w:val="0"/>
      <w:marTop w:val="0"/>
      <w:marBottom w:val="0"/>
      <w:divBdr>
        <w:top w:val="none" w:sz="0" w:space="0" w:color="auto"/>
        <w:left w:val="none" w:sz="0" w:space="0" w:color="auto"/>
        <w:bottom w:val="none" w:sz="0" w:space="0" w:color="auto"/>
        <w:right w:val="none" w:sz="0" w:space="0" w:color="auto"/>
      </w:divBdr>
    </w:div>
    <w:div w:id="79177329">
      <w:bodyDiv w:val="1"/>
      <w:marLeft w:val="0"/>
      <w:marRight w:val="0"/>
      <w:marTop w:val="0"/>
      <w:marBottom w:val="0"/>
      <w:divBdr>
        <w:top w:val="none" w:sz="0" w:space="0" w:color="auto"/>
        <w:left w:val="none" w:sz="0" w:space="0" w:color="auto"/>
        <w:bottom w:val="none" w:sz="0" w:space="0" w:color="auto"/>
        <w:right w:val="none" w:sz="0" w:space="0" w:color="auto"/>
      </w:divBdr>
    </w:div>
    <w:div w:id="80685101">
      <w:bodyDiv w:val="1"/>
      <w:marLeft w:val="0"/>
      <w:marRight w:val="0"/>
      <w:marTop w:val="0"/>
      <w:marBottom w:val="0"/>
      <w:divBdr>
        <w:top w:val="none" w:sz="0" w:space="0" w:color="auto"/>
        <w:left w:val="none" w:sz="0" w:space="0" w:color="auto"/>
        <w:bottom w:val="none" w:sz="0" w:space="0" w:color="auto"/>
        <w:right w:val="none" w:sz="0" w:space="0" w:color="auto"/>
      </w:divBdr>
    </w:div>
    <w:div w:id="83504210">
      <w:bodyDiv w:val="1"/>
      <w:marLeft w:val="0"/>
      <w:marRight w:val="0"/>
      <w:marTop w:val="0"/>
      <w:marBottom w:val="0"/>
      <w:divBdr>
        <w:top w:val="none" w:sz="0" w:space="0" w:color="auto"/>
        <w:left w:val="none" w:sz="0" w:space="0" w:color="auto"/>
        <w:bottom w:val="none" w:sz="0" w:space="0" w:color="auto"/>
        <w:right w:val="none" w:sz="0" w:space="0" w:color="auto"/>
      </w:divBdr>
    </w:div>
    <w:div w:id="84302999">
      <w:bodyDiv w:val="1"/>
      <w:marLeft w:val="0"/>
      <w:marRight w:val="0"/>
      <w:marTop w:val="0"/>
      <w:marBottom w:val="0"/>
      <w:divBdr>
        <w:top w:val="none" w:sz="0" w:space="0" w:color="auto"/>
        <w:left w:val="none" w:sz="0" w:space="0" w:color="auto"/>
        <w:bottom w:val="none" w:sz="0" w:space="0" w:color="auto"/>
        <w:right w:val="none" w:sz="0" w:space="0" w:color="auto"/>
      </w:divBdr>
    </w:div>
    <w:div w:id="90515140">
      <w:bodyDiv w:val="1"/>
      <w:marLeft w:val="0"/>
      <w:marRight w:val="0"/>
      <w:marTop w:val="0"/>
      <w:marBottom w:val="0"/>
      <w:divBdr>
        <w:top w:val="none" w:sz="0" w:space="0" w:color="auto"/>
        <w:left w:val="none" w:sz="0" w:space="0" w:color="auto"/>
        <w:bottom w:val="none" w:sz="0" w:space="0" w:color="auto"/>
        <w:right w:val="none" w:sz="0" w:space="0" w:color="auto"/>
      </w:divBdr>
    </w:div>
    <w:div w:id="120460949">
      <w:bodyDiv w:val="1"/>
      <w:marLeft w:val="0"/>
      <w:marRight w:val="0"/>
      <w:marTop w:val="0"/>
      <w:marBottom w:val="0"/>
      <w:divBdr>
        <w:top w:val="none" w:sz="0" w:space="0" w:color="auto"/>
        <w:left w:val="none" w:sz="0" w:space="0" w:color="auto"/>
        <w:bottom w:val="none" w:sz="0" w:space="0" w:color="auto"/>
        <w:right w:val="none" w:sz="0" w:space="0" w:color="auto"/>
      </w:divBdr>
    </w:div>
    <w:div w:id="123423584">
      <w:bodyDiv w:val="1"/>
      <w:marLeft w:val="0"/>
      <w:marRight w:val="0"/>
      <w:marTop w:val="0"/>
      <w:marBottom w:val="0"/>
      <w:divBdr>
        <w:top w:val="none" w:sz="0" w:space="0" w:color="auto"/>
        <w:left w:val="none" w:sz="0" w:space="0" w:color="auto"/>
        <w:bottom w:val="none" w:sz="0" w:space="0" w:color="auto"/>
        <w:right w:val="none" w:sz="0" w:space="0" w:color="auto"/>
      </w:divBdr>
    </w:div>
    <w:div w:id="125316095">
      <w:bodyDiv w:val="1"/>
      <w:marLeft w:val="0"/>
      <w:marRight w:val="0"/>
      <w:marTop w:val="0"/>
      <w:marBottom w:val="0"/>
      <w:divBdr>
        <w:top w:val="none" w:sz="0" w:space="0" w:color="auto"/>
        <w:left w:val="none" w:sz="0" w:space="0" w:color="auto"/>
        <w:bottom w:val="none" w:sz="0" w:space="0" w:color="auto"/>
        <w:right w:val="none" w:sz="0" w:space="0" w:color="auto"/>
      </w:divBdr>
    </w:div>
    <w:div w:id="129129871">
      <w:bodyDiv w:val="1"/>
      <w:marLeft w:val="0"/>
      <w:marRight w:val="0"/>
      <w:marTop w:val="0"/>
      <w:marBottom w:val="0"/>
      <w:divBdr>
        <w:top w:val="none" w:sz="0" w:space="0" w:color="auto"/>
        <w:left w:val="none" w:sz="0" w:space="0" w:color="auto"/>
        <w:bottom w:val="none" w:sz="0" w:space="0" w:color="auto"/>
        <w:right w:val="none" w:sz="0" w:space="0" w:color="auto"/>
      </w:divBdr>
    </w:div>
    <w:div w:id="129590892">
      <w:bodyDiv w:val="1"/>
      <w:marLeft w:val="0"/>
      <w:marRight w:val="0"/>
      <w:marTop w:val="0"/>
      <w:marBottom w:val="0"/>
      <w:divBdr>
        <w:top w:val="none" w:sz="0" w:space="0" w:color="auto"/>
        <w:left w:val="none" w:sz="0" w:space="0" w:color="auto"/>
        <w:bottom w:val="none" w:sz="0" w:space="0" w:color="auto"/>
        <w:right w:val="none" w:sz="0" w:space="0" w:color="auto"/>
      </w:divBdr>
    </w:div>
    <w:div w:id="131876118">
      <w:bodyDiv w:val="1"/>
      <w:marLeft w:val="0"/>
      <w:marRight w:val="0"/>
      <w:marTop w:val="0"/>
      <w:marBottom w:val="0"/>
      <w:divBdr>
        <w:top w:val="none" w:sz="0" w:space="0" w:color="auto"/>
        <w:left w:val="none" w:sz="0" w:space="0" w:color="auto"/>
        <w:bottom w:val="none" w:sz="0" w:space="0" w:color="auto"/>
        <w:right w:val="none" w:sz="0" w:space="0" w:color="auto"/>
      </w:divBdr>
    </w:div>
    <w:div w:id="132719346">
      <w:bodyDiv w:val="1"/>
      <w:marLeft w:val="0"/>
      <w:marRight w:val="0"/>
      <w:marTop w:val="0"/>
      <w:marBottom w:val="0"/>
      <w:divBdr>
        <w:top w:val="none" w:sz="0" w:space="0" w:color="auto"/>
        <w:left w:val="none" w:sz="0" w:space="0" w:color="auto"/>
        <w:bottom w:val="none" w:sz="0" w:space="0" w:color="auto"/>
        <w:right w:val="none" w:sz="0" w:space="0" w:color="auto"/>
      </w:divBdr>
    </w:div>
    <w:div w:id="135340405">
      <w:bodyDiv w:val="1"/>
      <w:marLeft w:val="0"/>
      <w:marRight w:val="0"/>
      <w:marTop w:val="0"/>
      <w:marBottom w:val="0"/>
      <w:divBdr>
        <w:top w:val="none" w:sz="0" w:space="0" w:color="auto"/>
        <w:left w:val="none" w:sz="0" w:space="0" w:color="auto"/>
        <w:bottom w:val="none" w:sz="0" w:space="0" w:color="auto"/>
        <w:right w:val="none" w:sz="0" w:space="0" w:color="auto"/>
      </w:divBdr>
    </w:div>
    <w:div w:id="135731259">
      <w:bodyDiv w:val="1"/>
      <w:marLeft w:val="0"/>
      <w:marRight w:val="0"/>
      <w:marTop w:val="0"/>
      <w:marBottom w:val="0"/>
      <w:divBdr>
        <w:top w:val="none" w:sz="0" w:space="0" w:color="auto"/>
        <w:left w:val="none" w:sz="0" w:space="0" w:color="auto"/>
        <w:bottom w:val="none" w:sz="0" w:space="0" w:color="auto"/>
        <w:right w:val="none" w:sz="0" w:space="0" w:color="auto"/>
      </w:divBdr>
    </w:div>
    <w:div w:id="136190683">
      <w:bodyDiv w:val="1"/>
      <w:marLeft w:val="0"/>
      <w:marRight w:val="0"/>
      <w:marTop w:val="0"/>
      <w:marBottom w:val="0"/>
      <w:divBdr>
        <w:top w:val="none" w:sz="0" w:space="0" w:color="auto"/>
        <w:left w:val="none" w:sz="0" w:space="0" w:color="auto"/>
        <w:bottom w:val="none" w:sz="0" w:space="0" w:color="auto"/>
        <w:right w:val="none" w:sz="0" w:space="0" w:color="auto"/>
      </w:divBdr>
    </w:div>
    <w:div w:id="144469119">
      <w:bodyDiv w:val="1"/>
      <w:marLeft w:val="0"/>
      <w:marRight w:val="0"/>
      <w:marTop w:val="0"/>
      <w:marBottom w:val="0"/>
      <w:divBdr>
        <w:top w:val="none" w:sz="0" w:space="0" w:color="auto"/>
        <w:left w:val="none" w:sz="0" w:space="0" w:color="auto"/>
        <w:bottom w:val="none" w:sz="0" w:space="0" w:color="auto"/>
        <w:right w:val="none" w:sz="0" w:space="0" w:color="auto"/>
      </w:divBdr>
    </w:div>
    <w:div w:id="150027870">
      <w:bodyDiv w:val="1"/>
      <w:marLeft w:val="0"/>
      <w:marRight w:val="0"/>
      <w:marTop w:val="0"/>
      <w:marBottom w:val="0"/>
      <w:divBdr>
        <w:top w:val="none" w:sz="0" w:space="0" w:color="auto"/>
        <w:left w:val="none" w:sz="0" w:space="0" w:color="auto"/>
        <w:bottom w:val="none" w:sz="0" w:space="0" w:color="auto"/>
        <w:right w:val="none" w:sz="0" w:space="0" w:color="auto"/>
      </w:divBdr>
    </w:div>
    <w:div w:id="153105298">
      <w:bodyDiv w:val="1"/>
      <w:marLeft w:val="0"/>
      <w:marRight w:val="0"/>
      <w:marTop w:val="0"/>
      <w:marBottom w:val="0"/>
      <w:divBdr>
        <w:top w:val="none" w:sz="0" w:space="0" w:color="auto"/>
        <w:left w:val="none" w:sz="0" w:space="0" w:color="auto"/>
        <w:bottom w:val="none" w:sz="0" w:space="0" w:color="auto"/>
        <w:right w:val="none" w:sz="0" w:space="0" w:color="auto"/>
      </w:divBdr>
    </w:div>
    <w:div w:id="154225423">
      <w:bodyDiv w:val="1"/>
      <w:marLeft w:val="0"/>
      <w:marRight w:val="0"/>
      <w:marTop w:val="0"/>
      <w:marBottom w:val="0"/>
      <w:divBdr>
        <w:top w:val="none" w:sz="0" w:space="0" w:color="auto"/>
        <w:left w:val="none" w:sz="0" w:space="0" w:color="auto"/>
        <w:bottom w:val="none" w:sz="0" w:space="0" w:color="auto"/>
        <w:right w:val="none" w:sz="0" w:space="0" w:color="auto"/>
      </w:divBdr>
    </w:div>
    <w:div w:id="157691056">
      <w:bodyDiv w:val="1"/>
      <w:marLeft w:val="0"/>
      <w:marRight w:val="0"/>
      <w:marTop w:val="0"/>
      <w:marBottom w:val="0"/>
      <w:divBdr>
        <w:top w:val="none" w:sz="0" w:space="0" w:color="auto"/>
        <w:left w:val="none" w:sz="0" w:space="0" w:color="auto"/>
        <w:bottom w:val="none" w:sz="0" w:space="0" w:color="auto"/>
        <w:right w:val="none" w:sz="0" w:space="0" w:color="auto"/>
      </w:divBdr>
    </w:div>
    <w:div w:id="158692410">
      <w:bodyDiv w:val="1"/>
      <w:marLeft w:val="0"/>
      <w:marRight w:val="0"/>
      <w:marTop w:val="0"/>
      <w:marBottom w:val="0"/>
      <w:divBdr>
        <w:top w:val="none" w:sz="0" w:space="0" w:color="auto"/>
        <w:left w:val="none" w:sz="0" w:space="0" w:color="auto"/>
        <w:bottom w:val="none" w:sz="0" w:space="0" w:color="auto"/>
        <w:right w:val="none" w:sz="0" w:space="0" w:color="auto"/>
      </w:divBdr>
    </w:div>
    <w:div w:id="161090869">
      <w:bodyDiv w:val="1"/>
      <w:marLeft w:val="0"/>
      <w:marRight w:val="0"/>
      <w:marTop w:val="0"/>
      <w:marBottom w:val="0"/>
      <w:divBdr>
        <w:top w:val="none" w:sz="0" w:space="0" w:color="auto"/>
        <w:left w:val="none" w:sz="0" w:space="0" w:color="auto"/>
        <w:bottom w:val="none" w:sz="0" w:space="0" w:color="auto"/>
        <w:right w:val="none" w:sz="0" w:space="0" w:color="auto"/>
      </w:divBdr>
    </w:div>
    <w:div w:id="161821010">
      <w:bodyDiv w:val="1"/>
      <w:marLeft w:val="0"/>
      <w:marRight w:val="0"/>
      <w:marTop w:val="0"/>
      <w:marBottom w:val="0"/>
      <w:divBdr>
        <w:top w:val="none" w:sz="0" w:space="0" w:color="auto"/>
        <w:left w:val="none" w:sz="0" w:space="0" w:color="auto"/>
        <w:bottom w:val="none" w:sz="0" w:space="0" w:color="auto"/>
        <w:right w:val="none" w:sz="0" w:space="0" w:color="auto"/>
      </w:divBdr>
    </w:div>
    <w:div w:id="165636696">
      <w:bodyDiv w:val="1"/>
      <w:marLeft w:val="0"/>
      <w:marRight w:val="0"/>
      <w:marTop w:val="0"/>
      <w:marBottom w:val="0"/>
      <w:divBdr>
        <w:top w:val="none" w:sz="0" w:space="0" w:color="auto"/>
        <w:left w:val="none" w:sz="0" w:space="0" w:color="auto"/>
        <w:bottom w:val="none" w:sz="0" w:space="0" w:color="auto"/>
        <w:right w:val="none" w:sz="0" w:space="0" w:color="auto"/>
      </w:divBdr>
    </w:div>
    <w:div w:id="168563206">
      <w:bodyDiv w:val="1"/>
      <w:marLeft w:val="0"/>
      <w:marRight w:val="0"/>
      <w:marTop w:val="0"/>
      <w:marBottom w:val="0"/>
      <w:divBdr>
        <w:top w:val="none" w:sz="0" w:space="0" w:color="auto"/>
        <w:left w:val="none" w:sz="0" w:space="0" w:color="auto"/>
        <w:bottom w:val="none" w:sz="0" w:space="0" w:color="auto"/>
        <w:right w:val="none" w:sz="0" w:space="0" w:color="auto"/>
      </w:divBdr>
    </w:div>
    <w:div w:id="171336144">
      <w:bodyDiv w:val="1"/>
      <w:marLeft w:val="0"/>
      <w:marRight w:val="0"/>
      <w:marTop w:val="0"/>
      <w:marBottom w:val="0"/>
      <w:divBdr>
        <w:top w:val="none" w:sz="0" w:space="0" w:color="auto"/>
        <w:left w:val="none" w:sz="0" w:space="0" w:color="auto"/>
        <w:bottom w:val="none" w:sz="0" w:space="0" w:color="auto"/>
        <w:right w:val="none" w:sz="0" w:space="0" w:color="auto"/>
      </w:divBdr>
    </w:div>
    <w:div w:id="175313993">
      <w:bodyDiv w:val="1"/>
      <w:marLeft w:val="0"/>
      <w:marRight w:val="0"/>
      <w:marTop w:val="0"/>
      <w:marBottom w:val="0"/>
      <w:divBdr>
        <w:top w:val="none" w:sz="0" w:space="0" w:color="auto"/>
        <w:left w:val="none" w:sz="0" w:space="0" w:color="auto"/>
        <w:bottom w:val="none" w:sz="0" w:space="0" w:color="auto"/>
        <w:right w:val="none" w:sz="0" w:space="0" w:color="auto"/>
      </w:divBdr>
    </w:div>
    <w:div w:id="176119193">
      <w:bodyDiv w:val="1"/>
      <w:marLeft w:val="0"/>
      <w:marRight w:val="0"/>
      <w:marTop w:val="0"/>
      <w:marBottom w:val="0"/>
      <w:divBdr>
        <w:top w:val="none" w:sz="0" w:space="0" w:color="auto"/>
        <w:left w:val="none" w:sz="0" w:space="0" w:color="auto"/>
        <w:bottom w:val="none" w:sz="0" w:space="0" w:color="auto"/>
        <w:right w:val="none" w:sz="0" w:space="0" w:color="auto"/>
      </w:divBdr>
    </w:div>
    <w:div w:id="178550516">
      <w:bodyDiv w:val="1"/>
      <w:marLeft w:val="0"/>
      <w:marRight w:val="0"/>
      <w:marTop w:val="0"/>
      <w:marBottom w:val="0"/>
      <w:divBdr>
        <w:top w:val="none" w:sz="0" w:space="0" w:color="auto"/>
        <w:left w:val="none" w:sz="0" w:space="0" w:color="auto"/>
        <w:bottom w:val="none" w:sz="0" w:space="0" w:color="auto"/>
        <w:right w:val="none" w:sz="0" w:space="0" w:color="auto"/>
      </w:divBdr>
    </w:div>
    <w:div w:id="178664852">
      <w:bodyDiv w:val="1"/>
      <w:marLeft w:val="0"/>
      <w:marRight w:val="0"/>
      <w:marTop w:val="0"/>
      <w:marBottom w:val="0"/>
      <w:divBdr>
        <w:top w:val="none" w:sz="0" w:space="0" w:color="auto"/>
        <w:left w:val="none" w:sz="0" w:space="0" w:color="auto"/>
        <w:bottom w:val="none" w:sz="0" w:space="0" w:color="auto"/>
        <w:right w:val="none" w:sz="0" w:space="0" w:color="auto"/>
      </w:divBdr>
    </w:div>
    <w:div w:id="181820728">
      <w:bodyDiv w:val="1"/>
      <w:marLeft w:val="0"/>
      <w:marRight w:val="0"/>
      <w:marTop w:val="0"/>
      <w:marBottom w:val="0"/>
      <w:divBdr>
        <w:top w:val="none" w:sz="0" w:space="0" w:color="auto"/>
        <w:left w:val="none" w:sz="0" w:space="0" w:color="auto"/>
        <w:bottom w:val="none" w:sz="0" w:space="0" w:color="auto"/>
        <w:right w:val="none" w:sz="0" w:space="0" w:color="auto"/>
      </w:divBdr>
    </w:div>
    <w:div w:id="184834385">
      <w:bodyDiv w:val="1"/>
      <w:marLeft w:val="0"/>
      <w:marRight w:val="0"/>
      <w:marTop w:val="0"/>
      <w:marBottom w:val="0"/>
      <w:divBdr>
        <w:top w:val="none" w:sz="0" w:space="0" w:color="auto"/>
        <w:left w:val="none" w:sz="0" w:space="0" w:color="auto"/>
        <w:bottom w:val="none" w:sz="0" w:space="0" w:color="auto"/>
        <w:right w:val="none" w:sz="0" w:space="0" w:color="auto"/>
      </w:divBdr>
    </w:div>
    <w:div w:id="185482033">
      <w:bodyDiv w:val="1"/>
      <w:marLeft w:val="0"/>
      <w:marRight w:val="0"/>
      <w:marTop w:val="0"/>
      <w:marBottom w:val="0"/>
      <w:divBdr>
        <w:top w:val="none" w:sz="0" w:space="0" w:color="auto"/>
        <w:left w:val="none" w:sz="0" w:space="0" w:color="auto"/>
        <w:bottom w:val="none" w:sz="0" w:space="0" w:color="auto"/>
        <w:right w:val="none" w:sz="0" w:space="0" w:color="auto"/>
      </w:divBdr>
    </w:div>
    <w:div w:id="188568336">
      <w:bodyDiv w:val="1"/>
      <w:marLeft w:val="0"/>
      <w:marRight w:val="0"/>
      <w:marTop w:val="0"/>
      <w:marBottom w:val="0"/>
      <w:divBdr>
        <w:top w:val="none" w:sz="0" w:space="0" w:color="auto"/>
        <w:left w:val="none" w:sz="0" w:space="0" w:color="auto"/>
        <w:bottom w:val="none" w:sz="0" w:space="0" w:color="auto"/>
        <w:right w:val="none" w:sz="0" w:space="0" w:color="auto"/>
      </w:divBdr>
    </w:div>
    <w:div w:id="192884585">
      <w:bodyDiv w:val="1"/>
      <w:marLeft w:val="0"/>
      <w:marRight w:val="0"/>
      <w:marTop w:val="0"/>
      <w:marBottom w:val="0"/>
      <w:divBdr>
        <w:top w:val="none" w:sz="0" w:space="0" w:color="auto"/>
        <w:left w:val="none" w:sz="0" w:space="0" w:color="auto"/>
        <w:bottom w:val="none" w:sz="0" w:space="0" w:color="auto"/>
        <w:right w:val="none" w:sz="0" w:space="0" w:color="auto"/>
      </w:divBdr>
    </w:div>
    <w:div w:id="193469747">
      <w:bodyDiv w:val="1"/>
      <w:marLeft w:val="0"/>
      <w:marRight w:val="0"/>
      <w:marTop w:val="0"/>
      <w:marBottom w:val="0"/>
      <w:divBdr>
        <w:top w:val="none" w:sz="0" w:space="0" w:color="auto"/>
        <w:left w:val="none" w:sz="0" w:space="0" w:color="auto"/>
        <w:bottom w:val="none" w:sz="0" w:space="0" w:color="auto"/>
        <w:right w:val="none" w:sz="0" w:space="0" w:color="auto"/>
      </w:divBdr>
    </w:div>
    <w:div w:id="197621695">
      <w:bodyDiv w:val="1"/>
      <w:marLeft w:val="0"/>
      <w:marRight w:val="0"/>
      <w:marTop w:val="0"/>
      <w:marBottom w:val="0"/>
      <w:divBdr>
        <w:top w:val="none" w:sz="0" w:space="0" w:color="auto"/>
        <w:left w:val="none" w:sz="0" w:space="0" w:color="auto"/>
        <w:bottom w:val="none" w:sz="0" w:space="0" w:color="auto"/>
        <w:right w:val="none" w:sz="0" w:space="0" w:color="auto"/>
      </w:divBdr>
    </w:div>
    <w:div w:id="200287184">
      <w:bodyDiv w:val="1"/>
      <w:marLeft w:val="0"/>
      <w:marRight w:val="0"/>
      <w:marTop w:val="0"/>
      <w:marBottom w:val="0"/>
      <w:divBdr>
        <w:top w:val="none" w:sz="0" w:space="0" w:color="auto"/>
        <w:left w:val="none" w:sz="0" w:space="0" w:color="auto"/>
        <w:bottom w:val="none" w:sz="0" w:space="0" w:color="auto"/>
        <w:right w:val="none" w:sz="0" w:space="0" w:color="auto"/>
      </w:divBdr>
    </w:div>
    <w:div w:id="205529256">
      <w:bodyDiv w:val="1"/>
      <w:marLeft w:val="0"/>
      <w:marRight w:val="0"/>
      <w:marTop w:val="0"/>
      <w:marBottom w:val="0"/>
      <w:divBdr>
        <w:top w:val="none" w:sz="0" w:space="0" w:color="auto"/>
        <w:left w:val="none" w:sz="0" w:space="0" w:color="auto"/>
        <w:bottom w:val="none" w:sz="0" w:space="0" w:color="auto"/>
        <w:right w:val="none" w:sz="0" w:space="0" w:color="auto"/>
      </w:divBdr>
    </w:div>
    <w:div w:id="211236918">
      <w:bodyDiv w:val="1"/>
      <w:marLeft w:val="0"/>
      <w:marRight w:val="0"/>
      <w:marTop w:val="0"/>
      <w:marBottom w:val="0"/>
      <w:divBdr>
        <w:top w:val="none" w:sz="0" w:space="0" w:color="auto"/>
        <w:left w:val="none" w:sz="0" w:space="0" w:color="auto"/>
        <w:bottom w:val="none" w:sz="0" w:space="0" w:color="auto"/>
        <w:right w:val="none" w:sz="0" w:space="0" w:color="auto"/>
      </w:divBdr>
    </w:div>
    <w:div w:id="212619421">
      <w:bodyDiv w:val="1"/>
      <w:marLeft w:val="0"/>
      <w:marRight w:val="0"/>
      <w:marTop w:val="0"/>
      <w:marBottom w:val="0"/>
      <w:divBdr>
        <w:top w:val="none" w:sz="0" w:space="0" w:color="auto"/>
        <w:left w:val="none" w:sz="0" w:space="0" w:color="auto"/>
        <w:bottom w:val="none" w:sz="0" w:space="0" w:color="auto"/>
        <w:right w:val="none" w:sz="0" w:space="0" w:color="auto"/>
      </w:divBdr>
    </w:div>
    <w:div w:id="224335719">
      <w:bodyDiv w:val="1"/>
      <w:marLeft w:val="0"/>
      <w:marRight w:val="0"/>
      <w:marTop w:val="0"/>
      <w:marBottom w:val="0"/>
      <w:divBdr>
        <w:top w:val="none" w:sz="0" w:space="0" w:color="auto"/>
        <w:left w:val="none" w:sz="0" w:space="0" w:color="auto"/>
        <w:bottom w:val="none" w:sz="0" w:space="0" w:color="auto"/>
        <w:right w:val="none" w:sz="0" w:space="0" w:color="auto"/>
      </w:divBdr>
    </w:div>
    <w:div w:id="224947933">
      <w:bodyDiv w:val="1"/>
      <w:marLeft w:val="0"/>
      <w:marRight w:val="0"/>
      <w:marTop w:val="0"/>
      <w:marBottom w:val="0"/>
      <w:divBdr>
        <w:top w:val="none" w:sz="0" w:space="0" w:color="auto"/>
        <w:left w:val="none" w:sz="0" w:space="0" w:color="auto"/>
        <w:bottom w:val="none" w:sz="0" w:space="0" w:color="auto"/>
        <w:right w:val="none" w:sz="0" w:space="0" w:color="auto"/>
      </w:divBdr>
    </w:div>
    <w:div w:id="226185920">
      <w:bodyDiv w:val="1"/>
      <w:marLeft w:val="0"/>
      <w:marRight w:val="0"/>
      <w:marTop w:val="0"/>
      <w:marBottom w:val="0"/>
      <w:divBdr>
        <w:top w:val="none" w:sz="0" w:space="0" w:color="auto"/>
        <w:left w:val="none" w:sz="0" w:space="0" w:color="auto"/>
        <w:bottom w:val="none" w:sz="0" w:space="0" w:color="auto"/>
        <w:right w:val="none" w:sz="0" w:space="0" w:color="auto"/>
      </w:divBdr>
    </w:div>
    <w:div w:id="229387507">
      <w:bodyDiv w:val="1"/>
      <w:marLeft w:val="0"/>
      <w:marRight w:val="0"/>
      <w:marTop w:val="0"/>
      <w:marBottom w:val="0"/>
      <w:divBdr>
        <w:top w:val="none" w:sz="0" w:space="0" w:color="auto"/>
        <w:left w:val="none" w:sz="0" w:space="0" w:color="auto"/>
        <w:bottom w:val="none" w:sz="0" w:space="0" w:color="auto"/>
        <w:right w:val="none" w:sz="0" w:space="0" w:color="auto"/>
      </w:divBdr>
    </w:div>
    <w:div w:id="232590728">
      <w:bodyDiv w:val="1"/>
      <w:marLeft w:val="0"/>
      <w:marRight w:val="0"/>
      <w:marTop w:val="0"/>
      <w:marBottom w:val="0"/>
      <w:divBdr>
        <w:top w:val="none" w:sz="0" w:space="0" w:color="auto"/>
        <w:left w:val="none" w:sz="0" w:space="0" w:color="auto"/>
        <w:bottom w:val="none" w:sz="0" w:space="0" w:color="auto"/>
        <w:right w:val="none" w:sz="0" w:space="0" w:color="auto"/>
      </w:divBdr>
    </w:div>
    <w:div w:id="235869583">
      <w:bodyDiv w:val="1"/>
      <w:marLeft w:val="0"/>
      <w:marRight w:val="0"/>
      <w:marTop w:val="0"/>
      <w:marBottom w:val="0"/>
      <w:divBdr>
        <w:top w:val="none" w:sz="0" w:space="0" w:color="auto"/>
        <w:left w:val="none" w:sz="0" w:space="0" w:color="auto"/>
        <w:bottom w:val="none" w:sz="0" w:space="0" w:color="auto"/>
        <w:right w:val="none" w:sz="0" w:space="0" w:color="auto"/>
      </w:divBdr>
    </w:div>
    <w:div w:id="238490259">
      <w:bodyDiv w:val="1"/>
      <w:marLeft w:val="0"/>
      <w:marRight w:val="0"/>
      <w:marTop w:val="0"/>
      <w:marBottom w:val="0"/>
      <w:divBdr>
        <w:top w:val="none" w:sz="0" w:space="0" w:color="auto"/>
        <w:left w:val="none" w:sz="0" w:space="0" w:color="auto"/>
        <w:bottom w:val="none" w:sz="0" w:space="0" w:color="auto"/>
        <w:right w:val="none" w:sz="0" w:space="0" w:color="auto"/>
      </w:divBdr>
    </w:div>
    <w:div w:id="244069644">
      <w:bodyDiv w:val="1"/>
      <w:marLeft w:val="0"/>
      <w:marRight w:val="0"/>
      <w:marTop w:val="0"/>
      <w:marBottom w:val="0"/>
      <w:divBdr>
        <w:top w:val="none" w:sz="0" w:space="0" w:color="auto"/>
        <w:left w:val="none" w:sz="0" w:space="0" w:color="auto"/>
        <w:bottom w:val="none" w:sz="0" w:space="0" w:color="auto"/>
        <w:right w:val="none" w:sz="0" w:space="0" w:color="auto"/>
      </w:divBdr>
    </w:div>
    <w:div w:id="244807322">
      <w:bodyDiv w:val="1"/>
      <w:marLeft w:val="0"/>
      <w:marRight w:val="0"/>
      <w:marTop w:val="0"/>
      <w:marBottom w:val="0"/>
      <w:divBdr>
        <w:top w:val="none" w:sz="0" w:space="0" w:color="auto"/>
        <w:left w:val="none" w:sz="0" w:space="0" w:color="auto"/>
        <w:bottom w:val="none" w:sz="0" w:space="0" w:color="auto"/>
        <w:right w:val="none" w:sz="0" w:space="0" w:color="auto"/>
      </w:divBdr>
    </w:div>
    <w:div w:id="257639503">
      <w:bodyDiv w:val="1"/>
      <w:marLeft w:val="0"/>
      <w:marRight w:val="0"/>
      <w:marTop w:val="0"/>
      <w:marBottom w:val="0"/>
      <w:divBdr>
        <w:top w:val="none" w:sz="0" w:space="0" w:color="auto"/>
        <w:left w:val="none" w:sz="0" w:space="0" w:color="auto"/>
        <w:bottom w:val="none" w:sz="0" w:space="0" w:color="auto"/>
        <w:right w:val="none" w:sz="0" w:space="0" w:color="auto"/>
      </w:divBdr>
    </w:div>
    <w:div w:id="260529554">
      <w:bodyDiv w:val="1"/>
      <w:marLeft w:val="0"/>
      <w:marRight w:val="0"/>
      <w:marTop w:val="0"/>
      <w:marBottom w:val="0"/>
      <w:divBdr>
        <w:top w:val="none" w:sz="0" w:space="0" w:color="auto"/>
        <w:left w:val="none" w:sz="0" w:space="0" w:color="auto"/>
        <w:bottom w:val="none" w:sz="0" w:space="0" w:color="auto"/>
        <w:right w:val="none" w:sz="0" w:space="0" w:color="auto"/>
      </w:divBdr>
    </w:div>
    <w:div w:id="262958337">
      <w:bodyDiv w:val="1"/>
      <w:marLeft w:val="0"/>
      <w:marRight w:val="0"/>
      <w:marTop w:val="0"/>
      <w:marBottom w:val="0"/>
      <w:divBdr>
        <w:top w:val="none" w:sz="0" w:space="0" w:color="auto"/>
        <w:left w:val="none" w:sz="0" w:space="0" w:color="auto"/>
        <w:bottom w:val="none" w:sz="0" w:space="0" w:color="auto"/>
        <w:right w:val="none" w:sz="0" w:space="0" w:color="auto"/>
      </w:divBdr>
    </w:div>
    <w:div w:id="266158882">
      <w:bodyDiv w:val="1"/>
      <w:marLeft w:val="0"/>
      <w:marRight w:val="0"/>
      <w:marTop w:val="0"/>
      <w:marBottom w:val="0"/>
      <w:divBdr>
        <w:top w:val="none" w:sz="0" w:space="0" w:color="auto"/>
        <w:left w:val="none" w:sz="0" w:space="0" w:color="auto"/>
        <w:bottom w:val="none" w:sz="0" w:space="0" w:color="auto"/>
        <w:right w:val="none" w:sz="0" w:space="0" w:color="auto"/>
      </w:divBdr>
    </w:div>
    <w:div w:id="267541341">
      <w:bodyDiv w:val="1"/>
      <w:marLeft w:val="0"/>
      <w:marRight w:val="0"/>
      <w:marTop w:val="0"/>
      <w:marBottom w:val="0"/>
      <w:divBdr>
        <w:top w:val="none" w:sz="0" w:space="0" w:color="auto"/>
        <w:left w:val="none" w:sz="0" w:space="0" w:color="auto"/>
        <w:bottom w:val="none" w:sz="0" w:space="0" w:color="auto"/>
        <w:right w:val="none" w:sz="0" w:space="0" w:color="auto"/>
      </w:divBdr>
    </w:div>
    <w:div w:id="269633709">
      <w:bodyDiv w:val="1"/>
      <w:marLeft w:val="0"/>
      <w:marRight w:val="0"/>
      <w:marTop w:val="0"/>
      <w:marBottom w:val="0"/>
      <w:divBdr>
        <w:top w:val="none" w:sz="0" w:space="0" w:color="auto"/>
        <w:left w:val="none" w:sz="0" w:space="0" w:color="auto"/>
        <w:bottom w:val="none" w:sz="0" w:space="0" w:color="auto"/>
        <w:right w:val="none" w:sz="0" w:space="0" w:color="auto"/>
      </w:divBdr>
    </w:div>
    <w:div w:id="297954739">
      <w:bodyDiv w:val="1"/>
      <w:marLeft w:val="0"/>
      <w:marRight w:val="0"/>
      <w:marTop w:val="0"/>
      <w:marBottom w:val="0"/>
      <w:divBdr>
        <w:top w:val="none" w:sz="0" w:space="0" w:color="auto"/>
        <w:left w:val="none" w:sz="0" w:space="0" w:color="auto"/>
        <w:bottom w:val="none" w:sz="0" w:space="0" w:color="auto"/>
        <w:right w:val="none" w:sz="0" w:space="0" w:color="auto"/>
      </w:divBdr>
    </w:div>
    <w:div w:id="304705369">
      <w:bodyDiv w:val="1"/>
      <w:marLeft w:val="0"/>
      <w:marRight w:val="0"/>
      <w:marTop w:val="0"/>
      <w:marBottom w:val="0"/>
      <w:divBdr>
        <w:top w:val="none" w:sz="0" w:space="0" w:color="auto"/>
        <w:left w:val="none" w:sz="0" w:space="0" w:color="auto"/>
        <w:bottom w:val="none" w:sz="0" w:space="0" w:color="auto"/>
        <w:right w:val="none" w:sz="0" w:space="0" w:color="auto"/>
      </w:divBdr>
    </w:div>
    <w:div w:id="305166597">
      <w:bodyDiv w:val="1"/>
      <w:marLeft w:val="0"/>
      <w:marRight w:val="0"/>
      <w:marTop w:val="0"/>
      <w:marBottom w:val="0"/>
      <w:divBdr>
        <w:top w:val="none" w:sz="0" w:space="0" w:color="auto"/>
        <w:left w:val="none" w:sz="0" w:space="0" w:color="auto"/>
        <w:bottom w:val="none" w:sz="0" w:space="0" w:color="auto"/>
        <w:right w:val="none" w:sz="0" w:space="0" w:color="auto"/>
      </w:divBdr>
    </w:div>
    <w:div w:id="323556748">
      <w:bodyDiv w:val="1"/>
      <w:marLeft w:val="0"/>
      <w:marRight w:val="0"/>
      <w:marTop w:val="0"/>
      <w:marBottom w:val="0"/>
      <w:divBdr>
        <w:top w:val="none" w:sz="0" w:space="0" w:color="auto"/>
        <w:left w:val="none" w:sz="0" w:space="0" w:color="auto"/>
        <w:bottom w:val="none" w:sz="0" w:space="0" w:color="auto"/>
        <w:right w:val="none" w:sz="0" w:space="0" w:color="auto"/>
      </w:divBdr>
    </w:div>
    <w:div w:id="331418888">
      <w:bodyDiv w:val="1"/>
      <w:marLeft w:val="0"/>
      <w:marRight w:val="0"/>
      <w:marTop w:val="0"/>
      <w:marBottom w:val="0"/>
      <w:divBdr>
        <w:top w:val="none" w:sz="0" w:space="0" w:color="auto"/>
        <w:left w:val="none" w:sz="0" w:space="0" w:color="auto"/>
        <w:bottom w:val="none" w:sz="0" w:space="0" w:color="auto"/>
        <w:right w:val="none" w:sz="0" w:space="0" w:color="auto"/>
      </w:divBdr>
    </w:div>
    <w:div w:id="332880210">
      <w:bodyDiv w:val="1"/>
      <w:marLeft w:val="0"/>
      <w:marRight w:val="0"/>
      <w:marTop w:val="0"/>
      <w:marBottom w:val="0"/>
      <w:divBdr>
        <w:top w:val="none" w:sz="0" w:space="0" w:color="auto"/>
        <w:left w:val="none" w:sz="0" w:space="0" w:color="auto"/>
        <w:bottom w:val="none" w:sz="0" w:space="0" w:color="auto"/>
        <w:right w:val="none" w:sz="0" w:space="0" w:color="auto"/>
      </w:divBdr>
    </w:div>
    <w:div w:id="334307906">
      <w:bodyDiv w:val="1"/>
      <w:marLeft w:val="0"/>
      <w:marRight w:val="0"/>
      <w:marTop w:val="0"/>
      <w:marBottom w:val="0"/>
      <w:divBdr>
        <w:top w:val="none" w:sz="0" w:space="0" w:color="auto"/>
        <w:left w:val="none" w:sz="0" w:space="0" w:color="auto"/>
        <w:bottom w:val="none" w:sz="0" w:space="0" w:color="auto"/>
        <w:right w:val="none" w:sz="0" w:space="0" w:color="auto"/>
      </w:divBdr>
    </w:div>
    <w:div w:id="335429037">
      <w:bodyDiv w:val="1"/>
      <w:marLeft w:val="0"/>
      <w:marRight w:val="0"/>
      <w:marTop w:val="0"/>
      <w:marBottom w:val="0"/>
      <w:divBdr>
        <w:top w:val="none" w:sz="0" w:space="0" w:color="auto"/>
        <w:left w:val="none" w:sz="0" w:space="0" w:color="auto"/>
        <w:bottom w:val="none" w:sz="0" w:space="0" w:color="auto"/>
        <w:right w:val="none" w:sz="0" w:space="0" w:color="auto"/>
      </w:divBdr>
    </w:div>
    <w:div w:id="338318716">
      <w:bodyDiv w:val="1"/>
      <w:marLeft w:val="0"/>
      <w:marRight w:val="0"/>
      <w:marTop w:val="0"/>
      <w:marBottom w:val="0"/>
      <w:divBdr>
        <w:top w:val="none" w:sz="0" w:space="0" w:color="auto"/>
        <w:left w:val="none" w:sz="0" w:space="0" w:color="auto"/>
        <w:bottom w:val="none" w:sz="0" w:space="0" w:color="auto"/>
        <w:right w:val="none" w:sz="0" w:space="0" w:color="auto"/>
      </w:divBdr>
    </w:div>
    <w:div w:id="338387507">
      <w:bodyDiv w:val="1"/>
      <w:marLeft w:val="0"/>
      <w:marRight w:val="0"/>
      <w:marTop w:val="0"/>
      <w:marBottom w:val="0"/>
      <w:divBdr>
        <w:top w:val="none" w:sz="0" w:space="0" w:color="auto"/>
        <w:left w:val="none" w:sz="0" w:space="0" w:color="auto"/>
        <w:bottom w:val="none" w:sz="0" w:space="0" w:color="auto"/>
        <w:right w:val="none" w:sz="0" w:space="0" w:color="auto"/>
      </w:divBdr>
    </w:div>
    <w:div w:id="343016798">
      <w:bodyDiv w:val="1"/>
      <w:marLeft w:val="0"/>
      <w:marRight w:val="0"/>
      <w:marTop w:val="0"/>
      <w:marBottom w:val="0"/>
      <w:divBdr>
        <w:top w:val="none" w:sz="0" w:space="0" w:color="auto"/>
        <w:left w:val="none" w:sz="0" w:space="0" w:color="auto"/>
        <w:bottom w:val="none" w:sz="0" w:space="0" w:color="auto"/>
        <w:right w:val="none" w:sz="0" w:space="0" w:color="auto"/>
      </w:divBdr>
    </w:div>
    <w:div w:id="378240405">
      <w:bodyDiv w:val="1"/>
      <w:marLeft w:val="0"/>
      <w:marRight w:val="0"/>
      <w:marTop w:val="0"/>
      <w:marBottom w:val="0"/>
      <w:divBdr>
        <w:top w:val="none" w:sz="0" w:space="0" w:color="auto"/>
        <w:left w:val="none" w:sz="0" w:space="0" w:color="auto"/>
        <w:bottom w:val="none" w:sz="0" w:space="0" w:color="auto"/>
        <w:right w:val="none" w:sz="0" w:space="0" w:color="auto"/>
      </w:divBdr>
    </w:div>
    <w:div w:id="379865859">
      <w:bodyDiv w:val="1"/>
      <w:marLeft w:val="0"/>
      <w:marRight w:val="0"/>
      <w:marTop w:val="0"/>
      <w:marBottom w:val="0"/>
      <w:divBdr>
        <w:top w:val="none" w:sz="0" w:space="0" w:color="auto"/>
        <w:left w:val="none" w:sz="0" w:space="0" w:color="auto"/>
        <w:bottom w:val="none" w:sz="0" w:space="0" w:color="auto"/>
        <w:right w:val="none" w:sz="0" w:space="0" w:color="auto"/>
      </w:divBdr>
    </w:div>
    <w:div w:id="380175755">
      <w:bodyDiv w:val="1"/>
      <w:marLeft w:val="0"/>
      <w:marRight w:val="0"/>
      <w:marTop w:val="0"/>
      <w:marBottom w:val="0"/>
      <w:divBdr>
        <w:top w:val="none" w:sz="0" w:space="0" w:color="auto"/>
        <w:left w:val="none" w:sz="0" w:space="0" w:color="auto"/>
        <w:bottom w:val="none" w:sz="0" w:space="0" w:color="auto"/>
        <w:right w:val="none" w:sz="0" w:space="0" w:color="auto"/>
      </w:divBdr>
    </w:div>
    <w:div w:id="387456042">
      <w:bodyDiv w:val="1"/>
      <w:marLeft w:val="0"/>
      <w:marRight w:val="0"/>
      <w:marTop w:val="0"/>
      <w:marBottom w:val="0"/>
      <w:divBdr>
        <w:top w:val="none" w:sz="0" w:space="0" w:color="auto"/>
        <w:left w:val="none" w:sz="0" w:space="0" w:color="auto"/>
        <w:bottom w:val="none" w:sz="0" w:space="0" w:color="auto"/>
        <w:right w:val="none" w:sz="0" w:space="0" w:color="auto"/>
      </w:divBdr>
    </w:div>
    <w:div w:id="387728921">
      <w:bodyDiv w:val="1"/>
      <w:marLeft w:val="0"/>
      <w:marRight w:val="0"/>
      <w:marTop w:val="0"/>
      <w:marBottom w:val="0"/>
      <w:divBdr>
        <w:top w:val="none" w:sz="0" w:space="0" w:color="auto"/>
        <w:left w:val="none" w:sz="0" w:space="0" w:color="auto"/>
        <w:bottom w:val="none" w:sz="0" w:space="0" w:color="auto"/>
        <w:right w:val="none" w:sz="0" w:space="0" w:color="auto"/>
      </w:divBdr>
    </w:div>
    <w:div w:id="394547457">
      <w:bodyDiv w:val="1"/>
      <w:marLeft w:val="0"/>
      <w:marRight w:val="0"/>
      <w:marTop w:val="0"/>
      <w:marBottom w:val="0"/>
      <w:divBdr>
        <w:top w:val="none" w:sz="0" w:space="0" w:color="auto"/>
        <w:left w:val="none" w:sz="0" w:space="0" w:color="auto"/>
        <w:bottom w:val="none" w:sz="0" w:space="0" w:color="auto"/>
        <w:right w:val="none" w:sz="0" w:space="0" w:color="auto"/>
      </w:divBdr>
    </w:div>
    <w:div w:id="394552272">
      <w:bodyDiv w:val="1"/>
      <w:marLeft w:val="0"/>
      <w:marRight w:val="0"/>
      <w:marTop w:val="0"/>
      <w:marBottom w:val="0"/>
      <w:divBdr>
        <w:top w:val="none" w:sz="0" w:space="0" w:color="auto"/>
        <w:left w:val="none" w:sz="0" w:space="0" w:color="auto"/>
        <w:bottom w:val="none" w:sz="0" w:space="0" w:color="auto"/>
        <w:right w:val="none" w:sz="0" w:space="0" w:color="auto"/>
      </w:divBdr>
    </w:div>
    <w:div w:id="396706309">
      <w:bodyDiv w:val="1"/>
      <w:marLeft w:val="0"/>
      <w:marRight w:val="0"/>
      <w:marTop w:val="0"/>
      <w:marBottom w:val="0"/>
      <w:divBdr>
        <w:top w:val="none" w:sz="0" w:space="0" w:color="auto"/>
        <w:left w:val="none" w:sz="0" w:space="0" w:color="auto"/>
        <w:bottom w:val="none" w:sz="0" w:space="0" w:color="auto"/>
        <w:right w:val="none" w:sz="0" w:space="0" w:color="auto"/>
      </w:divBdr>
    </w:div>
    <w:div w:id="396825297">
      <w:bodyDiv w:val="1"/>
      <w:marLeft w:val="0"/>
      <w:marRight w:val="0"/>
      <w:marTop w:val="0"/>
      <w:marBottom w:val="0"/>
      <w:divBdr>
        <w:top w:val="none" w:sz="0" w:space="0" w:color="auto"/>
        <w:left w:val="none" w:sz="0" w:space="0" w:color="auto"/>
        <w:bottom w:val="none" w:sz="0" w:space="0" w:color="auto"/>
        <w:right w:val="none" w:sz="0" w:space="0" w:color="auto"/>
      </w:divBdr>
    </w:div>
    <w:div w:id="401491286">
      <w:bodyDiv w:val="1"/>
      <w:marLeft w:val="0"/>
      <w:marRight w:val="0"/>
      <w:marTop w:val="0"/>
      <w:marBottom w:val="0"/>
      <w:divBdr>
        <w:top w:val="none" w:sz="0" w:space="0" w:color="auto"/>
        <w:left w:val="none" w:sz="0" w:space="0" w:color="auto"/>
        <w:bottom w:val="none" w:sz="0" w:space="0" w:color="auto"/>
        <w:right w:val="none" w:sz="0" w:space="0" w:color="auto"/>
      </w:divBdr>
    </w:div>
    <w:div w:id="407271859">
      <w:bodyDiv w:val="1"/>
      <w:marLeft w:val="0"/>
      <w:marRight w:val="0"/>
      <w:marTop w:val="0"/>
      <w:marBottom w:val="0"/>
      <w:divBdr>
        <w:top w:val="none" w:sz="0" w:space="0" w:color="auto"/>
        <w:left w:val="none" w:sz="0" w:space="0" w:color="auto"/>
        <w:bottom w:val="none" w:sz="0" w:space="0" w:color="auto"/>
        <w:right w:val="none" w:sz="0" w:space="0" w:color="auto"/>
      </w:divBdr>
    </w:div>
    <w:div w:id="412245702">
      <w:bodyDiv w:val="1"/>
      <w:marLeft w:val="0"/>
      <w:marRight w:val="0"/>
      <w:marTop w:val="0"/>
      <w:marBottom w:val="0"/>
      <w:divBdr>
        <w:top w:val="none" w:sz="0" w:space="0" w:color="auto"/>
        <w:left w:val="none" w:sz="0" w:space="0" w:color="auto"/>
        <w:bottom w:val="none" w:sz="0" w:space="0" w:color="auto"/>
        <w:right w:val="none" w:sz="0" w:space="0" w:color="auto"/>
      </w:divBdr>
    </w:div>
    <w:div w:id="423067222">
      <w:bodyDiv w:val="1"/>
      <w:marLeft w:val="0"/>
      <w:marRight w:val="0"/>
      <w:marTop w:val="0"/>
      <w:marBottom w:val="0"/>
      <w:divBdr>
        <w:top w:val="none" w:sz="0" w:space="0" w:color="auto"/>
        <w:left w:val="none" w:sz="0" w:space="0" w:color="auto"/>
        <w:bottom w:val="none" w:sz="0" w:space="0" w:color="auto"/>
        <w:right w:val="none" w:sz="0" w:space="0" w:color="auto"/>
      </w:divBdr>
    </w:div>
    <w:div w:id="430859253">
      <w:bodyDiv w:val="1"/>
      <w:marLeft w:val="0"/>
      <w:marRight w:val="0"/>
      <w:marTop w:val="0"/>
      <w:marBottom w:val="0"/>
      <w:divBdr>
        <w:top w:val="none" w:sz="0" w:space="0" w:color="auto"/>
        <w:left w:val="none" w:sz="0" w:space="0" w:color="auto"/>
        <w:bottom w:val="none" w:sz="0" w:space="0" w:color="auto"/>
        <w:right w:val="none" w:sz="0" w:space="0" w:color="auto"/>
      </w:divBdr>
    </w:div>
    <w:div w:id="431781009">
      <w:bodyDiv w:val="1"/>
      <w:marLeft w:val="0"/>
      <w:marRight w:val="0"/>
      <w:marTop w:val="0"/>
      <w:marBottom w:val="0"/>
      <w:divBdr>
        <w:top w:val="none" w:sz="0" w:space="0" w:color="auto"/>
        <w:left w:val="none" w:sz="0" w:space="0" w:color="auto"/>
        <w:bottom w:val="none" w:sz="0" w:space="0" w:color="auto"/>
        <w:right w:val="none" w:sz="0" w:space="0" w:color="auto"/>
      </w:divBdr>
    </w:div>
    <w:div w:id="438068724">
      <w:bodyDiv w:val="1"/>
      <w:marLeft w:val="0"/>
      <w:marRight w:val="0"/>
      <w:marTop w:val="0"/>
      <w:marBottom w:val="0"/>
      <w:divBdr>
        <w:top w:val="none" w:sz="0" w:space="0" w:color="auto"/>
        <w:left w:val="none" w:sz="0" w:space="0" w:color="auto"/>
        <w:bottom w:val="none" w:sz="0" w:space="0" w:color="auto"/>
        <w:right w:val="none" w:sz="0" w:space="0" w:color="auto"/>
      </w:divBdr>
    </w:div>
    <w:div w:id="440490450">
      <w:bodyDiv w:val="1"/>
      <w:marLeft w:val="0"/>
      <w:marRight w:val="0"/>
      <w:marTop w:val="0"/>
      <w:marBottom w:val="0"/>
      <w:divBdr>
        <w:top w:val="none" w:sz="0" w:space="0" w:color="auto"/>
        <w:left w:val="none" w:sz="0" w:space="0" w:color="auto"/>
        <w:bottom w:val="none" w:sz="0" w:space="0" w:color="auto"/>
        <w:right w:val="none" w:sz="0" w:space="0" w:color="auto"/>
      </w:divBdr>
    </w:div>
    <w:div w:id="444662334">
      <w:bodyDiv w:val="1"/>
      <w:marLeft w:val="0"/>
      <w:marRight w:val="0"/>
      <w:marTop w:val="0"/>
      <w:marBottom w:val="0"/>
      <w:divBdr>
        <w:top w:val="none" w:sz="0" w:space="0" w:color="auto"/>
        <w:left w:val="none" w:sz="0" w:space="0" w:color="auto"/>
        <w:bottom w:val="none" w:sz="0" w:space="0" w:color="auto"/>
        <w:right w:val="none" w:sz="0" w:space="0" w:color="auto"/>
      </w:divBdr>
    </w:div>
    <w:div w:id="449670818">
      <w:bodyDiv w:val="1"/>
      <w:marLeft w:val="0"/>
      <w:marRight w:val="0"/>
      <w:marTop w:val="0"/>
      <w:marBottom w:val="0"/>
      <w:divBdr>
        <w:top w:val="none" w:sz="0" w:space="0" w:color="auto"/>
        <w:left w:val="none" w:sz="0" w:space="0" w:color="auto"/>
        <w:bottom w:val="none" w:sz="0" w:space="0" w:color="auto"/>
        <w:right w:val="none" w:sz="0" w:space="0" w:color="auto"/>
      </w:divBdr>
    </w:div>
    <w:div w:id="450713521">
      <w:bodyDiv w:val="1"/>
      <w:marLeft w:val="0"/>
      <w:marRight w:val="0"/>
      <w:marTop w:val="0"/>
      <w:marBottom w:val="0"/>
      <w:divBdr>
        <w:top w:val="none" w:sz="0" w:space="0" w:color="auto"/>
        <w:left w:val="none" w:sz="0" w:space="0" w:color="auto"/>
        <w:bottom w:val="none" w:sz="0" w:space="0" w:color="auto"/>
        <w:right w:val="none" w:sz="0" w:space="0" w:color="auto"/>
      </w:divBdr>
    </w:div>
    <w:div w:id="453642467">
      <w:bodyDiv w:val="1"/>
      <w:marLeft w:val="0"/>
      <w:marRight w:val="0"/>
      <w:marTop w:val="0"/>
      <w:marBottom w:val="0"/>
      <w:divBdr>
        <w:top w:val="none" w:sz="0" w:space="0" w:color="auto"/>
        <w:left w:val="none" w:sz="0" w:space="0" w:color="auto"/>
        <w:bottom w:val="none" w:sz="0" w:space="0" w:color="auto"/>
        <w:right w:val="none" w:sz="0" w:space="0" w:color="auto"/>
      </w:divBdr>
    </w:div>
    <w:div w:id="458762088">
      <w:bodyDiv w:val="1"/>
      <w:marLeft w:val="0"/>
      <w:marRight w:val="0"/>
      <w:marTop w:val="0"/>
      <w:marBottom w:val="0"/>
      <w:divBdr>
        <w:top w:val="none" w:sz="0" w:space="0" w:color="auto"/>
        <w:left w:val="none" w:sz="0" w:space="0" w:color="auto"/>
        <w:bottom w:val="none" w:sz="0" w:space="0" w:color="auto"/>
        <w:right w:val="none" w:sz="0" w:space="0" w:color="auto"/>
      </w:divBdr>
    </w:div>
    <w:div w:id="461194826">
      <w:bodyDiv w:val="1"/>
      <w:marLeft w:val="0"/>
      <w:marRight w:val="0"/>
      <w:marTop w:val="0"/>
      <w:marBottom w:val="0"/>
      <w:divBdr>
        <w:top w:val="none" w:sz="0" w:space="0" w:color="auto"/>
        <w:left w:val="none" w:sz="0" w:space="0" w:color="auto"/>
        <w:bottom w:val="none" w:sz="0" w:space="0" w:color="auto"/>
        <w:right w:val="none" w:sz="0" w:space="0" w:color="auto"/>
      </w:divBdr>
    </w:div>
    <w:div w:id="463543142">
      <w:bodyDiv w:val="1"/>
      <w:marLeft w:val="0"/>
      <w:marRight w:val="0"/>
      <w:marTop w:val="0"/>
      <w:marBottom w:val="0"/>
      <w:divBdr>
        <w:top w:val="none" w:sz="0" w:space="0" w:color="auto"/>
        <w:left w:val="none" w:sz="0" w:space="0" w:color="auto"/>
        <w:bottom w:val="none" w:sz="0" w:space="0" w:color="auto"/>
        <w:right w:val="none" w:sz="0" w:space="0" w:color="auto"/>
      </w:divBdr>
    </w:div>
    <w:div w:id="465661389">
      <w:bodyDiv w:val="1"/>
      <w:marLeft w:val="0"/>
      <w:marRight w:val="0"/>
      <w:marTop w:val="0"/>
      <w:marBottom w:val="0"/>
      <w:divBdr>
        <w:top w:val="none" w:sz="0" w:space="0" w:color="auto"/>
        <w:left w:val="none" w:sz="0" w:space="0" w:color="auto"/>
        <w:bottom w:val="none" w:sz="0" w:space="0" w:color="auto"/>
        <w:right w:val="none" w:sz="0" w:space="0" w:color="auto"/>
      </w:divBdr>
    </w:div>
    <w:div w:id="474879393">
      <w:bodyDiv w:val="1"/>
      <w:marLeft w:val="0"/>
      <w:marRight w:val="0"/>
      <w:marTop w:val="0"/>
      <w:marBottom w:val="0"/>
      <w:divBdr>
        <w:top w:val="none" w:sz="0" w:space="0" w:color="auto"/>
        <w:left w:val="none" w:sz="0" w:space="0" w:color="auto"/>
        <w:bottom w:val="none" w:sz="0" w:space="0" w:color="auto"/>
        <w:right w:val="none" w:sz="0" w:space="0" w:color="auto"/>
      </w:divBdr>
    </w:div>
    <w:div w:id="478881303">
      <w:bodyDiv w:val="1"/>
      <w:marLeft w:val="0"/>
      <w:marRight w:val="0"/>
      <w:marTop w:val="0"/>
      <w:marBottom w:val="0"/>
      <w:divBdr>
        <w:top w:val="none" w:sz="0" w:space="0" w:color="auto"/>
        <w:left w:val="none" w:sz="0" w:space="0" w:color="auto"/>
        <w:bottom w:val="none" w:sz="0" w:space="0" w:color="auto"/>
        <w:right w:val="none" w:sz="0" w:space="0" w:color="auto"/>
      </w:divBdr>
    </w:div>
    <w:div w:id="479730926">
      <w:bodyDiv w:val="1"/>
      <w:marLeft w:val="0"/>
      <w:marRight w:val="0"/>
      <w:marTop w:val="0"/>
      <w:marBottom w:val="0"/>
      <w:divBdr>
        <w:top w:val="none" w:sz="0" w:space="0" w:color="auto"/>
        <w:left w:val="none" w:sz="0" w:space="0" w:color="auto"/>
        <w:bottom w:val="none" w:sz="0" w:space="0" w:color="auto"/>
        <w:right w:val="none" w:sz="0" w:space="0" w:color="auto"/>
      </w:divBdr>
    </w:div>
    <w:div w:id="482433866">
      <w:bodyDiv w:val="1"/>
      <w:marLeft w:val="0"/>
      <w:marRight w:val="0"/>
      <w:marTop w:val="0"/>
      <w:marBottom w:val="0"/>
      <w:divBdr>
        <w:top w:val="none" w:sz="0" w:space="0" w:color="auto"/>
        <w:left w:val="none" w:sz="0" w:space="0" w:color="auto"/>
        <w:bottom w:val="none" w:sz="0" w:space="0" w:color="auto"/>
        <w:right w:val="none" w:sz="0" w:space="0" w:color="auto"/>
      </w:divBdr>
    </w:div>
    <w:div w:id="486015312">
      <w:bodyDiv w:val="1"/>
      <w:marLeft w:val="0"/>
      <w:marRight w:val="0"/>
      <w:marTop w:val="0"/>
      <w:marBottom w:val="0"/>
      <w:divBdr>
        <w:top w:val="none" w:sz="0" w:space="0" w:color="auto"/>
        <w:left w:val="none" w:sz="0" w:space="0" w:color="auto"/>
        <w:bottom w:val="none" w:sz="0" w:space="0" w:color="auto"/>
        <w:right w:val="none" w:sz="0" w:space="0" w:color="auto"/>
      </w:divBdr>
    </w:div>
    <w:div w:id="508905230">
      <w:bodyDiv w:val="1"/>
      <w:marLeft w:val="0"/>
      <w:marRight w:val="0"/>
      <w:marTop w:val="0"/>
      <w:marBottom w:val="0"/>
      <w:divBdr>
        <w:top w:val="none" w:sz="0" w:space="0" w:color="auto"/>
        <w:left w:val="none" w:sz="0" w:space="0" w:color="auto"/>
        <w:bottom w:val="none" w:sz="0" w:space="0" w:color="auto"/>
        <w:right w:val="none" w:sz="0" w:space="0" w:color="auto"/>
      </w:divBdr>
    </w:div>
    <w:div w:id="516696048">
      <w:bodyDiv w:val="1"/>
      <w:marLeft w:val="0"/>
      <w:marRight w:val="0"/>
      <w:marTop w:val="0"/>
      <w:marBottom w:val="0"/>
      <w:divBdr>
        <w:top w:val="none" w:sz="0" w:space="0" w:color="auto"/>
        <w:left w:val="none" w:sz="0" w:space="0" w:color="auto"/>
        <w:bottom w:val="none" w:sz="0" w:space="0" w:color="auto"/>
        <w:right w:val="none" w:sz="0" w:space="0" w:color="auto"/>
      </w:divBdr>
    </w:div>
    <w:div w:id="518280733">
      <w:bodyDiv w:val="1"/>
      <w:marLeft w:val="0"/>
      <w:marRight w:val="0"/>
      <w:marTop w:val="0"/>
      <w:marBottom w:val="0"/>
      <w:divBdr>
        <w:top w:val="none" w:sz="0" w:space="0" w:color="auto"/>
        <w:left w:val="none" w:sz="0" w:space="0" w:color="auto"/>
        <w:bottom w:val="none" w:sz="0" w:space="0" w:color="auto"/>
        <w:right w:val="none" w:sz="0" w:space="0" w:color="auto"/>
      </w:divBdr>
    </w:div>
    <w:div w:id="518548464">
      <w:bodyDiv w:val="1"/>
      <w:marLeft w:val="0"/>
      <w:marRight w:val="0"/>
      <w:marTop w:val="0"/>
      <w:marBottom w:val="0"/>
      <w:divBdr>
        <w:top w:val="none" w:sz="0" w:space="0" w:color="auto"/>
        <w:left w:val="none" w:sz="0" w:space="0" w:color="auto"/>
        <w:bottom w:val="none" w:sz="0" w:space="0" w:color="auto"/>
        <w:right w:val="none" w:sz="0" w:space="0" w:color="auto"/>
      </w:divBdr>
    </w:div>
    <w:div w:id="521865833">
      <w:bodyDiv w:val="1"/>
      <w:marLeft w:val="0"/>
      <w:marRight w:val="0"/>
      <w:marTop w:val="0"/>
      <w:marBottom w:val="0"/>
      <w:divBdr>
        <w:top w:val="none" w:sz="0" w:space="0" w:color="auto"/>
        <w:left w:val="none" w:sz="0" w:space="0" w:color="auto"/>
        <w:bottom w:val="none" w:sz="0" w:space="0" w:color="auto"/>
        <w:right w:val="none" w:sz="0" w:space="0" w:color="auto"/>
      </w:divBdr>
    </w:div>
    <w:div w:id="532042156">
      <w:bodyDiv w:val="1"/>
      <w:marLeft w:val="0"/>
      <w:marRight w:val="0"/>
      <w:marTop w:val="0"/>
      <w:marBottom w:val="0"/>
      <w:divBdr>
        <w:top w:val="none" w:sz="0" w:space="0" w:color="auto"/>
        <w:left w:val="none" w:sz="0" w:space="0" w:color="auto"/>
        <w:bottom w:val="none" w:sz="0" w:space="0" w:color="auto"/>
        <w:right w:val="none" w:sz="0" w:space="0" w:color="auto"/>
      </w:divBdr>
    </w:div>
    <w:div w:id="532810611">
      <w:bodyDiv w:val="1"/>
      <w:marLeft w:val="0"/>
      <w:marRight w:val="0"/>
      <w:marTop w:val="0"/>
      <w:marBottom w:val="0"/>
      <w:divBdr>
        <w:top w:val="none" w:sz="0" w:space="0" w:color="auto"/>
        <w:left w:val="none" w:sz="0" w:space="0" w:color="auto"/>
        <w:bottom w:val="none" w:sz="0" w:space="0" w:color="auto"/>
        <w:right w:val="none" w:sz="0" w:space="0" w:color="auto"/>
      </w:divBdr>
    </w:div>
    <w:div w:id="533154651">
      <w:bodyDiv w:val="1"/>
      <w:marLeft w:val="0"/>
      <w:marRight w:val="0"/>
      <w:marTop w:val="0"/>
      <w:marBottom w:val="0"/>
      <w:divBdr>
        <w:top w:val="none" w:sz="0" w:space="0" w:color="auto"/>
        <w:left w:val="none" w:sz="0" w:space="0" w:color="auto"/>
        <w:bottom w:val="none" w:sz="0" w:space="0" w:color="auto"/>
        <w:right w:val="none" w:sz="0" w:space="0" w:color="auto"/>
      </w:divBdr>
    </w:div>
    <w:div w:id="538008242">
      <w:bodyDiv w:val="1"/>
      <w:marLeft w:val="0"/>
      <w:marRight w:val="0"/>
      <w:marTop w:val="0"/>
      <w:marBottom w:val="0"/>
      <w:divBdr>
        <w:top w:val="none" w:sz="0" w:space="0" w:color="auto"/>
        <w:left w:val="none" w:sz="0" w:space="0" w:color="auto"/>
        <w:bottom w:val="none" w:sz="0" w:space="0" w:color="auto"/>
        <w:right w:val="none" w:sz="0" w:space="0" w:color="auto"/>
      </w:divBdr>
    </w:div>
    <w:div w:id="543564115">
      <w:bodyDiv w:val="1"/>
      <w:marLeft w:val="0"/>
      <w:marRight w:val="0"/>
      <w:marTop w:val="0"/>
      <w:marBottom w:val="0"/>
      <w:divBdr>
        <w:top w:val="none" w:sz="0" w:space="0" w:color="auto"/>
        <w:left w:val="none" w:sz="0" w:space="0" w:color="auto"/>
        <w:bottom w:val="none" w:sz="0" w:space="0" w:color="auto"/>
        <w:right w:val="none" w:sz="0" w:space="0" w:color="auto"/>
      </w:divBdr>
    </w:div>
    <w:div w:id="543638853">
      <w:bodyDiv w:val="1"/>
      <w:marLeft w:val="0"/>
      <w:marRight w:val="0"/>
      <w:marTop w:val="0"/>
      <w:marBottom w:val="0"/>
      <w:divBdr>
        <w:top w:val="none" w:sz="0" w:space="0" w:color="auto"/>
        <w:left w:val="none" w:sz="0" w:space="0" w:color="auto"/>
        <w:bottom w:val="none" w:sz="0" w:space="0" w:color="auto"/>
        <w:right w:val="none" w:sz="0" w:space="0" w:color="auto"/>
      </w:divBdr>
    </w:div>
    <w:div w:id="550266066">
      <w:bodyDiv w:val="1"/>
      <w:marLeft w:val="0"/>
      <w:marRight w:val="0"/>
      <w:marTop w:val="0"/>
      <w:marBottom w:val="0"/>
      <w:divBdr>
        <w:top w:val="none" w:sz="0" w:space="0" w:color="auto"/>
        <w:left w:val="none" w:sz="0" w:space="0" w:color="auto"/>
        <w:bottom w:val="none" w:sz="0" w:space="0" w:color="auto"/>
        <w:right w:val="none" w:sz="0" w:space="0" w:color="auto"/>
      </w:divBdr>
    </w:div>
    <w:div w:id="552737299">
      <w:bodyDiv w:val="1"/>
      <w:marLeft w:val="0"/>
      <w:marRight w:val="0"/>
      <w:marTop w:val="0"/>
      <w:marBottom w:val="0"/>
      <w:divBdr>
        <w:top w:val="none" w:sz="0" w:space="0" w:color="auto"/>
        <w:left w:val="none" w:sz="0" w:space="0" w:color="auto"/>
        <w:bottom w:val="none" w:sz="0" w:space="0" w:color="auto"/>
        <w:right w:val="none" w:sz="0" w:space="0" w:color="auto"/>
      </w:divBdr>
    </w:div>
    <w:div w:id="562255773">
      <w:bodyDiv w:val="1"/>
      <w:marLeft w:val="0"/>
      <w:marRight w:val="0"/>
      <w:marTop w:val="0"/>
      <w:marBottom w:val="0"/>
      <w:divBdr>
        <w:top w:val="none" w:sz="0" w:space="0" w:color="auto"/>
        <w:left w:val="none" w:sz="0" w:space="0" w:color="auto"/>
        <w:bottom w:val="none" w:sz="0" w:space="0" w:color="auto"/>
        <w:right w:val="none" w:sz="0" w:space="0" w:color="auto"/>
      </w:divBdr>
    </w:div>
    <w:div w:id="564604492">
      <w:bodyDiv w:val="1"/>
      <w:marLeft w:val="0"/>
      <w:marRight w:val="0"/>
      <w:marTop w:val="0"/>
      <w:marBottom w:val="0"/>
      <w:divBdr>
        <w:top w:val="none" w:sz="0" w:space="0" w:color="auto"/>
        <w:left w:val="none" w:sz="0" w:space="0" w:color="auto"/>
        <w:bottom w:val="none" w:sz="0" w:space="0" w:color="auto"/>
        <w:right w:val="none" w:sz="0" w:space="0" w:color="auto"/>
      </w:divBdr>
    </w:div>
    <w:div w:id="577599404">
      <w:bodyDiv w:val="1"/>
      <w:marLeft w:val="0"/>
      <w:marRight w:val="0"/>
      <w:marTop w:val="0"/>
      <w:marBottom w:val="0"/>
      <w:divBdr>
        <w:top w:val="none" w:sz="0" w:space="0" w:color="auto"/>
        <w:left w:val="none" w:sz="0" w:space="0" w:color="auto"/>
        <w:bottom w:val="none" w:sz="0" w:space="0" w:color="auto"/>
        <w:right w:val="none" w:sz="0" w:space="0" w:color="auto"/>
      </w:divBdr>
    </w:div>
    <w:div w:id="580139323">
      <w:bodyDiv w:val="1"/>
      <w:marLeft w:val="0"/>
      <w:marRight w:val="0"/>
      <w:marTop w:val="0"/>
      <w:marBottom w:val="0"/>
      <w:divBdr>
        <w:top w:val="none" w:sz="0" w:space="0" w:color="auto"/>
        <w:left w:val="none" w:sz="0" w:space="0" w:color="auto"/>
        <w:bottom w:val="none" w:sz="0" w:space="0" w:color="auto"/>
        <w:right w:val="none" w:sz="0" w:space="0" w:color="auto"/>
      </w:divBdr>
    </w:div>
    <w:div w:id="582498011">
      <w:bodyDiv w:val="1"/>
      <w:marLeft w:val="0"/>
      <w:marRight w:val="0"/>
      <w:marTop w:val="0"/>
      <w:marBottom w:val="0"/>
      <w:divBdr>
        <w:top w:val="none" w:sz="0" w:space="0" w:color="auto"/>
        <w:left w:val="none" w:sz="0" w:space="0" w:color="auto"/>
        <w:bottom w:val="none" w:sz="0" w:space="0" w:color="auto"/>
        <w:right w:val="none" w:sz="0" w:space="0" w:color="auto"/>
      </w:divBdr>
    </w:div>
    <w:div w:id="589505015">
      <w:bodyDiv w:val="1"/>
      <w:marLeft w:val="0"/>
      <w:marRight w:val="0"/>
      <w:marTop w:val="0"/>
      <w:marBottom w:val="0"/>
      <w:divBdr>
        <w:top w:val="none" w:sz="0" w:space="0" w:color="auto"/>
        <w:left w:val="none" w:sz="0" w:space="0" w:color="auto"/>
        <w:bottom w:val="none" w:sz="0" w:space="0" w:color="auto"/>
        <w:right w:val="none" w:sz="0" w:space="0" w:color="auto"/>
      </w:divBdr>
    </w:div>
    <w:div w:id="593904795">
      <w:bodyDiv w:val="1"/>
      <w:marLeft w:val="0"/>
      <w:marRight w:val="0"/>
      <w:marTop w:val="0"/>
      <w:marBottom w:val="0"/>
      <w:divBdr>
        <w:top w:val="none" w:sz="0" w:space="0" w:color="auto"/>
        <w:left w:val="none" w:sz="0" w:space="0" w:color="auto"/>
        <w:bottom w:val="none" w:sz="0" w:space="0" w:color="auto"/>
        <w:right w:val="none" w:sz="0" w:space="0" w:color="auto"/>
      </w:divBdr>
    </w:div>
    <w:div w:id="597719185">
      <w:bodyDiv w:val="1"/>
      <w:marLeft w:val="0"/>
      <w:marRight w:val="0"/>
      <w:marTop w:val="0"/>
      <w:marBottom w:val="0"/>
      <w:divBdr>
        <w:top w:val="none" w:sz="0" w:space="0" w:color="auto"/>
        <w:left w:val="none" w:sz="0" w:space="0" w:color="auto"/>
        <w:bottom w:val="none" w:sz="0" w:space="0" w:color="auto"/>
        <w:right w:val="none" w:sz="0" w:space="0" w:color="auto"/>
      </w:divBdr>
    </w:div>
    <w:div w:id="606738121">
      <w:bodyDiv w:val="1"/>
      <w:marLeft w:val="0"/>
      <w:marRight w:val="0"/>
      <w:marTop w:val="0"/>
      <w:marBottom w:val="0"/>
      <w:divBdr>
        <w:top w:val="none" w:sz="0" w:space="0" w:color="auto"/>
        <w:left w:val="none" w:sz="0" w:space="0" w:color="auto"/>
        <w:bottom w:val="none" w:sz="0" w:space="0" w:color="auto"/>
        <w:right w:val="none" w:sz="0" w:space="0" w:color="auto"/>
      </w:divBdr>
    </w:div>
    <w:div w:id="610012870">
      <w:bodyDiv w:val="1"/>
      <w:marLeft w:val="0"/>
      <w:marRight w:val="0"/>
      <w:marTop w:val="0"/>
      <w:marBottom w:val="0"/>
      <w:divBdr>
        <w:top w:val="none" w:sz="0" w:space="0" w:color="auto"/>
        <w:left w:val="none" w:sz="0" w:space="0" w:color="auto"/>
        <w:bottom w:val="none" w:sz="0" w:space="0" w:color="auto"/>
        <w:right w:val="none" w:sz="0" w:space="0" w:color="auto"/>
      </w:divBdr>
    </w:div>
    <w:div w:id="611669645">
      <w:bodyDiv w:val="1"/>
      <w:marLeft w:val="0"/>
      <w:marRight w:val="0"/>
      <w:marTop w:val="0"/>
      <w:marBottom w:val="0"/>
      <w:divBdr>
        <w:top w:val="none" w:sz="0" w:space="0" w:color="auto"/>
        <w:left w:val="none" w:sz="0" w:space="0" w:color="auto"/>
        <w:bottom w:val="none" w:sz="0" w:space="0" w:color="auto"/>
        <w:right w:val="none" w:sz="0" w:space="0" w:color="auto"/>
      </w:divBdr>
    </w:div>
    <w:div w:id="620764718">
      <w:bodyDiv w:val="1"/>
      <w:marLeft w:val="0"/>
      <w:marRight w:val="0"/>
      <w:marTop w:val="0"/>
      <w:marBottom w:val="0"/>
      <w:divBdr>
        <w:top w:val="none" w:sz="0" w:space="0" w:color="auto"/>
        <w:left w:val="none" w:sz="0" w:space="0" w:color="auto"/>
        <w:bottom w:val="none" w:sz="0" w:space="0" w:color="auto"/>
        <w:right w:val="none" w:sz="0" w:space="0" w:color="auto"/>
      </w:divBdr>
    </w:div>
    <w:div w:id="626933198">
      <w:bodyDiv w:val="1"/>
      <w:marLeft w:val="0"/>
      <w:marRight w:val="0"/>
      <w:marTop w:val="0"/>
      <w:marBottom w:val="0"/>
      <w:divBdr>
        <w:top w:val="none" w:sz="0" w:space="0" w:color="auto"/>
        <w:left w:val="none" w:sz="0" w:space="0" w:color="auto"/>
        <w:bottom w:val="none" w:sz="0" w:space="0" w:color="auto"/>
        <w:right w:val="none" w:sz="0" w:space="0" w:color="auto"/>
      </w:divBdr>
    </w:div>
    <w:div w:id="631205570">
      <w:bodyDiv w:val="1"/>
      <w:marLeft w:val="0"/>
      <w:marRight w:val="0"/>
      <w:marTop w:val="0"/>
      <w:marBottom w:val="0"/>
      <w:divBdr>
        <w:top w:val="none" w:sz="0" w:space="0" w:color="auto"/>
        <w:left w:val="none" w:sz="0" w:space="0" w:color="auto"/>
        <w:bottom w:val="none" w:sz="0" w:space="0" w:color="auto"/>
        <w:right w:val="none" w:sz="0" w:space="0" w:color="auto"/>
      </w:divBdr>
    </w:div>
    <w:div w:id="633559812">
      <w:bodyDiv w:val="1"/>
      <w:marLeft w:val="0"/>
      <w:marRight w:val="0"/>
      <w:marTop w:val="0"/>
      <w:marBottom w:val="0"/>
      <w:divBdr>
        <w:top w:val="none" w:sz="0" w:space="0" w:color="auto"/>
        <w:left w:val="none" w:sz="0" w:space="0" w:color="auto"/>
        <w:bottom w:val="none" w:sz="0" w:space="0" w:color="auto"/>
        <w:right w:val="none" w:sz="0" w:space="0" w:color="auto"/>
      </w:divBdr>
    </w:div>
    <w:div w:id="645469856">
      <w:bodyDiv w:val="1"/>
      <w:marLeft w:val="0"/>
      <w:marRight w:val="0"/>
      <w:marTop w:val="0"/>
      <w:marBottom w:val="0"/>
      <w:divBdr>
        <w:top w:val="none" w:sz="0" w:space="0" w:color="auto"/>
        <w:left w:val="none" w:sz="0" w:space="0" w:color="auto"/>
        <w:bottom w:val="none" w:sz="0" w:space="0" w:color="auto"/>
        <w:right w:val="none" w:sz="0" w:space="0" w:color="auto"/>
      </w:divBdr>
    </w:div>
    <w:div w:id="645623774">
      <w:bodyDiv w:val="1"/>
      <w:marLeft w:val="0"/>
      <w:marRight w:val="0"/>
      <w:marTop w:val="0"/>
      <w:marBottom w:val="0"/>
      <w:divBdr>
        <w:top w:val="none" w:sz="0" w:space="0" w:color="auto"/>
        <w:left w:val="none" w:sz="0" w:space="0" w:color="auto"/>
        <w:bottom w:val="none" w:sz="0" w:space="0" w:color="auto"/>
        <w:right w:val="none" w:sz="0" w:space="0" w:color="auto"/>
      </w:divBdr>
    </w:div>
    <w:div w:id="647712714">
      <w:bodyDiv w:val="1"/>
      <w:marLeft w:val="0"/>
      <w:marRight w:val="0"/>
      <w:marTop w:val="0"/>
      <w:marBottom w:val="0"/>
      <w:divBdr>
        <w:top w:val="none" w:sz="0" w:space="0" w:color="auto"/>
        <w:left w:val="none" w:sz="0" w:space="0" w:color="auto"/>
        <w:bottom w:val="none" w:sz="0" w:space="0" w:color="auto"/>
        <w:right w:val="none" w:sz="0" w:space="0" w:color="auto"/>
      </w:divBdr>
    </w:div>
    <w:div w:id="648091390">
      <w:bodyDiv w:val="1"/>
      <w:marLeft w:val="0"/>
      <w:marRight w:val="0"/>
      <w:marTop w:val="0"/>
      <w:marBottom w:val="0"/>
      <w:divBdr>
        <w:top w:val="none" w:sz="0" w:space="0" w:color="auto"/>
        <w:left w:val="none" w:sz="0" w:space="0" w:color="auto"/>
        <w:bottom w:val="none" w:sz="0" w:space="0" w:color="auto"/>
        <w:right w:val="none" w:sz="0" w:space="0" w:color="auto"/>
      </w:divBdr>
    </w:div>
    <w:div w:id="649362396">
      <w:bodyDiv w:val="1"/>
      <w:marLeft w:val="0"/>
      <w:marRight w:val="0"/>
      <w:marTop w:val="0"/>
      <w:marBottom w:val="0"/>
      <w:divBdr>
        <w:top w:val="none" w:sz="0" w:space="0" w:color="auto"/>
        <w:left w:val="none" w:sz="0" w:space="0" w:color="auto"/>
        <w:bottom w:val="none" w:sz="0" w:space="0" w:color="auto"/>
        <w:right w:val="none" w:sz="0" w:space="0" w:color="auto"/>
      </w:divBdr>
    </w:div>
    <w:div w:id="649478191">
      <w:bodyDiv w:val="1"/>
      <w:marLeft w:val="0"/>
      <w:marRight w:val="0"/>
      <w:marTop w:val="0"/>
      <w:marBottom w:val="0"/>
      <w:divBdr>
        <w:top w:val="none" w:sz="0" w:space="0" w:color="auto"/>
        <w:left w:val="none" w:sz="0" w:space="0" w:color="auto"/>
        <w:bottom w:val="none" w:sz="0" w:space="0" w:color="auto"/>
        <w:right w:val="none" w:sz="0" w:space="0" w:color="auto"/>
      </w:divBdr>
    </w:div>
    <w:div w:id="653294093">
      <w:bodyDiv w:val="1"/>
      <w:marLeft w:val="0"/>
      <w:marRight w:val="0"/>
      <w:marTop w:val="0"/>
      <w:marBottom w:val="0"/>
      <w:divBdr>
        <w:top w:val="none" w:sz="0" w:space="0" w:color="auto"/>
        <w:left w:val="none" w:sz="0" w:space="0" w:color="auto"/>
        <w:bottom w:val="none" w:sz="0" w:space="0" w:color="auto"/>
        <w:right w:val="none" w:sz="0" w:space="0" w:color="auto"/>
      </w:divBdr>
    </w:div>
    <w:div w:id="655451025">
      <w:bodyDiv w:val="1"/>
      <w:marLeft w:val="0"/>
      <w:marRight w:val="0"/>
      <w:marTop w:val="0"/>
      <w:marBottom w:val="0"/>
      <w:divBdr>
        <w:top w:val="none" w:sz="0" w:space="0" w:color="auto"/>
        <w:left w:val="none" w:sz="0" w:space="0" w:color="auto"/>
        <w:bottom w:val="none" w:sz="0" w:space="0" w:color="auto"/>
        <w:right w:val="none" w:sz="0" w:space="0" w:color="auto"/>
      </w:divBdr>
    </w:div>
    <w:div w:id="663749311">
      <w:bodyDiv w:val="1"/>
      <w:marLeft w:val="0"/>
      <w:marRight w:val="0"/>
      <w:marTop w:val="0"/>
      <w:marBottom w:val="0"/>
      <w:divBdr>
        <w:top w:val="none" w:sz="0" w:space="0" w:color="auto"/>
        <w:left w:val="none" w:sz="0" w:space="0" w:color="auto"/>
        <w:bottom w:val="none" w:sz="0" w:space="0" w:color="auto"/>
        <w:right w:val="none" w:sz="0" w:space="0" w:color="auto"/>
      </w:divBdr>
    </w:div>
    <w:div w:id="665208542">
      <w:bodyDiv w:val="1"/>
      <w:marLeft w:val="0"/>
      <w:marRight w:val="0"/>
      <w:marTop w:val="0"/>
      <w:marBottom w:val="0"/>
      <w:divBdr>
        <w:top w:val="none" w:sz="0" w:space="0" w:color="auto"/>
        <w:left w:val="none" w:sz="0" w:space="0" w:color="auto"/>
        <w:bottom w:val="none" w:sz="0" w:space="0" w:color="auto"/>
        <w:right w:val="none" w:sz="0" w:space="0" w:color="auto"/>
      </w:divBdr>
    </w:div>
    <w:div w:id="666127251">
      <w:bodyDiv w:val="1"/>
      <w:marLeft w:val="0"/>
      <w:marRight w:val="0"/>
      <w:marTop w:val="0"/>
      <w:marBottom w:val="0"/>
      <w:divBdr>
        <w:top w:val="none" w:sz="0" w:space="0" w:color="auto"/>
        <w:left w:val="none" w:sz="0" w:space="0" w:color="auto"/>
        <w:bottom w:val="none" w:sz="0" w:space="0" w:color="auto"/>
        <w:right w:val="none" w:sz="0" w:space="0" w:color="auto"/>
      </w:divBdr>
    </w:div>
    <w:div w:id="672338950">
      <w:bodyDiv w:val="1"/>
      <w:marLeft w:val="0"/>
      <w:marRight w:val="0"/>
      <w:marTop w:val="0"/>
      <w:marBottom w:val="0"/>
      <w:divBdr>
        <w:top w:val="none" w:sz="0" w:space="0" w:color="auto"/>
        <w:left w:val="none" w:sz="0" w:space="0" w:color="auto"/>
        <w:bottom w:val="none" w:sz="0" w:space="0" w:color="auto"/>
        <w:right w:val="none" w:sz="0" w:space="0" w:color="auto"/>
      </w:divBdr>
    </w:div>
    <w:div w:id="674039858">
      <w:bodyDiv w:val="1"/>
      <w:marLeft w:val="0"/>
      <w:marRight w:val="0"/>
      <w:marTop w:val="0"/>
      <w:marBottom w:val="0"/>
      <w:divBdr>
        <w:top w:val="none" w:sz="0" w:space="0" w:color="auto"/>
        <w:left w:val="none" w:sz="0" w:space="0" w:color="auto"/>
        <w:bottom w:val="none" w:sz="0" w:space="0" w:color="auto"/>
        <w:right w:val="none" w:sz="0" w:space="0" w:color="auto"/>
      </w:divBdr>
    </w:div>
    <w:div w:id="676348507">
      <w:bodyDiv w:val="1"/>
      <w:marLeft w:val="0"/>
      <w:marRight w:val="0"/>
      <w:marTop w:val="0"/>
      <w:marBottom w:val="0"/>
      <w:divBdr>
        <w:top w:val="none" w:sz="0" w:space="0" w:color="auto"/>
        <w:left w:val="none" w:sz="0" w:space="0" w:color="auto"/>
        <w:bottom w:val="none" w:sz="0" w:space="0" w:color="auto"/>
        <w:right w:val="none" w:sz="0" w:space="0" w:color="auto"/>
      </w:divBdr>
    </w:div>
    <w:div w:id="679746699">
      <w:bodyDiv w:val="1"/>
      <w:marLeft w:val="0"/>
      <w:marRight w:val="0"/>
      <w:marTop w:val="0"/>
      <w:marBottom w:val="0"/>
      <w:divBdr>
        <w:top w:val="none" w:sz="0" w:space="0" w:color="auto"/>
        <w:left w:val="none" w:sz="0" w:space="0" w:color="auto"/>
        <w:bottom w:val="none" w:sz="0" w:space="0" w:color="auto"/>
        <w:right w:val="none" w:sz="0" w:space="0" w:color="auto"/>
      </w:divBdr>
    </w:div>
    <w:div w:id="683244970">
      <w:bodyDiv w:val="1"/>
      <w:marLeft w:val="0"/>
      <w:marRight w:val="0"/>
      <w:marTop w:val="0"/>
      <w:marBottom w:val="0"/>
      <w:divBdr>
        <w:top w:val="none" w:sz="0" w:space="0" w:color="auto"/>
        <w:left w:val="none" w:sz="0" w:space="0" w:color="auto"/>
        <w:bottom w:val="none" w:sz="0" w:space="0" w:color="auto"/>
        <w:right w:val="none" w:sz="0" w:space="0" w:color="auto"/>
      </w:divBdr>
    </w:div>
    <w:div w:id="690640885">
      <w:bodyDiv w:val="1"/>
      <w:marLeft w:val="0"/>
      <w:marRight w:val="0"/>
      <w:marTop w:val="0"/>
      <w:marBottom w:val="0"/>
      <w:divBdr>
        <w:top w:val="none" w:sz="0" w:space="0" w:color="auto"/>
        <w:left w:val="none" w:sz="0" w:space="0" w:color="auto"/>
        <w:bottom w:val="none" w:sz="0" w:space="0" w:color="auto"/>
        <w:right w:val="none" w:sz="0" w:space="0" w:color="auto"/>
      </w:divBdr>
    </w:div>
    <w:div w:id="702753310">
      <w:bodyDiv w:val="1"/>
      <w:marLeft w:val="0"/>
      <w:marRight w:val="0"/>
      <w:marTop w:val="0"/>
      <w:marBottom w:val="0"/>
      <w:divBdr>
        <w:top w:val="none" w:sz="0" w:space="0" w:color="auto"/>
        <w:left w:val="none" w:sz="0" w:space="0" w:color="auto"/>
        <w:bottom w:val="none" w:sz="0" w:space="0" w:color="auto"/>
        <w:right w:val="none" w:sz="0" w:space="0" w:color="auto"/>
      </w:divBdr>
    </w:div>
    <w:div w:id="712726660">
      <w:bodyDiv w:val="1"/>
      <w:marLeft w:val="0"/>
      <w:marRight w:val="0"/>
      <w:marTop w:val="0"/>
      <w:marBottom w:val="0"/>
      <w:divBdr>
        <w:top w:val="none" w:sz="0" w:space="0" w:color="auto"/>
        <w:left w:val="none" w:sz="0" w:space="0" w:color="auto"/>
        <w:bottom w:val="none" w:sz="0" w:space="0" w:color="auto"/>
        <w:right w:val="none" w:sz="0" w:space="0" w:color="auto"/>
      </w:divBdr>
    </w:div>
    <w:div w:id="716513192">
      <w:bodyDiv w:val="1"/>
      <w:marLeft w:val="0"/>
      <w:marRight w:val="0"/>
      <w:marTop w:val="0"/>
      <w:marBottom w:val="0"/>
      <w:divBdr>
        <w:top w:val="none" w:sz="0" w:space="0" w:color="auto"/>
        <w:left w:val="none" w:sz="0" w:space="0" w:color="auto"/>
        <w:bottom w:val="none" w:sz="0" w:space="0" w:color="auto"/>
        <w:right w:val="none" w:sz="0" w:space="0" w:color="auto"/>
      </w:divBdr>
    </w:div>
    <w:div w:id="725182370">
      <w:bodyDiv w:val="1"/>
      <w:marLeft w:val="0"/>
      <w:marRight w:val="0"/>
      <w:marTop w:val="0"/>
      <w:marBottom w:val="0"/>
      <w:divBdr>
        <w:top w:val="none" w:sz="0" w:space="0" w:color="auto"/>
        <w:left w:val="none" w:sz="0" w:space="0" w:color="auto"/>
        <w:bottom w:val="none" w:sz="0" w:space="0" w:color="auto"/>
        <w:right w:val="none" w:sz="0" w:space="0" w:color="auto"/>
      </w:divBdr>
    </w:div>
    <w:div w:id="746876471">
      <w:bodyDiv w:val="1"/>
      <w:marLeft w:val="0"/>
      <w:marRight w:val="0"/>
      <w:marTop w:val="0"/>
      <w:marBottom w:val="0"/>
      <w:divBdr>
        <w:top w:val="none" w:sz="0" w:space="0" w:color="auto"/>
        <w:left w:val="none" w:sz="0" w:space="0" w:color="auto"/>
        <w:bottom w:val="none" w:sz="0" w:space="0" w:color="auto"/>
        <w:right w:val="none" w:sz="0" w:space="0" w:color="auto"/>
      </w:divBdr>
    </w:div>
    <w:div w:id="760369455">
      <w:bodyDiv w:val="1"/>
      <w:marLeft w:val="0"/>
      <w:marRight w:val="0"/>
      <w:marTop w:val="0"/>
      <w:marBottom w:val="0"/>
      <w:divBdr>
        <w:top w:val="none" w:sz="0" w:space="0" w:color="auto"/>
        <w:left w:val="none" w:sz="0" w:space="0" w:color="auto"/>
        <w:bottom w:val="none" w:sz="0" w:space="0" w:color="auto"/>
        <w:right w:val="none" w:sz="0" w:space="0" w:color="auto"/>
      </w:divBdr>
    </w:div>
    <w:div w:id="762340128">
      <w:bodyDiv w:val="1"/>
      <w:marLeft w:val="0"/>
      <w:marRight w:val="0"/>
      <w:marTop w:val="0"/>
      <w:marBottom w:val="0"/>
      <w:divBdr>
        <w:top w:val="none" w:sz="0" w:space="0" w:color="auto"/>
        <w:left w:val="none" w:sz="0" w:space="0" w:color="auto"/>
        <w:bottom w:val="none" w:sz="0" w:space="0" w:color="auto"/>
        <w:right w:val="none" w:sz="0" w:space="0" w:color="auto"/>
      </w:divBdr>
    </w:div>
    <w:div w:id="764034852">
      <w:bodyDiv w:val="1"/>
      <w:marLeft w:val="0"/>
      <w:marRight w:val="0"/>
      <w:marTop w:val="0"/>
      <w:marBottom w:val="0"/>
      <w:divBdr>
        <w:top w:val="none" w:sz="0" w:space="0" w:color="auto"/>
        <w:left w:val="none" w:sz="0" w:space="0" w:color="auto"/>
        <w:bottom w:val="none" w:sz="0" w:space="0" w:color="auto"/>
        <w:right w:val="none" w:sz="0" w:space="0" w:color="auto"/>
      </w:divBdr>
    </w:div>
    <w:div w:id="768623308">
      <w:bodyDiv w:val="1"/>
      <w:marLeft w:val="0"/>
      <w:marRight w:val="0"/>
      <w:marTop w:val="0"/>
      <w:marBottom w:val="0"/>
      <w:divBdr>
        <w:top w:val="none" w:sz="0" w:space="0" w:color="auto"/>
        <w:left w:val="none" w:sz="0" w:space="0" w:color="auto"/>
        <w:bottom w:val="none" w:sz="0" w:space="0" w:color="auto"/>
        <w:right w:val="none" w:sz="0" w:space="0" w:color="auto"/>
      </w:divBdr>
    </w:div>
    <w:div w:id="771359488">
      <w:bodyDiv w:val="1"/>
      <w:marLeft w:val="0"/>
      <w:marRight w:val="0"/>
      <w:marTop w:val="0"/>
      <w:marBottom w:val="0"/>
      <w:divBdr>
        <w:top w:val="none" w:sz="0" w:space="0" w:color="auto"/>
        <w:left w:val="none" w:sz="0" w:space="0" w:color="auto"/>
        <w:bottom w:val="none" w:sz="0" w:space="0" w:color="auto"/>
        <w:right w:val="none" w:sz="0" w:space="0" w:color="auto"/>
      </w:divBdr>
    </w:div>
    <w:div w:id="779452088">
      <w:bodyDiv w:val="1"/>
      <w:marLeft w:val="0"/>
      <w:marRight w:val="0"/>
      <w:marTop w:val="0"/>
      <w:marBottom w:val="0"/>
      <w:divBdr>
        <w:top w:val="none" w:sz="0" w:space="0" w:color="auto"/>
        <w:left w:val="none" w:sz="0" w:space="0" w:color="auto"/>
        <w:bottom w:val="none" w:sz="0" w:space="0" w:color="auto"/>
        <w:right w:val="none" w:sz="0" w:space="0" w:color="auto"/>
      </w:divBdr>
    </w:div>
    <w:div w:id="780686364">
      <w:bodyDiv w:val="1"/>
      <w:marLeft w:val="0"/>
      <w:marRight w:val="0"/>
      <w:marTop w:val="0"/>
      <w:marBottom w:val="0"/>
      <w:divBdr>
        <w:top w:val="none" w:sz="0" w:space="0" w:color="auto"/>
        <w:left w:val="none" w:sz="0" w:space="0" w:color="auto"/>
        <w:bottom w:val="none" w:sz="0" w:space="0" w:color="auto"/>
        <w:right w:val="none" w:sz="0" w:space="0" w:color="auto"/>
      </w:divBdr>
    </w:div>
    <w:div w:id="785387890">
      <w:bodyDiv w:val="1"/>
      <w:marLeft w:val="0"/>
      <w:marRight w:val="0"/>
      <w:marTop w:val="0"/>
      <w:marBottom w:val="0"/>
      <w:divBdr>
        <w:top w:val="none" w:sz="0" w:space="0" w:color="auto"/>
        <w:left w:val="none" w:sz="0" w:space="0" w:color="auto"/>
        <w:bottom w:val="none" w:sz="0" w:space="0" w:color="auto"/>
        <w:right w:val="none" w:sz="0" w:space="0" w:color="auto"/>
      </w:divBdr>
    </w:div>
    <w:div w:id="791288078">
      <w:bodyDiv w:val="1"/>
      <w:marLeft w:val="0"/>
      <w:marRight w:val="0"/>
      <w:marTop w:val="0"/>
      <w:marBottom w:val="0"/>
      <w:divBdr>
        <w:top w:val="none" w:sz="0" w:space="0" w:color="auto"/>
        <w:left w:val="none" w:sz="0" w:space="0" w:color="auto"/>
        <w:bottom w:val="none" w:sz="0" w:space="0" w:color="auto"/>
        <w:right w:val="none" w:sz="0" w:space="0" w:color="auto"/>
      </w:divBdr>
    </w:div>
    <w:div w:id="794831073">
      <w:bodyDiv w:val="1"/>
      <w:marLeft w:val="0"/>
      <w:marRight w:val="0"/>
      <w:marTop w:val="0"/>
      <w:marBottom w:val="0"/>
      <w:divBdr>
        <w:top w:val="none" w:sz="0" w:space="0" w:color="auto"/>
        <w:left w:val="none" w:sz="0" w:space="0" w:color="auto"/>
        <w:bottom w:val="none" w:sz="0" w:space="0" w:color="auto"/>
        <w:right w:val="none" w:sz="0" w:space="0" w:color="auto"/>
      </w:divBdr>
    </w:div>
    <w:div w:id="810098039">
      <w:bodyDiv w:val="1"/>
      <w:marLeft w:val="0"/>
      <w:marRight w:val="0"/>
      <w:marTop w:val="0"/>
      <w:marBottom w:val="0"/>
      <w:divBdr>
        <w:top w:val="none" w:sz="0" w:space="0" w:color="auto"/>
        <w:left w:val="none" w:sz="0" w:space="0" w:color="auto"/>
        <w:bottom w:val="none" w:sz="0" w:space="0" w:color="auto"/>
        <w:right w:val="none" w:sz="0" w:space="0" w:color="auto"/>
      </w:divBdr>
    </w:div>
    <w:div w:id="811680829">
      <w:bodyDiv w:val="1"/>
      <w:marLeft w:val="0"/>
      <w:marRight w:val="0"/>
      <w:marTop w:val="0"/>
      <w:marBottom w:val="0"/>
      <w:divBdr>
        <w:top w:val="none" w:sz="0" w:space="0" w:color="auto"/>
        <w:left w:val="none" w:sz="0" w:space="0" w:color="auto"/>
        <w:bottom w:val="none" w:sz="0" w:space="0" w:color="auto"/>
        <w:right w:val="none" w:sz="0" w:space="0" w:color="auto"/>
      </w:divBdr>
    </w:div>
    <w:div w:id="816805315">
      <w:bodyDiv w:val="1"/>
      <w:marLeft w:val="0"/>
      <w:marRight w:val="0"/>
      <w:marTop w:val="0"/>
      <w:marBottom w:val="0"/>
      <w:divBdr>
        <w:top w:val="none" w:sz="0" w:space="0" w:color="auto"/>
        <w:left w:val="none" w:sz="0" w:space="0" w:color="auto"/>
        <w:bottom w:val="none" w:sz="0" w:space="0" w:color="auto"/>
        <w:right w:val="none" w:sz="0" w:space="0" w:color="auto"/>
      </w:divBdr>
    </w:div>
    <w:div w:id="817497304">
      <w:bodyDiv w:val="1"/>
      <w:marLeft w:val="0"/>
      <w:marRight w:val="0"/>
      <w:marTop w:val="0"/>
      <w:marBottom w:val="0"/>
      <w:divBdr>
        <w:top w:val="none" w:sz="0" w:space="0" w:color="auto"/>
        <w:left w:val="none" w:sz="0" w:space="0" w:color="auto"/>
        <w:bottom w:val="none" w:sz="0" w:space="0" w:color="auto"/>
        <w:right w:val="none" w:sz="0" w:space="0" w:color="auto"/>
      </w:divBdr>
    </w:div>
    <w:div w:id="819809263">
      <w:bodyDiv w:val="1"/>
      <w:marLeft w:val="0"/>
      <w:marRight w:val="0"/>
      <w:marTop w:val="0"/>
      <w:marBottom w:val="0"/>
      <w:divBdr>
        <w:top w:val="none" w:sz="0" w:space="0" w:color="auto"/>
        <w:left w:val="none" w:sz="0" w:space="0" w:color="auto"/>
        <w:bottom w:val="none" w:sz="0" w:space="0" w:color="auto"/>
        <w:right w:val="none" w:sz="0" w:space="0" w:color="auto"/>
      </w:divBdr>
    </w:div>
    <w:div w:id="829948422">
      <w:bodyDiv w:val="1"/>
      <w:marLeft w:val="0"/>
      <w:marRight w:val="0"/>
      <w:marTop w:val="0"/>
      <w:marBottom w:val="0"/>
      <w:divBdr>
        <w:top w:val="none" w:sz="0" w:space="0" w:color="auto"/>
        <w:left w:val="none" w:sz="0" w:space="0" w:color="auto"/>
        <w:bottom w:val="none" w:sz="0" w:space="0" w:color="auto"/>
        <w:right w:val="none" w:sz="0" w:space="0" w:color="auto"/>
      </w:divBdr>
    </w:div>
    <w:div w:id="831215229">
      <w:bodyDiv w:val="1"/>
      <w:marLeft w:val="0"/>
      <w:marRight w:val="0"/>
      <w:marTop w:val="0"/>
      <w:marBottom w:val="0"/>
      <w:divBdr>
        <w:top w:val="none" w:sz="0" w:space="0" w:color="auto"/>
        <w:left w:val="none" w:sz="0" w:space="0" w:color="auto"/>
        <w:bottom w:val="none" w:sz="0" w:space="0" w:color="auto"/>
        <w:right w:val="none" w:sz="0" w:space="0" w:color="auto"/>
      </w:divBdr>
    </w:div>
    <w:div w:id="840700230">
      <w:bodyDiv w:val="1"/>
      <w:marLeft w:val="0"/>
      <w:marRight w:val="0"/>
      <w:marTop w:val="0"/>
      <w:marBottom w:val="0"/>
      <w:divBdr>
        <w:top w:val="none" w:sz="0" w:space="0" w:color="auto"/>
        <w:left w:val="none" w:sz="0" w:space="0" w:color="auto"/>
        <w:bottom w:val="none" w:sz="0" w:space="0" w:color="auto"/>
        <w:right w:val="none" w:sz="0" w:space="0" w:color="auto"/>
      </w:divBdr>
    </w:div>
    <w:div w:id="841503397">
      <w:bodyDiv w:val="1"/>
      <w:marLeft w:val="0"/>
      <w:marRight w:val="0"/>
      <w:marTop w:val="0"/>
      <w:marBottom w:val="0"/>
      <w:divBdr>
        <w:top w:val="none" w:sz="0" w:space="0" w:color="auto"/>
        <w:left w:val="none" w:sz="0" w:space="0" w:color="auto"/>
        <w:bottom w:val="none" w:sz="0" w:space="0" w:color="auto"/>
        <w:right w:val="none" w:sz="0" w:space="0" w:color="auto"/>
      </w:divBdr>
    </w:div>
    <w:div w:id="849104588">
      <w:bodyDiv w:val="1"/>
      <w:marLeft w:val="0"/>
      <w:marRight w:val="0"/>
      <w:marTop w:val="0"/>
      <w:marBottom w:val="0"/>
      <w:divBdr>
        <w:top w:val="none" w:sz="0" w:space="0" w:color="auto"/>
        <w:left w:val="none" w:sz="0" w:space="0" w:color="auto"/>
        <w:bottom w:val="none" w:sz="0" w:space="0" w:color="auto"/>
        <w:right w:val="none" w:sz="0" w:space="0" w:color="auto"/>
      </w:divBdr>
    </w:div>
    <w:div w:id="854809380">
      <w:bodyDiv w:val="1"/>
      <w:marLeft w:val="0"/>
      <w:marRight w:val="0"/>
      <w:marTop w:val="0"/>
      <w:marBottom w:val="0"/>
      <w:divBdr>
        <w:top w:val="none" w:sz="0" w:space="0" w:color="auto"/>
        <w:left w:val="none" w:sz="0" w:space="0" w:color="auto"/>
        <w:bottom w:val="none" w:sz="0" w:space="0" w:color="auto"/>
        <w:right w:val="none" w:sz="0" w:space="0" w:color="auto"/>
      </w:divBdr>
    </w:div>
    <w:div w:id="856577858">
      <w:bodyDiv w:val="1"/>
      <w:marLeft w:val="0"/>
      <w:marRight w:val="0"/>
      <w:marTop w:val="0"/>
      <w:marBottom w:val="0"/>
      <w:divBdr>
        <w:top w:val="none" w:sz="0" w:space="0" w:color="auto"/>
        <w:left w:val="none" w:sz="0" w:space="0" w:color="auto"/>
        <w:bottom w:val="none" w:sz="0" w:space="0" w:color="auto"/>
        <w:right w:val="none" w:sz="0" w:space="0" w:color="auto"/>
      </w:divBdr>
    </w:div>
    <w:div w:id="857037178">
      <w:bodyDiv w:val="1"/>
      <w:marLeft w:val="0"/>
      <w:marRight w:val="0"/>
      <w:marTop w:val="0"/>
      <w:marBottom w:val="0"/>
      <w:divBdr>
        <w:top w:val="none" w:sz="0" w:space="0" w:color="auto"/>
        <w:left w:val="none" w:sz="0" w:space="0" w:color="auto"/>
        <w:bottom w:val="none" w:sz="0" w:space="0" w:color="auto"/>
        <w:right w:val="none" w:sz="0" w:space="0" w:color="auto"/>
      </w:divBdr>
    </w:div>
    <w:div w:id="861355672">
      <w:bodyDiv w:val="1"/>
      <w:marLeft w:val="0"/>
      <w:marRight w:val="0"/>
      <w:marTop w:val="0"/>
      <w:marBottom w:val="0"/>
      <w:divBdr>
        <w:top w:val="none" w:sz="0" w:space="0" w:color="auto"/>
        <w:left w:val="none" w:sz="0" w:space="0" w:color="auto"/>
        <w:bottom w:val="none" w:sz="0" w:space="0" w:color="auto"/>
        <w:right w:val="none" w:sz="0" w:space="0" w:color="auto"/>
      </w:divBdr>
    </w:div>
    <w:div w:id="870412058">
      <w:bodyDiv w:val="1"/>
      <w:marLeft w:val="0"/>
      <w:marRight w:val="0"/>
      <w:marTop w:val="0"/>
      <w:marBottom w:val="0"/>
      <w:divBdr>
        <w:top w:val="none" w:sz="0" w:space="0" w:color="auto"/>
        <w:left w:val="none" w:sz="0" w:space="0" w:color="auto"/>
        <w:bottom w:val="none" w:sz="0" w:space="0" w:color="auto"/>
        <w:right w:val="none" w:sz="0" w:space="0" w:color="auto"/>
      </w:divBdr>
    </w:div>
    <w:div w:id="871184520">
      <w:bodyDiv w:val="1"/>
      <w:marLeft w:val="0"/>
      <w:marRight w:val="0"/>
      <w:marTop w:val="0"/>
      <w:marBottom w:val="0"/>
      <w:divBdr>
        <w:top w:val="none" w:sz="0" w:space="0" w:color="auto"/>
        <w:left w:val="none" w:sz="0" w:space="0" w:color="auto"/>
        <w:bottom w:val="none" w:sz="0" w:space="0" w:color="auto"/>
        <w:right w:val="none" w:sz="0" w:space="0" w:color="auto"/>
      </w:divBdr>
    </w:div>
    <w:div w:id="873688440">
      <w:bodyDiv w:val="1"/>
      <w:marLeft w:val="0"/>
      <w:marRight w:val="0"/>
      <w:marTop w:val="0"/>
      <w:marBottom w:val="0"/>
      <w:divBdr>
        <w:top w:val="none" w:sz="0" w:space="0" w:color="auto"/>
        <w:left w:val="none" w:sz="0" w:space="0" w:color="auto"/>
        <w:bottom w:val="none" w:sz="0" w:space="0" w:color="auto"/>
        <w:right w:val="none" w:sz="0" w:space="0" w:color="auto"/>
      </w:divBdr>
    </w:div>
    <w:div w:id="884409948">
      <w:bodyDiv w:val="1"/>
      <w:marLeft w:val="0"/>
      <w:marRight w:val="0"/>
      <w:marTop w:val="0"/>
      <w:marBottom w:val="0"/>
      <w:divBdr>
        <w:top w:val="none" w:sz="0" w:space="0" w:color="auto"/>
        <w:left w:val="none" w:sz="0" w:space="0" w:color="auto"/>
        <w:bottom w:val="none" w:sz="0" w:space="0" w:color="auto"/>
        <w:right w:val="none" w:sz="0" w:space="0" w:color="auto"/>
      </w:divBdr>
    </w:div>
    <w:div w:id="885027943">
      <w:bodyDiv w:val="1"/>
      <w:marLeft w:val="0"/>
      <w:marRight w:val="0"/>
      <w:marTop w:val="0"/>
      <w:marBottom w:val="0"/>
      <w:divBdr>
        <w:top w:val="none" w:sz="0" w:space="0" w:color="auto"/>
        <w:left w:val="none" w:sz="0" w:space="0" w:color="auto"/>
        <w:bottom w:val="none" w:sz="0" w:space="0" w:color="auto"/>
        <w:right w:val="none" w:sz="0" w:space="0" w:color="auto"/>
      </w:divBdr>
    </w:div>
    <w:div w:id="895820347">
      <w:bodyDiv w:val="1"/>
      <w:marLeft w:val="0"/>
      <w:marRight w:val="0"/>
      <w:marTop w:val="0"/>
      <w:marBottom w:val="0"/>
      <w:divBdr>
        <w:top w:val="none" w:sz="0" w:space="0" w:color="auto"/>
        <w:left w:val="none" w:sz="0" w:space="0" w:color="auto"/>
        <w:bottom w:val="none" w:sz="0" w:space="0" w:color="auto"/>
        <w:right w:val="none" w:sz="0" w:space="0" w:color="auto"/>
      </w:divBdr>
    </w:div>
    <w:div w:id="898629792">
      <w:bodyDiv w:val="1"/>
      <w:marLeft w:val="0"/>
      <w:marRight w:val="0"/>
      <w:marTop w:val="0"/>
      <w:marBottom w:val="0"/>
      <w:divBdr>
        <w:top w:val="none" w:sz="0" w:space="0" w:color="auto"/>
        <w:left w:val="none" w:sz="0" w:space="0" w:color="auto"/>
        <w:bottom w:val="none" w:sz="0" w:space="0" w:color="auto"/>
        <w:right w:val="none" w:sz="0" w:space="0" w:color="auto"/>
      </w:divBdr>
    </w:div>
    <w:div w:id="903418176">
      <w:bodyDiv w:val="1"/>
      <w:marLeft w:val="0"/>
      <w:marRight w:val="0"/>
      <w:marTop w:val="0"/>
      <w:marBottom w:val="0"/>
      <w:divBdr>
        <w:top w:val="none" w:sz="0" w:space="0" w:color="auto"/>
        <w:left w:val="none" w:sz="0" w:space="0" w:color="auto"/>
        <w:bottom w:val="none" w:sz="0" w:space="0" w:color="auto"/>
        <w:right w:val="none" w:sz="0" w:space="0" w:color="auto"/>
      </w:divBdr>
    </w:div>
    <w:div w:id="907421381">
      <w:bodyDiv w:val="1"/>
      <w:marLeft w:val="0"/>
      <w:marRight w:val="0"/>
      <w:marTop w:val="0"/>
      <w:marBottom w:val="0"/>
      <w:divBdr>
        <w:top w:val="none" w:sz="0" w:space="0" w:color="auto"/>
        <w:left w:val="none" w:sz="0" w:space="0" w:color="auto"/>
        <w:bottom w:val="none" w:sz="0" w:space="0" w:color="auto"/>
        <w:right w:val="none" w:sz="0" w:space="0" w:color="auto"/>
      </w:divBdr>
    </w:div>
    <w:div w:id="910196378">
      <w:bodyDiv w:val="1"/>
      <w:marLeft w:val="0"/>
      <w:marRight w:val="0"/>
      <w:marTop w:val="0"/>
      <w:marBottom w:val="0"/>
      <w:divBdr>
        <w:top w:val="none" w:sz="0" w:space="0" w:color="auto"/>
        <w:left w:val="none" w:sz="0" w:space="0" w:color="auto"/>
        <w:bottom w:val="none" w:sz="0" w:space="0" w:color="auto"/>
        <w:right w:val="none" w:sz="0" w:space="0" w:color="auto"/>
      </w:divBdr>
    </w:div>
    <w:div w:id="910964171">
      <w:bodyDiv w:val="1"/>
      <w:marLeft w:val="0"/>
      <w:marRight w:val="0"/>
      <w:marTop w:val="0"/>
      <w:marBottom w:val="0"/>
      <w:divBdr>
        <w:top w:val="none" w:sz="0" w:space="0" w:color="auto"/>
        <w:left w:val="none" w:sz="0" w:space="0" w:color="auto"/>
        <w:bottom w:val="none" w:sz="0" w:space="0" w:color="auto"/>
        <w:right w:val="none" w:sz="0" w:space="0" w:color="auto"/>
      </w:divBdr>
    </w:div>
    <w:div w:id="915824224">
      <w:bodyDiv w:val="1"/>
      <w:marLeft w:val="0"/>
      <w:marRight w:val="0"/>
      <w:marTop w:val="0"/>
      <w:marBottom w:val="0"/>
      <w:divBdr>
        <w:top w:val="none" w:sz="0" w:space="0" w:color="auto"/>
        <w:left w:val="none" w:sz="0" w:space="0" w:color="auto"/>
        <w:bottom w:val="none" w:sz="0" w:space="0" w:color="auto"/>
        <w:right w:val="none" w:sz="0" w:space="0" w:color="auto"/>
      </w:divBdr>
    </w:div>
    <w:div w:id="919291743">
      <w:bodyDiv w:val="1"/>
      <w:marLeft w:val="0"/>
      <w:marRight w:val="0"/>
      <w:marTop w:val="0"/>
      <w:marBottom w:val="0"/>
      <w:divBdr>
        <w:top w:val="none" w:sz="0" w:space="0" w:color="auto"/>
        <w:left w:val="none" w:sz="0" w:space="0" w:color="auto"/>
        <w:bottom w:val="none" w:sz="0" w:space="0" w:color="auto"/>
        <w:right w:val="none" w:sz="0" w:space="0" w:color="auto"/>
      </w:divBdr>
    </w:div>
    <w:div w:id="929391852">
      <w:bodyDiv w:val="1"/>
      <w:marLeft w:val="0"/>
      <w:marRight w:val="0"/>
      <w:marTop w:val="0"/>
      <w:marBottom w:val="0"/>
      <w:divBdr>
        <w:top w:val="none" w:sz="0" w:space="0" w:color="auto"/>
        <w:left w:val="none" w:sz="0" w:space="0" w:color="auto"/>
        <w:bottom w:val="none" w:sz="0" w:space="0" w:color="auto"/>
        <w:right w:val="none" w:sz="0" w:space="0" w:color="auto"/>
      </w:divBdr>
    </w:div>
    <w:div w:id="941688829">
      <w:bodyDiv w:val="1"/>
      <w:marLeft w:val="0"/>
      <w:marRight w:val="0"/>
      <w:marTop w:val="0"/>
      <w:marBottom w:val="0"/>
      <w:divBdr>
        <w:top w:val="none" w:sz="0" w:space="0" w:color="auto"/>
        <w:left w:val="none" w:sz="0" w:space="0" w:color="auto"/>
        <w:bottom w:val="none" w:sz="0" w:space="0" w:color="auto"/>
        <w:right w:val="none" w:sz="0" w:space="0" w:color="auto"/>
      </w:divBdr>
    </w:div>
    <w:div w:id="943879979">
      <w:bodyDiv w:val="1"/>
      <w:marLeft w:val="0"/>
      <w:marRight w:val="0"/>
      <w:marTop w:val="0"/>
      <w:marBottom w:val="0"/>
      <w:divBdr>
        <w:top w:val="none" w:sz="0" w:space="0" w:color="auto"/>
        <w:left w:val="none" w:sz="0" w:space="0" w:color="auto"/>
        <w:bottom w:val="none" w:sz="0" w:space="0" w:color="auto"/>
        <w:right w:val="none" w:sz="0" w:space="0" w:color="auto"/>
      </w:divBdr>
    </w:div>
    <w:div w:id="945307542">
      <w:bodyDiv w:val="1"/>
      <w:marLeft w:val="0"/>
      <w:marRight w:val="0"/>
      <w:marTop w:val="0"/>
      <w:marBottom w:val="0"/>
      <w:divBdr>
        <w:top w:val="none" w:sz="0" w:space="0" w:color="auto"/>
        <w:left w:val="none" w:sz="0" w:space="0" w:color="auto"/>
        <w:bottom w:val="none" w:sz="0" w:space="0" w:color="auto"/>
        <w:right w:val="none" w:sz="0" w:space="0" w:color="auto"/>
      </w:divBdr>
    </w:div>
    <w:div w:id="947011486">
      <w:bodyDiv w:val="1"/>
      <w:marLeft w:val="0"/>
      <w:marRight w:val="0"/>
      <w:marTop w:val="0"/>
      <w:marBottom w:val="0"/>
      <w:divBdr>
        <w:top w:val="none" w:sz="0" w:space="0" w:color="auto"/>
        <w:left w:val="none" w:sz="0" w:space="0" w:color="auto"/>
        <w:bottom w:val="none" w:sz="0" w:space="0" w:color="auto"/>
        <w:right w:val="none" w:sz="0" w:space="0" w:color="auto"/>
      </w:divBdr>
    </w:div>
    <w:div w:id="947808203">
      <w:bodyDiv w:val="1"/>
      <w:marLeft w:val="0"/>
      <w:marRight w:val="0"/>
      <w:marTop w:val="0"/>
      <w:marBottom w:val="0"/>
      <w:divBdr>
        <w:top w:val="none" w:sz="0" w:space="0" w:color="auto"/>
        <w:left w:val="none" w:sz="0" w:space="0" w:color="auto"/>
        <w:bottom w:val="none" w:sz="0" w:space="0" w:color="auto"/>
        <w:right w:val="none" w:sz="0" w:space="0" w:color="auto"/>
      </w:divBdr>
    </w:div>
    <w:div w:id="948314398">
      <w:bodyDiv w:val="1"/>
      <w:marLeft w:val="0"/>
      <w:marRight w:val="0"/>
      <w:marTop w:val="0"/>
      <w:marBottom w:val="0"/>
      <w:divBdr>
        <w:top w:val="none" w:sz="0" w:space="0" w:color="auto"/>
        <w:left w:val="none" w:sz="0" w:space="0" w:color="auto"/>
        <w:bottom w:val="none" w:sz="0" w:space="0" w:color="auto"/>
        <w:right w:val="none" w:sz="0" w:space="0" w:color="auto"/>
      </w:divBdr>
    </w:div>
    <w:div w:id="954285907">
      <w:bodyDiv w:val="1"/>
      <w:marLeft w:val="0"/>
      <w:marRight w:val="0"/>
      <w:marTop w:val="0"/>
      <w:marBottom w:val="0"/>
      <w:divBdr>
        <w:top w:val="none" w:sz="0" w:space="0" w:color="auto"/>
        <w:left w:val="none" w:sz="0" w:space="0" w:color="auto"/>
        <w:bottom w:val="none" w:sz="0" w:space="0" w:color="auto"/>
        <w:right w:val="none" w:sz="0" w:space="0" w:color="auto"/>
      </w:divBdr>
    </w:div>
    <w:div w:id="958411653">
      <w:bodyDiv w:val="1"/>
      <w:marLeft w:val="0"/>
      <w:marRight w:val="0"/>
      <w:marTop w:val="0"/>
      <w:marBottom w:val="0"/>
      <w:divBdr>
        <w:top w:val="none" w:sz="0" w:space="0" w:color="auto"/>
        <w:left w:val="none" w:sz="0" w:space="0" w:color="auto"/>
        <w:bottom w:val="none" w:sz="0" w:space="0" w:color="auto"/>
        <w:right w:val="none" w:sz="0" w:space="0" w:color="auto"/>
      </w:divBdr>
    </w:div>
    <w:div w:id="962200103">
      <w:bodyDiv w:val="1"/>
      <w:marLeft w:val="0"/>
      <w:marRight w:val="0"/>
      <w:marTop w:val="0"/>
      <w:marBottom w:val="0"/>
      <w:divBdr>
        <w:top w:val="none" w:sz="0" w:space="0" w:color="auto"/>
        <w:left w:val="none" w:sz="0" w:space="0" w:color="auto"/>
        <w:bottom w:val="none" w:sz="0" w:space="0" w:color="auto"/>
        <w:right w:val="none" w:sz="0" w:space="0" w:color="auto"/>
      </w:divBdr>
    </w:div>
    <w:div w:id="962882887">
      <w:bodyDiv w:val="1"/>
      <w:marLeft w:val="0"/>
      <w:marRight w:val="0"/>
      <w:marTop w:val="0"/>
      <w:marBottom w:val="0"/>
      <w:divBdr>
        <w:top w:val="none" w:sz="0" w:space="0" w:color="auto"/>
        <w:left w:val="none" w:sz="0" w:space="0" w:color="auto"/>
        <w:bottom w:val="none" w:sz="0" w:space="0" w:color="auto"/>
        <w:right w:val="none" w:sz="0" w:space="0" w:color="auto"/>
      </w:divBdr>
    </w:div>
    <w:div w:id="972293117">
      <w:bodyDiv w:val="1"/>
      <w:marLeft w:val="0"/>
      <w:marRight w:val="0"/>
      <w:marTop w:val="0"/>
      <w:marBottom w:val="0"/>
      <w:divBdr>
        <w:top w:val="none" w:sz="0" w:space="0" w:color="auto"/>
        <w:left w:val="none" w:sz="0" w:space="0" w:color="auto"/>
        <w:bottom w:val="none" w:sz="0" w:space="0" w:color="auto"/>
        <w:right w:val="none" w:sz="0" w:space="0" w:color="auto"/>
      </w:divBdr>
    </w:div>
    <w:div w:id="982467737">
      <w:bodyDiv w:val="1"/>
      <w:marLeft w:val="0"/>
      <w:marRight w:val="0"/>
      <w:marTop w:val="0"/>
      <w:marBottom w:val="0"/>
      <w:divBdr>
        <w:top w:val="none" w:sz="0" w:space="0" w:color="auto"/>
        <w:left w:val="none" w:sz="0" w:space="0" w:color="auto"/>
        <w:bottom w:val="none" w:sz="0" w:space="0" w:color="auto"/>
        <w:right w:val="none" w:sz="0" w:space="0" w:color="auto"/>
      </w:divBdr>
    </w:div>
    <w:div w:id="984243901">
      <w:bodyDiv w:val="1"/>
      <w:marLeft w:val="0"/>
      <w:marRight w:val="0"/>
      <w:marTop w:val="0"/>
      <w:marBottom w:val="0"/>
      <w:divBdr>
        <w:top w:val="none" w:sz="0" w:space="0" w:color="auto"/>
        <w:left w:val="none" w:sz="0" w:space="0" w:color="auto"/>
        <w:bottom w:val="none" w:sz="0" w:space="0" w:color="auto"/>
        <w:right w:val="none" w:sz="0" w:space="0" w:color="auto"/>
      </w:divBdr>
    </w:div>
    <w:div w:id="985864814">
      <w:bodyDiv w:val="1"/>
      <w:marLeft w:val="0"/>
      <w:marRight w:val="0"/>
      <w:marTop w:val="0"/>
      <w:marBottom w:val="0"/>
      <w:divBdr>
        <w:top w:val="none" w:sz="0" w:space="0" w:color="auto"/>
        <w:left w:val="none" w:sz="0" w:space="0" w:color="auto"/>
        <w:bottom w:val="none" w:sz="0" w:space="0" w:color="auto"/>
        <w:right w:val="none" w:sz="0" w:space="0" w:color="auto"/>
      </w:divBdr>
    </w:div>
    <w:div w:id="1005985149">
      <w:bodyDiv w:val="1"/>
      <w:marLeft w:val="0"/>
      <w:marRight w:val="0"/>
      <w:marTop w:val="0"/>
      <w:marBottom w:val="0"/>
      <w:divBdr>
        <w:top w:val="none" w:sz="0" w:space="0" w:color="auto"/>
        <w:left w:val="none" w:sz="0" w:space="0" w:color="auto"/>
        <w:bottom w:val="none" w:sz="0" w:space="0" w:color="auto"/>
        <w:right w:val="none" w:sz="0" w:space="0" w:color="auto"/>
      </w:divBdr>
    </w:div>
    <w:div w:id="1007054863">
      <w:bodyDiv w:val="1"/>
      <w:marLeft w:val="0"/>
      <w:marRight w:val="0"/>
      <w:marTop w:val="0"/>
      <w:marBottom w:val="0"/>
      <w:divBdr>
        <w:top w:val="none" w:sz="0" w:space="0" w:color="auto"/>
        <w:left w:val="none" w:sz="0" w:space="0" w:color="auto"/>
        <w:bottom w:val="none" w:sz="0" w:space="0" w:color="auto"/>
        <w:right w:val="none" w:sz="0" w:space="0" w:color="auto"/>
      </w:divBdr>
    </w:div>
    <w:div w:id="1008943156">
      <w:bodyDiv w:val="1"/>
      <w:marLeft w:val="0"/>
      <w:marRight w:val="0"/>
      <w:marTop w:val="0"/>
      <w:marBottom w:val="0"/>
      <w:divBdr>
        <w:top w:val="none" w:sz="0" w:space="0" w:color="auto"/>
        <w:left w:val="none" w:sz="0" w:space="0" w:color="auto"/>
        <w:bottom w:val="none" w:sz="0" w:space="0" w:color="auto"/>
        <w:right w:val="none" w:sz="0" w:space="0" w:color="auto"/>
      </w:divBdr>
    </w:div>
    <w:div w:id="1023628742">
      <w:bodyDiv w:val="1"/>
      <w:marLeft w:val="0"/>
      <w:marRight w:val="0"/>
      <w:marTop w:val="0"/>
      <w:marBottom w:val="0"/>
      <w:divBdr>
        <w:top w:val="none" w:sz="0" w:space="0" w:color="auto"/>
        <w:left w:val="none" w:sz="0" w:space="0" w:color="auto"/>
        <w:bottom w:val="none" w:sz="0" w:space="0" w:color="auto"/>
        <w:right w:val="none" w:sz="0" w:space="0" w:color="auto"/>
      </w:divBdr>
    </w:div>
    <w:div w:id="1024476999">
      <w:bodyDiv w:val="1"/>
      <w:marLeft w:val="0"/>
      <w:marRight w:val="0"/>
      <w:marTop w:val="0"/>
      <w:marBottom w:val="0"/>
      <w:divBdr>
        <w:top w:val="none" w:sz="0" w:space="0" w:color="auto"/>
        <w:left w:val="none" w:sz="0" w:space="0" w:color="auto"/>
        <w:bottom w:val="none" w:sz="0" w:space="0" w:color="auto"/>
        <w:right w:val="none" w:sz="0" w:space="0" w:color="auto"/>
      </w:divBdr>
    </w:div>
    <w:div w:id="1034430789">
      <w:bodyDiv w:val="1"/>
      <w:marLeft w:val="0"/>
      <w:marRight w:val="0"/>
      <w:marTop w:val="0"/>
      <w:marBottom w:val="0"/>
      <w:divBdr>
        <w:top w:val="none" w:sz="0" w:space="0" w:color="auto"/>
        <w:left w:val="none" w:sz="0" w:space="0" w:color="auto"/>
        <w:bottom w:val="none" w:sz="0" w:space="0" w:color="auto"/>
        <w:right w:val="none" w:sz="0" w:space="0" w:color="auto"/>
      </w:divBdr>
    </w:div>
    <w:div w:id="1046294937">
      <w:bodyDiv w:val="1"/>
      <w:marLeft w:val="0"/>
      <w:marRight w:val="0"/>
      <w:marTop w:val="0"/>
      <w:marBottom w:val="0"/>
      <w:divBdr>
        <w:top w:val="none" w:sz="0" w:space="0" w:color="auto"/>
        <w:left w:val="none" w:sz="0" w:space="0" w:color="auto"/>
        <w:bottom w:val="none" w:sz="0" w:space="0" w:color="auto"/>
        <w:right w:val="none" w:sz="0" w:space="0" w:color="auto"/>
      </w:divBdr>
    </w:div>
    <w:div w:id="1060439928">
      <w:bodyDiv w:val="1"/>
      <w:marLeft w:val="0"/>
      <w:marRight w:val="0"/>
      <w:marTop w:val="0"/>
      <w:marBottom w:val="0"/>
      <w:divBdr>
        <w:top w:val="none" w:sz="0" w:space="0" w:color="auto"/>
        <w:left w:val="none" w:sz="0" w:space="0" w:color="auto"/>
        <w:bottom w:val="none" w:sz="0" w:space="0" w:color="auto"/>
        <w:right w:val="none" w:sz="0" w:space="0" w:color="auto"/>
      </w:divBdr>
    </w:div>
    <w:div w:id="1060707815">
      <w:bodyDiv w:val="1"/>
      <w:marLeft w:val="0"/>
      <w:marRight w:val="0"/>
      <w:marTop w:val="0"/>
      <w:marBottom w:val="0"/>
      <w:divBdr>
        <w:top w:val="none" w:sz="0" w:space="0" w:color="auto"/>
        <w:left w:val="none" w:sz="0" w:space="0" w:color="auto"/>
        <w:bottom w:val="none" w:sz="0" w:space="0" w:color="auto"/>
        <w:right w:val="none" w:sz="0" w:space="0" w:color="auto"/>
      </w:divBdr>
    </w:div>
    <w:div w:id="1062368726">
      <w:bodyDiv w:val="1"/>
      <w:marLeft w:val="0"/>
      <w:marRight w:val="0"/>
      <w:marTop w:val="0"/>
      <w:marBottom w:val="0"/>
      <w:divBdr>
        <w:top w:val="none" w:sz="0" w:space="0" w:color="auto"/>
        <w:left w:val="none" w:sz="0" w:space="0" w:color="auto"/>
        <w:bottom w:val="none" w:sz="0" w:space="0" w:color="auto"/>
        <w:right w:val="none" w:sz="0" w:space="0" w:color="auto"/>
      </w:divBdr>
    </w:div>
    <w:div w:id="1065639606">
      <w:bodyDiv w:val="1"/>
      <w:marLeft w:val="0"/>
      <w:marRight w:val="0"/>
      <w:marTop w:val="0"/>
      <w:marBottom w:val="0"/>
      <w:divBdr>
        <w:top w:val="none" w:sz="0" w:space="0" w:color="auto"/>
        <w:left w:val="none" w:sz="0" w:space="0" w:color="auto"/>
        <w:bottom w:val="none" w:sz="0" w:space="0" w:color="auto"/>
        <w:right w:val="none" w:sz="0" w:space="0" w:color="auto"/>
      </w:divBdr>
    </w:div>
    <w:div w:id="1069108376">
      <w:bodyDiv w:val="1"/>
      <w:marLeft w:val="0"/>
      <w:marRight w:val="0"/>
      <w:marTop w:val="0"/>
      <w:marBottom w:val="0"/>
      <w:divBdr>
        <w:top w:val="none" w:sz="0" w:space="0" w:color="auto"/>
        <w:left w:val="none" w:sz="0" w:space="0" w:color="auto"/>
        <w:bottom w:val="none" w:sz="0" w:space="0" w:color="auto"/>
        <w:right w:val="none" w:sz="0" w:space="0" w:color="auto"/>
      </w:divBdr>
    </w:div>
    <w:div w:id="1074397981">
      <w:bodyDiv w:val="1"/>
      <w:marLeft w:val="0"/>
      <w:marRight w:val="0"/>
      <w:marTop w:val="0"/>
      <w:marBottom w:val="0"/>
      <w:divBdr>
        <w:top w:val="none" w:sz="0" w:space="0" w:color="auto"/>
        <w:left w:val="none" w:sz="0" w:space="0" w:color="auto"/>
        <w:bottom w:val="none" w:sz="0" w:space="0" w:color="auto"/>
        <w:right w:val="none" w:sz="0" w:space="0" w:color="auto"/>
      </w:divBdr>
    </w:div>
    <w:div w:id="1075399188">
      <w:bodyDiv w:val="1"/>
      <w:marLeft w:val="0"/>
      <w:marRight w:val="0"/>
      <w:marTop w:val="0"/>
      <w:marBottom w:val="0"/>
      <w:divBdr>
        <w:top w:val="none" w:sz="0" w:space="0" w:color="auto"/>
        <w:left w:val="none" w:sz="0" w:space="0" w:color="auto"/>
        <w:bottom w:val="none" w:sz="0" w:space="0" w:color="auto"/>
        <w:right w:val="none" w:sz="0" w:space="0" w:color="auto"/>
      </w:divBdr>
    </w:div>
    <w:div w:id="1080328130">
      <w:bodyDiv w:val="1"/>
      <w:marLeft w:val="0"/>
      <w:marRight w:val="0"/>
      <w:marTop w:val="0"/>
      <w:marBottom w:val="0"/>
      <w:divBdr>
        <w:top w:val="none" w:sz="0" w:space="0" w:color="auto"/>
        <w:left w:val="none" w:sz="0" w:space="0" w:color="auto"/>
        <w:bottom w:val="none" w:sz="0" w:space="0" w:color="auto"/>
        <w:right w:val="none" w:sz="0" w:space="0" w:color="auto"/>
      </w:divBdr>
    </w:div>
    <w:div w:id="1085497000">
      <w:bodyDiv w:val="1"/>
      <w:marLeft w:val="0"/>
      <w:marRight w:val="0"/>
      <w:marTop w:val="0"/>
      <w:marBottom w:val="0"/>
      <w:divBdr>
        <w:top w:val="none" w:sz="0" w:space="0" w:color="auto"/>
        <w:left w:val="none" w:sz="0" w:space="0" w:color="auto"/>
        <w:bottom w:val="none" w:sz="0" w:space="0" w:color="auto"/>
        <w:right w:val="none" w:sz="0" w:space="0" w:color="auto"/>
      </w:divBdr>
    </w:div>
    <w:div w:id="1089545293">
      <w:bodyDiv w:val="1"/>
      <w:marLeft w:val="0"/>
      <w:marRight w:val="0"/>
      <w:marTop w:val="0"/>
      <w:marBottom w:val="0"/>
      <w:divBdr>
        <w:top w:val="none" w:sz="0" w:space="0" w:color="auto"/>
        <w:left w:val="none" w:sz="0" w:space="0" w:color="auto"/>
        <w:bottom w:val="none" w:sz="0" w:space="0" w:color="auto"/>
        <w:right w:val="none" w:sz="0" w:space="0" w:color="auto"/>
      </w:divBdr>
    </w:div>
    <w:div w:id="1094324187">
      <w:bodyDiv w:val="1"/>
      <w:marLeft w:val="0"/>
      <w:marRight w:val="0"/>
      <w:marTop w:val="0"/>
      <w:marBottom w:val="0"/>
      <w:divBdr>
        <w:top w:val="none" w:sz="0" w:space="0" w:color="auto"/>
        <w:left w:val="none" w:sz="0" w:space="0" w:color="auto"/>
        <w:bottom w:val="none" w:sz="0" w:space="0" w:color="auto"/>
        <w:right w:val="none" w:sz="0" w:space="0" w:color="auto"/>
      </w:divBdr>
    </w:div>
    <w:div w:id="1099329408">
      <w:bodyDiv w:val="1"/>
      <w:marLeft w:val="0"/>
      <w:marRight w:val="0"/>
      <w:marTop w:val="0"/>
      <w:marBottom w:val="0"/>
      <w:divBdr>
        <w:top w:val="none" w:sz="0" w:space="0" w:color="auto"/>
        <w:left w:val="none" w:sz="0" w:space="0" w:color="auto"/>
        <w:bottom w:val="none" w:sz="0" w:space="0" w:color="auto"/>
        <w:right w:val="none" w:sz="0" w:space="0" w:color="auto"/>
      </w:divBdr>
    </w:div>
    <w:div w:id="1100296268">
      <w:bodyDiv w:val="1"/>
      <w:marLeft w:val="0"/>
      <w:marRight w:val="0"/>
      <w:marTop w:val="0"/>
      <w:marBottom w:val="0"/>
      <w:divBdr>
        <w:top w:val="none" w:sz="0" w:space="0" w:color="auto"/>
        <w:left w:val="none" w:sz="0" w:space="0" w:color="auto"/>
        <w:bottom w:val="none" w:sz="0" w:space="0" w:color="auto"/>
        <w:right w:val="none" w:sz="0" w:space="0" w:color="auto"/>
      </w:divBdr>
    </w:div>
    <w:div w:id="1101954889">
      <w:bodyDiv w:val="1"/>
      <w:marLeft w:val="0"/>
      <w:marRight w:val="0"/>
      <w:marTop w:val="0"/>
      <w:marBottom w:val="0"/>
      <w:divBdr>
        <w:top w:val="none" w:sz="0" w:space="0" w:color="auto"/>
        <w:left w:val="none" w:sz="0" w:space="0" w:color="auto"/>
        <w:bottom w:val="none" w:sz="0" w:space="0" w:color="auto"/>
        <w:right w:val="none" w:sz="0" w:space="0" w:color="auto"/>
      </w:divBdr>
    </w:div>
    <w:div w:id="1104107563">
      <w:bodyDiv w:val="1"/>
      <w:marLeft w:val="0"/>
      <w:marRight w:val="0"/>
      <w:marTop w:val="0"/>
      <w:marBottom w:val="0"/>
      <w:divBdr>
        <w:top w:val="none" w:sz="0" w:space="0" w:color="auto"/>
        <w:left w:val="none" w:sz="0" w:space="0" w:color="auto"/>
        <w:bottom w:val="none" w:sz="0" w:space="0" w:color="auto"/>
        <w:right w:val="none" w:sz="0" w:space="0" w:color="auto"/>
      </w:divBdr>
    </w:div>
    <w:div w:id="1115833704">
      <w:bodyDiv w:val="1"/>
      <w:marLeft w:val="0"/>
      <w:marRight w:val="0"/>
      <w:marTop w:val="0"/>
      <w:marBottom w:val="0"/>
      <w:divBdr>
        <w:top w:val="none" w:sz="0" w:space="0" w:color="auto"/>
        <w:left w:val="none" w:sz="0" w:space="0" w:color="auto"/>
        <w:bottom w:val="none" w:sz="0" w:space="0" w:color="auto"/>
        <w:right w:val="none" w:sz="0" w:space="0" w:color="auto"/>
      </w:divBdr>
    </w:div>
    <w:div w:id="1117064747">
      <w:bodyDiv w:val="1"/>
      <w:marLeft w:val="0"/>
      <w:marRight w:val="0"/>
      <w:marTop w:val="0"/>
      <w:marBottom w:val="0"/>
      <w:divBdr>
        <w:top w:val="none" w:sz="0" w:space="0" w:color="auto"/>
        <w:left w:val="none" w:sz="0" w:space="0" w:color="auto"/>
        <w:bottom w:val="none" w:sz="0" w:space="0" w:color="auto"/>
        <w:right w:val="none" w:sz="0" w:space="0" w:color="auto"/>
      </w:divBdr>
    </w:div>
    <w:div w:id="1118644657">
      <w:bodyDiv w:val="1"/>
      <w:marLeft w:val="0"/>
      <w:marRight w:val="0"/>
      <w:marTop w:val="0"/>
      <w:marBottom w:val="0"/>
      <w:divBdr>
        <w:top w:val="none" w:sz="0" w:space="0" w:color="auto"/>
        <w:left w:val="none" w:sz="0" w:space="0" w:color="auto"/>
        <w:bottom w:val="none" w:sz="0" w:space="0" w:color="auto"/>
        <w:right w:val="none" w:sz="0" w:space="0" w:color="auto"/>
      </w:divBdr>
    </w:div>
    <w:div w:id="1127625651">
      <w:bodyDiv w:val="1"/>
      <w:marLeft w:val="0"/>
      <w:marRight w:val="0"/>
      <w:marTop w:val="0"/>
      <w:marBottom w:val="0"/>
      <w:divBdr>
        <w:top w:val="none" w:sz="0" w:space="0" w:color="auto"/>
        <w:left w:val="none" w:sz="0" w:space="0" w:color="auto"/>
        <w:bottom w:val="none" w:sz="0" w:space="0" w:color="auto"/>
        <w:right w:val="none" w:sz="0" w:space="0" w:color="auto"/>
      </w:divBdr>
    </w:div>
    <w:div w:id="1127745022">
      <w:bodyDiv w:val="1"/>
      <w:marLeft w:val="0"/>
      <w:marRight w:val="0"/>
      <w:marTop w:val="0"/>
      <w:marBottom w:val="0"/>
      <w:divBdr>
        <w:top w:val="none" w:sz="0" w:space="0" w:color="auto"/>
        <w:left w:val="none" w:sz="0" w:space="0" w:color="auto"/>
        <w:bottom w:val="none" w:sz="0" w:space="0" w:color="auto"/>
        <w:right w:val="none" w:sz="0" w:space="0" w:color="auto"/>
      </w:divBdr>
    </w:div>
    <w:div w:id="1133256899">
      <w:bodyDiv w:val="1"/>
      <w:marLeft w:val="0"/>
      <w:marRight w:val="0"/>
      <w:marTop w:val="0"/>
      <w:marBottom w:val="0"/>
      <w:divBdr>
        <w:top w:val="none" w:sz="0" w:space="0" w:color="auto"/>
        <w:left w:val="none" w:sz="0" w:space="0" w:color="auto"/>
        <w:bottom w:val="none" w:sz="0" w:space="0" w:color="auto"/>
        <w:right w:val="none" w:sz="0" w:space="0" w:color="auto"/>
      </w:divBdr>
    </w:div>
    <w:div w:id="1133445894">
      <w:bodyDiv w:val="1"/>
      <w:marLeft w:val="0"/>
      <w:marRight w:val="0"/>
      <w:marTop w:val="0"/>
      <w:marBottom w:val="0"/>
      <w:divBdr>
        <w:top w:val="none" w:sz="0" w:space="0" w:color="auto"/>
        <w:left w:val="none" w:sz="0" w:space="0" w:color="auto"/>
        <w:bottom w:val="none" w:sz="0" w:space="0" w:color="auto"/>
        <w:right w:val="none" w:sz="0" w:space="0" w:color="auto"/>
      </w:divBdr>
    </w:div>
    <w:div w:id="1135835068">
      <w:bodyDiv w:val="1"/>
      <w:marLeft w:val="0"/>
      <w:marRight w:val="0"/>
      <w:marTop w:val="0"/>
      <w:marBottom w:val="0"/>
      <w:divBdr>
        <w:top w:val="none" w:sz="0" w:space="0" w:color="auto"/>
        <w:left w:val="none" w:sz="0" w:space="0" w:color="auto"/>
        <w:bottom w:val="none" w:sz="0" w:space="0" w:color="auto"/>
        <w:right w:val="none" w:sz="0" w:space="0" w:color="auto"/>
      </w:divBdr>
    </w:div>
    <w:div w:id="1137529651">
      <w:bodyDiv w:val="1"/>
      <w:marLeft w:val="0"/>
      <w:marRight w:val="0"/>
      <w:marTop w:val="0"/>
      <w:marBottom w:val="0"/>
      <w:divBdr>
        <w:top w:val="none" w:sz="0" w:space="0" w:color="auto"/>
        <w:left w:val="none" w:sz="0" w:space="0" w:color="auto"/>
        <w:bottom w:val="none" w:sz="0" w:space="0" w:color="auto"/>
        <w:right w:val="none" w:sz="0" w:space="0" w:color="auto"/>
      </w:divBdr>
    </w:div>
    <w:div w:id="1137839809">
      <w:bodyDiv w:val="1"/>
      <w:marLeft w:val="0"/>
      <w:marRight w:val="0"/>
      <w:marTop w:val="0"/>
      <w:marBottom w:val="0"/>
      <w:divBdr>
        <w:top w:val="none" w:sz="0" w:space="0" w:color="auto"/>
        <w:left w:val="none" w:sz="0" w:space="0" w:color="auto"/>
        <w:bottom w:val="none" w:sz="0" w:space="0" w:color="auto"/>
        <w:right w:val="none" w:sz="0" w:space="0" w:color="auto"/>
      </w:divBdr>
    </w:div>
    <w:div w:id="1139881641">
      <w:bodyDiv w:val="1"/>
      <w:marLeft w:val="0"/>
      <w:marRight w:val="0"/>
      <w:marTop w:val="0"/>
      <w:marBottom w:val="0"/>
      <w:divBdr>
        <w:top w:val="none" w:sz="0" w:space="0" w:color="auto"/>
        <w:left w:val="none" w:sz="0" w:space="0" w:color="auto"/>
        <w:bottom w:val="none" w:sz="0" w:space="0" w:color="auto"/>
        <w:right w:val="none" w:sz="0" w:space="0" w:color="auto"/>
      </w:divBdr>
    </w:div>
    <w:div w:id="1140341858">
      <w:bodyDiv w:val="1"/>
      <w:marLeft w:val="0"/>
      <w:marRight w:val="0"/>
      <w:marTop w:val="0"/>
      <w:marBottom w:val="0"/>
      <w:divBdr>
        <w:top w:val="none" w:sz="0" w:space="0" w:color="auto"/>
        <w:left w:val="none" w:sz="0" w:space="0" w:color="auto"/>
        <w:bottom w:val="none" w:sz="0" w:space="0" w:color="auto"/>
        <w:right w:val="none" w:sz="0" w:space="0" w:color="auto"/>
      </w:divBdr>
    </w:div>
    <w:div w:id="1141773675">
      <w:bodyDiv w:val="1"/>
      <w:marLeft w:val="0"/>
      <w:marRight w:val="0"/>
      <w:marTop w:val="0"/>
      <w:marBottom w:val="0"/>
      <w:divBdr>
        <w:top w:val="none" w:sz="0" w:space="0" w:color="auto"/>
        <w:left w:val="none" w:sz="0" w:space="0" w:color="auto"/>
        <w:bottom w:val="none" w:sz="0" w:space="0" w:color="auto"/>
        <w:right w:val="none" w:sz="0" w:space="0" w:color="auto"/>
      </w:divBdr>
    </w:div>
    <w:div w:id="1145125369">
      <w:bodyDiv w:val="1"/>
      <w:marLeft w:val="0"/>
      <w:marRight w:val="0"/>
      <w:marTop w:val="0"/>
      <w:marBottom w:val="0"/>
      <w:divBdr>
        <w:top w:val="none" w:sz="0" w:space="0" w:color="auto"/>
        <w:left w:val="none" w:sz="0" w:space="0" w:color="auto"/>
        <w:bottom w:val="none" w:sz="0" w:space="0" w:color="auto"/>
        <w:right w:val="none" w:sz="0" w:space="0" w:color="auto"/>
      </w:divBdr>
    </w:div>
    <w:div w:id="1145776040">
      <w:bodyDiv w:val="1"/>
      <w:marLeft w:val="0"/>
      <w:marRight w:val="0"/>
      <w:marTop w:val="0"/>
      <w:marBottom w:val="0"/>
      <w:divBdr>
        <w:top w:val="none" w:sz="0" w:space="0" w:color="auto"/>
        <w:left w:val="none" w:sz="0" w:space="0" w:color="auto"/>
        <w:bottom w:val="none" w:sz="0" w:space="0" w:color="auto"/>
        <w:right w:val="none" w:sz="0" w:space="0" w:color="auto"/>
      </w:divBdr>
    </w:div>
    <w:div w:id="1146627005">
      <w:bodyDiv w:val="1"/>
      <w:marLeft w:val="0"/>
      <w:marRight w:val="0"/>
      <w:marTop w:val="0"/>
      <w:marBottom w:val="0"/>
      <w:divBdr>
        <w:top w:val="none" w:sz="0" w:space="0" w:color="auto"/>
        <w:left w:val="none" w:sz="0" w:space="0" w:color="auto"/>
        <w:bottom w:val="none" w:sz="0" w:space="0" w:color="auto"/>
        <w:right w:val="none" w:sz="0" w:space="0" w:color="auto"/>
      </w:divBdr>
    </w:div>
    <w:div w:id="1159272086">
      <w:bodyDiv w:val="1"/>
      <w:marLeft w:val="0"/>
      <w:marRight w:val="0"/>
      <w:marTop w:val="0"/>
      <w:marBottom w:val="0"/>
      <w:divBdr>
        <w:top w:val="none" w:sz="0" w:space="0" w:color="auto"/>
        <w:left w:val="none" w:sz="0" w:space="0" w:color="auto"/>
        <w:bottom w:val="none" w:sz="0" w:space="0" w:color="auto"/>
        <w:right w:val="none" w:sz="0" w:space="0" w:color="auto"/>
      </w:divBdr>
    </w:div>
    <w:div w:id="1169372965">
      <w:bodyDiv w:val="1"/>
      <w:marLeft w:val="0"/>
      <w:marRight w:val="0"/>
      <w:marTop w:val="0"/>
      <w:marBottom w:val="0"/>
      <w:divBdr>
        <w:top w:val="none" w:sz="0" w:space="0" w:color="auto"/>
        <w:left w:val="none" w:sz="0" w:space="0" w:color="auto"/>
        <w:bottom w:val="none" w:sz="0" w:space="0" w:color="auto"/>
        <w:right w:val="none" w:sz="0" w:space="0" w:color="auto"/>
      </w:divBdr>
    </w:div>
    <w:div w:id="1176846091">
      <w:bodyDiv w:val="1"/>
      <w:marLeft w:val="0"/>
      <w:marRight w:val="0"/>
      <w:marTop w:val="0"/>
      <w:marBottom w:val="0"/>
      <w:divBdr>
        <w:top w:val="none" w:sz="0" w:space="0" w:color="auto"/>
        <w:left w:val="none" w:sz="0" w:space="0" w:color="auto"/>
        <w:bottom w:val="none" w:sz="0" w:space="0" w:color="auto"/>
        <w:right w:val="none" w:sz="0" w:space="0" w:color="auto"/>
      </w:divBdr>
    </w:div>
    <w:div w:id="1179390519">
      <w:bodyDiv w:val="1"/>
      <w:marLeft w:val="0"/>
      <w:marRight w:val="0"/>
      <w:marTop w:val="0"/>
      <w:marBottom w:val="0"/>
      <w:divBdr>
        <w:top w:val="none" w:sz="0" w:space="0" w:color="auto"/>
        <w:left w:val="none" w:sz="0" w:space="0" w:color="auto"/>
        <w:bottom w:val="none" w:sz="0" w:space="0" w:color="auto"/>
        <w:right w:val="none" w:sz="0" w:space="0" w:color="auto"/>
      </w:divBdr>
    </w:div>
    <w:div w:id="1185442945">
      <w:bodyDiv w:val="1"/>
      <w:marLeft w:val="0"/>
      <w:marRight w:val="0"/>
      <w:marTop w:val="0"/>
      <w:marBottom w:val="0"/>
      <w:divBdr>
        <w:top w:val="none" w:sz="0" w:space="0" w:color="auto"/>
        <w:left w:val="none" w:sz="0" w:space="0" w:color="auto"/>
        <w:bottom w:val="none" w:sz="0" w:space="0" w:color="auto"/>
        <w:right w:val="none" w:sz="0" w:space="0" w:color="auto"/>
      </w:divBdr>
    </w:div>
    <w:div w:id="1187675421">
      <w:bodyDiv w:val="1"/>
      <w:marLeft w:val="0"/>
      <w:marRight w:val="0"/>
      <w:marTop w:val="0"/>
      <w:marBottom w:val="0"/>
      <w:divBdr>
        <w:top w:val="none" w:sz="0" w:space="0" w:color="auto"/>
        <w:left w:val="none" w:sz="0" w:space="0" w:color="auto"/>
        <w:bottom w:val="none" w:sz="0" w:space="0" w:color="auto"/>
        <w:right w:val="none" w:sz="0" w:space="0" w:color="auto"/>
      </w:divBdr>
    </w:div>
    <w:div w:id="1188712330">
      <w:bodyDiv w:val="1"/>
      <w:marLeft w:val="0"/>
      <w:marRight w:val="0"/>
      <w:marTop w:val="0"/>
      <w:marBottom w:val="0"/>
      <w:divBdr>
        <w:top w:val="none" w:sz="0" w:space="0" w:color="auto"/>
        <w:left w:val="none" w:sz="0" w:space="0" w:color="auto"/>
        <w:bottom w:val="none" w:sz="0" w:space="0" w:color="auto"/>
        <w:right w:val="none" w:sz="0" w:space="0" w:color="auto"/>
      </w:divBdr>
    </w:div>
    <w:div w:id="1193346287">
      <w:bodyDiv w:val="1"/>
      <w:marLeft w:val="0"/>
      <w:marRight w:val="0"/>
      <w:marTop w:val="0"/>
      <w:marBottom w:val="0"/>
      <w:divBdr>
        <w:top w:val="none" w:sz="0" w:space="0" w:color="auto"/>
        <w:left w:val="none" w:sz="0" w:space="0" w:color="auto"/>
        <w:bottom w:val="none" w:sz="0" w:space="0" w:color="auto"/>
        <w:right w:val="none" w:sz="0" w:space="0" w:color="auto"/>
      </w:divBdr>
    </w:div>
    <w:div w:id="1196045642">
      <w:bodyDiv w:val="1"/>
      <w:marLeft w:val="0"/>
      <w:marRight w:val="0"/>
      <w:marTop w:val="0"/>
      <w:marBottom w:val="0"/>
      <w:divBdr>
        <w:top w:val="none" w:sz="0" w:space="0" w:color="auto"/>
        <w:left w:val="none" w:sz="0" w:space="0" w:color="auto"/>
        <w:bottom w:val="none" w:sz="0" w:space="0" w:color="auto"/>
        <w:right w:val="none" w:sz="0" w:space="0" w:color="auto"/>
      </w:divBdr>
    </w:div>
    <w:div w:id="1202788295">
      <w:bodyDiv w:val="1"/>
      <w:marLeft w:val="0"/>
      <w:marRight w:val="0"/>
      <w:marTop w:val="0"/>
      <w:marBottom w:val="0"/>
      <w:divBdr>
        <w:top w:val="none" w:sz="0" w:space="0" w:color="auto"/>
        <w:left w:val="none" w:sz="0" w:space="0" w:color="auto"/>
        <w:bottom w:val="none" w:sz="0" w:space="0" w:color="auto"/>
        <w:right w:val="none" w:sz="0" w:space="0" w:color="auto"/>
      </w:divBdr>
    </w:div>
    <w:div w:id="1203321688">
      <w:bodyDiv w:val="1"/>
      <w:marLeft w:val="0"/>
      <w:marRight w:val="0"/>
      <w:marTop w:val="0"/>
      <w:marBottom w:val="0"/>
      <w:divBdr>
        <w:top w:val="none" w:sz="0" w:space="0" w:color="auto"/>
        <w:left w:val="none" w:sz="0" w:space="0" w:color="auto"/>
        <w:bottom w:val="none" w:sz="0" w:space="0" w:color="auto"/>
        <w:right w:val="none" w:sz="0" w:space="0" w:color="auto"/>
      </w:divBdr>
    </w:div>
    <w:div w:id="1209611457">
      <w:bodyDiv w:val="1"/>
      <w:marLeft w:val="0"/>
      <w:marRight w:val="0"/>
      <w:marTop w:val="0"/>
      <w:marBottom w:val="0"/>
      <w:divBdr>
        <w:top w:val="none" w:sz="0" w:space="0" w:color="auto"/>
        <w:left w:val="none" w:sz="0" w:space="0" w:color="auto"/>
        <w:bottom w:val="none" w:sz="0" w:space="0" w:color="auto"/>
        <w:right w:val="none" w:sz="0" w:space="0" w:color="auto"/>
      </w:divBdr>
    </w:div>
    <w:div w:id="1212693547">
      <w:bodyDiv w:val="1"/>
      <w:marLeft w:val="0"/>
      <w:marRight w:val="0"/>
      <w:marTop w:val="0"/>
      <w:marBottom w:val="0"/>
      <w:divBdr>
        <w:top w:val="none" w:sz="0" w:space="0" w:color="auto"/>
        <w:left w:val="none" w:sz="0" w:space="0" w:color="auto"/>
        <w:bottom w:val="none" w:sz="0" w:space="0" w:color="auto"/>
        <w:right w:val="none" w:sz="0" w:space="0" w:color="auto"/>
      </w:divBdr>
    </w:div>
    <w:div w:id="1213813017">
      <w:bodyDiv w:val="1"/>
      <w:marLeft w:val="0"/>
      <w:marRight w:val="0"/>
      <w:marTop w:val="0"/>
      <w:marBottom w:val="0"/>
      <w:divBdr>
        <w:top w:val="none" w:sz="0" w:space="0" w:color="auto"/>
        <w:left w:val="none" w:sz="0" w:space="0" w:color="auto"/>
        <w:bottom w:val="none" w:sz="0" w:space="0" w:color="auto"/>
        <w:right w:val="none" w:sz="0" w:space="0" w:color="auto"/>
      </w:divBdr>
    </w:div>
    <w:div w:id="1216087179">
      <w:bodyDiv w:val="1"/>
      <w:marLeft w:val="0"/>
      <w:marRight w:val="0"/>
      <w:marTop w:val="0"/>
      <w:marBottom w:val="0"/>
      <w:divBdr>
        <w:top w:val="none" w:sz="0" w:space="0" w:color="auto"/>
        <w:left w:val="none" w:sz="0" w:space="0" w:color="auto"/>
        <w:bottom w:val="none" w:sz="0" w:space="0" w:color="auto"/>
        <w:right w:val="none" w:sz="0" w:space="0" w:color="auto"/>
      </w:divBdr>
    </w:div>
    <w:div w:id="1226449658">
      <w:bodyDiv w:val="1"/>
      <w:marLeft w:val="0"/>
      <w:marRight w:val="0"/>
      <w:marTop w:val="0"/>
      <w:marBottom w:val="0"/>
      <w:divBdr>
        <w:top w:val="none" w:sz="0" w:space="0" w:color="auto"/>
        <w:left w:val="none" w:sz="0" w:space="0" w:color="auto"/>
        <w:bottom w:val="none" w:sz="0" w:space="0" w:color="auto"/>
        <w:right w:val="none" w:sz="0" w:space="0" w:color="auto"/>
      </w:divBdr>
    </w:div>
    <w:div w:id="1232934486">
      <w:bodyDiv w:val="1"/>
      <w:marLeft w:val="0"/>
      <w:marRight w:val="0"/>
      <w:marTop w:val="0"/>
      <w:marBottom w:val="0"/>
      <w:divBdr>
        <w:top w:val="none" w:sz="0" w:space="0" w:color="auto"/>
        <w:left w:val="none" w:sz="0" w:space="0" w:color="auto"/>
        <w:bottom w:val="none" w:sz="0" w:space="0" w:color="auto"/>
        <w:right w:val="none" w:sz="0" w:space="0" w:color="auto"/>
      </w:divBdr>
    </w:div>
    <w:div w:id="1235316041">
      <w:bodyDiv w:val="1"/>
      <w:marLeft w:val="0"/>
      <w:marRight w:val="0"/>
      <w:marTop w:val="0"/>
      <w:marBottom w:val="0"/>
      <w:divBdr>
        <w:top w:val="none" w:sz="0" w:space="0" w:color="auto"/>
        <w:left w:val="none" w:sz="0" w:space="0" w:color="auto"/>
        <w:bottom w:val="none" w:sz="0" w:space="0" w:color="auto"/>
        <w:right w:val="none" w:sz="0" w:space="0" w:color="auto"/>
      </w:divBdr>
    </w:div>
    <w:div w:id="1238980082">
      <w:bodyDiv w:val="1"/>
      <w:marLeft w:val="0"/>
      <w:marRight w:val="0"/>
      <w:marTop w:val="0"/>
      <w:marBottom w:val="0"/>
      <w:divBdr>
        <w:top w:val="none" w:sz="0" w:space="0" w:color="auto"/>
        <w:left w:val="none" w:sz="0" w:space="0" w:color="auto"/>
        <w:bottom w:val="none" w:sz="0" w:space="0" w:color="auto"/>
        <w:right w:val="none" w:sz="0" w:space="0" w:color="auto"/>
      </w:divBdr>
    </w:div>
    <w:div w:id="1241138726">
      <w:bodyDiv w:val="1"/>
      <w:marLeft w:val="0"/>
      <w:marRight w:val="0"/>
      <w:marTop w:val="0"/>
      <w:marBottom w:val="0"/>
      <w:divBdr>
        <w:top w:val="none" w:sz="0" w:space="0" w:color="auto"/>
        <w:left w:val="none" w:sz="0" w:space="0" w:color="auto"/>
        <w:bottom w:val="none" w:sz="0" w:space="0" w:color="auto"/>
        <w:right w:val="none" w:sz="0" w:space="0" w:color="auto"/>
      </w:divBdr>
    </w:div>
    <w:div w:id="1241259166">
      <w:bodyDiv w:val="1"/>
      <w:marLeft w:val="0"/>
      <w:marRight w:val="0"/>
      <w:marTop w:val="0"/>
      <w:marBottom w:val="0"/>
      <w:divBdr>
        <w:top w:val="none" w:sz="0" w:space="0" w:color="auto"/>
        <w:left w:val="none" w:sz="0" w:space="0" w:color="auto"/>
        <w:bottom w:val="none" w:sz="0" w:space="0" w:color="auto"/>
        <w:right w:val="none" w:sz="0" w:space="0" w:color="auto"/>
      </w:divBdr>
    </w:div>
    <w:div w:id="1245266601">
      <w:bodyDiv w:val="1"/>
      <w:marLeft w:val="0"/>
      <w:marRight w:val="0"/>
      <w:marTop w:val="0"/>
      <w:marBottom w:val="0"/>
      <w:divBdr>
        <w:top w:val="none" w:sz="0" w:space="0" w:color="auto"/>
        <w:left w:val="none" w:sz="0" w:space="0" w:color="auto"/>
        <w:bottom w:val="none" w:sz="0" w:space="0" w:color="auto"/>
        <w:right w:val="none" w:sz="0" w:space="0" w:color="auto"/>
      </w:divBdr>
    </w:div>
    <w:div w:id="1245870563">
      <w:bodyDiv w:val="1"/>
      <w:marLeft w:val="0"/>
      <w:marRight w:val="0"/>
      <w:marTop w:val="0"/>
      <w:marBottom w:val="0"/>
      <w:divBdr>
        <w:top w:val="none" w:sz="0" w:space="0" w:color="auto"/>
        <w:left w:val="none" w:sz="0" w:space="0" w:color="auto"/>
        <w:bottom w:val="none" w:sz="0" w:space="0" w:color="auto"/>
        <w:right w:val="none" w:sz="0" w:space="0" w:color="auto"/>
      </w:divBdr>
    </w:div>
    <w:div w:id="1248150586">
      <w:bodyDiv w:val="1"/>
      <w:marLeft w:val="0"/>
      <w:marRight w:val="0"/>
      <w:marTop w:val="0"/>
      <w:marBottom w:val="0"/>
      <w:divBdr>
        <w:top w:val="none" w:sz="0" w:space="0" w:color="auto"/>
        <w:left w:val="none" w:sz="0" w:space="0" w:color="auto"/>
        <w:bottom w:val="none" w:sz="0" w:space="0" w:color="auto"/>
        <w:right w:val="none" w:sz="0" w:space="0" w:color="auto"/>
      </w:divBdr>
    </w:div>
    <w:div w:id="1257061721">
      <w:bodyDiv w:val="1"/>
      <w:marLeft w:val="0"/>
      <w:marRight w:val="0"/>
      <w:marTop w:val="0"/>
      <w:marBottom w:val="0"/>
      <w:divBdr>
        <w:top w:val="none" w:sz="0" w:space="0" w:color="auto"/>
        <w:left w:val="none" w:sz="0" w:space="0" w:color="auto"/>
        <w:bottom w:val="none" w:sz="0" w:space="0" w:color="auto"/>
        <w:right w:val="none" w:sz="0" w:space="0" w:color="auto"/>
      </w:divBdr>
    </w:div>
    <w:div w:id="1261068454">
      <w:bodyDiv w:val="1"/>
      <w:marLeft w:val="0"/>
      <w:marRight w:val="0"/>
      <w:marTop w:val="0"/>
      <w:marBottom w:val="0"/>
      <w:divBdr>
        <w:top w:val="none" w:sz="0" w:space="0" w:color="auto"/>
        <w:left w:val="none" w:sz="0" w:space="0" w:color="auto"/>
        <w:bottom w:val="none" w:sz="0" w:space="0" w:color="auto"/>
        <w:right w:val="none" w:sz="0" w:space="0" w:color="auto"/>
      </w:divBdr>
    </w:div>
    <w:div w:id="1266424056">
      <w:bodyDiv w:val="1"/>
      <w:marLeft w:val="0"/>
      <w:marRight w:val="0"/>
      <w:marTop w:val="0"/>
      <w:marBottom w:val="0"/>
      <w:divBdr>
        <w:top w:val="none" w:sz="0" w:space="0" w:color="auto"/>
        <w:left w:val="none" w:sz="0" w:space="0" w:color="auto"/>
        <w:bottom w:val="none" w:sz="0" w:space="0" w:color="auto"/>
        <w:right w:val="none" w:sz="0" w:space="0" w:color="auto"/>
      </w:divBdr>
    </w:div>
    <w:div w:id="1273587121">
      <w:bodyDiv w:val="1"/>
      <w:marLeft w:val="0"/>
      <w:marRight w:val="0"/>
      <w:marTop w:val="0"/>
      <w:marBottom w:val="0"/>
      <w:divBdr>
        <w:top w:val="none" w:sz="0" w:space="0" w:color="auto"/>
        <w:left w:val="none" w:sz="0" w:space="0" w:color="auto"/>
        <w:bottom w:val="none" w:sz="0" w:space="0" w:color="auto"/>
        <w:right w:val="none" w:sz="0" w:space="0" w:color="auto"/>
      </w:divBdr>
    </w:div>
    <w:div w:id="1280911465">
      <w:bodyDiv w:val="1"/>
      <w:marLeft w:val="0"/>
      <w:marRight w:val="0"/>
      <w:marTop w:val="0"/>
      <w:marBottom w:val="0"/>
      <w:divBdr>
        <w:top w:val="none" w:sz="0" w:space="0" w:color="auto"/>
        <w:left w:val="none" w:sz="0" w:space="0" w:color="auto"/>
        <w:bottom w:val="none" w:sz="0" w:space="0" w:color="auto"/>
        <w:right w:val="none" w:sz="0" w:space="0" w:color="auto"/>
      </w:divBdr>
    </w:div>
    <w:div w:id="1285506470">
      <w:bodyDiv w:val="1"/>
      <w:marLeft w:val="0"/>
      <w:marRight w:val="0"/>
      <w:marTop w:val="0"/>
      <w:marBottom w:val="0"/>
      <w:divBdr>
        <w:top w:val="none" w:sz="0" w:space="0" w:color="auto"/>
        <w:left w:val="none" w:sz="0" w:space="0" w:color="auto"/>
        <w:bottom w:val="none" w:sz="0" w:space="0" w:color="auto"/>
        <w:right w:val="none" w:sz="0" w:space="0" w:color="auto"/>
      </w:divBdr>
    </w:div>
    <w:div w:id="1288048323">
      <w:bodyDiv w:val="1"/>
      <w:marLeft w:val="0"/>
      <w:marRight w:val="0"/>
      <w:marTop w:val="0"/>
      <w:marBottom w:val="0"/>
      <w:divBdr>
        <w:top w:val="none" w:sz="0" w:space="0" w:color="auto"/>
        <w:left w:val="none" w:sz="0" w:space="0" w:color="auto"/>
        <w:bottom w:val="none" w:sz="0" w:space="0" w:color="auto"/>
        <w:right w:val="none" w:sz="0" w:space="0" w:color="auto"/>
      </w:divBdr>
    </w:div>
    <w:div w:id="1292252983">
      <w:bodyDiv w:val="1"/>
      <w:marLeft w:val="0"/>
      <w:marRight w:val="0"/>
      <w:marTop w:val="0"/>
      <w:marBottom w:val="0"/>
      <w:divBdr>
        <w:top w:val="none" w:sz="0" w:space="0" w:color="auto"/>
        <w:left w:val="none" w:sz="0" w:space="0" w:color="auto"/>
        <w:bottom w:val="none" w:sz="0" w:space="0" w:color="auto"/>
        <w:right w:val="none" w:sz="0" w:space="0" w:color="auto"/>
      </w:divBdr>
    </w:div>
    <w:div w:id="1300040938">
      <w:bodyDiv w:val="1"/>
      <w:marLeft w:val="0"/>
      <w:marRight w:val="0"/>
      <w:marTop w:val="0"/>
      <w:marBottom w:val="0"/>
      <w:divBdr>
        <w:top w:val="none" w:sz="0" w:space="0" w:color="auto"/>
        <w:left w:val="none" w:sz="0" w:space="0" w:color="auto"/>
        <w:bottom w:val="none" w:sz="0" w:space="0" w:color="auto"/>
        <w:right w:val="none" w:sz="0" w:space="0" w:color="auto"/>
      </w:divBdr>
    </w:div>
    <w:div w:id="1301110780">
      <w:bodyDiv w:val="1"/>
      <w:marLeft w:val="0"/>
      <w:marRight w:val="0"/>
      <w:marTop w:val="0"/>
      <w:marBottom w:val="0"/>
      <w:divBdr>
        <w:top w:val="none" w:sz="0" w:space="0" w:color="auto"/>
        <w:left w:val="none" w:sz="0" w:space="0" w:color="auto"/>
        <w:bottom w:val="none" w:sz="0" w:space="0" w:color="auto"/>
        <w:right w:val="none" w:sz="0" w:space="0" w:color="auto"/>
      </w:divBdr>
    </w:div>
    <w:div w:id="1306818153">
      <w:bodyDiv w:val="1"/>
      <w:marLeft w:val="0"/>
      <w:marRight w:val="0"/>
      <w:marTop w:val="0"/>
      <w:marBottom w:val="0"/>
      <w:divBdr>
        <w:top w:val="none" w:sz="0" w:space="0" w:color="auto"/>
        <w:left w:val="none" w:sz="0" w:space="0" w:color="auto"/>
        <w:bottom w:val="none" w:sz="0" w:space="0" w:color="auto"/>
        <w:right w:val="none" w:sz="0" w:space="0" w:color="auto"/>
      </w:divBdr>
    </w:div>
    <w:div w:id="1313875380">
      <w:bodyDiv w:val="1"/>
      <w:marLeft w:val="0"/>
      <w:marRight w:val="0"/>
      <w:marTop w:val="0"/>
      <w:marBottom w:val="0"/>
      <w:divBdr>
        <w:top w:val="none" w:sz="0" w:space="0" w:color="auto"/>
        <w:left w:val="none" w:sz="0" w:space="0" w:color="auto"/>
        <w:bottom w:val="none" w:sz="0" w:space="0" w:color="auto"/>
        <w:right w:val="none" w:sz="0" w:space="0" w:color="auto"/>
      </w:divBdr>
    </w:div>
    <w:div w:id="1314022981">
      <w:bodyDiv w:val="1"/>
      <w:marLeft w:val="0"/>
      <w:marRight w:val="0"/>
      <w:marTop w:val="0"/>
      <w:marBottom w:val="0"/>
      <w:divBdr>
        <w:top w:val="none" w:sz="0" w:space="0" w:color="auto"/>
        <w:left w:val="none" w:sz="0" w:space="0" w:color="auto"/>
        <w:bottom w:val="none" w:sz="0" w:space="0" w:color="auto"/>
        <w:right w:val="none" w:sz="0" w:space="0" w:color="auto"/>
      </w:divBdr>
    </w:div>
    <w:div w:id="1316957078">
      <w:bodyDiv w:val="1"/>
      <w:marLeft w:val="0"/>
      <w:marRight w:val="0"/>
      <w:marTop w:val="0"/>
      <w:marBottom w:val="0"/>
      <w:divBdr>
        <w:top w:val="none" w:sz="0" w:space="0" w:color="auto"/>
        <w:left w:val="none" w:sz="0" w:space="0" w:color="auto"/>
        <w:bottom w:val="none" w:sz="0" w:space="0" w:color="auto"/>
        <w:right w:val="none" w:sz="0" w:space="0" w:color="auto"/>
      </w:divBdr>
    </w:div>
    <w:div w:id="1317803459">
      <w:bodyDiv w:val="1"/>
      <w:marLeft w:val="0"/>
      <w:marRight w:val="0"/>
      <w:marTop w:val="0"/>
      <w:marBottom w:val="0"/>
      <w:divBdr>
        <w:top w:val="none" w:sz="0" w:space="0" w:color="auto"/>
        <w:left w:val="none" w:sz="0" w:space="0" w:color="auto"/>
        <w:bottom w:val="none" w:sz="0" w:space="0" w:color="auto"/>
        <w:right w:val="none" w:sz="0" w:space="0" w:color="auto"/>
      </w:divBdr>
    </w:div>
    <w:div w:id="1321932585">
      <w:bodyDiv w:val="1"/>
      <w:marLeft w:val="0"/>
      <w:marRight w:val="0"/>
      <w:marTop w:val="0"/>
      <w:marBottom w:val="0"/>
      <w:divBdr>
        <w:top w:val="none" w:sz="0" w:space="0" w:color="auto"/>
        <w:left w:val="none" w:sz="0" w:space="0" w:color="auto"/>
        <w:bottom w:val="none" w:sz="0" w:space="0" w:color="auto"/>
        <w:right w:val="none" w:sz="0" w:space="0" w:color="auto"/>
      </w:divBdr>
    </w:div>
    <w:div w:id="1322540674">
      <w:bodyDiv w:val="1"/>
      <w:marLeft w:val="0"/>
      <w:marRight w:val="0"/>
      <w:marTop w:val="0"/>
      <w:marBottom w:val="0"/>
      <w:divBdr>
        <w:top w:val="none" w:sz="0" w:space="0" w:color="auto"/>
        <w:left w:val="none" w:sz="0" w:space="0" w:color="auto"/>
        <w:bottom w:val="none" w:sz="0" w:space="0" w:color="auto"/>
        <w:right w:val="none" w:sz="0" w:space="0" w:color="auto"/>
      </w:divBdr>
    </w:div>
    <w:div w:id="1334141579">
      <w:bodyDiv w:val="1"/>
      <w:marLeft w:val="0"/>
      <w:marRight w:val="0"/>
      <w:marTop w:val="0"/>
      <w:marBottom w:val="0"/>
      <w:divBdr>
        <w:top w:val="none" w:sz="0" w:space="0" w:color="auto"/>
        <w:left w:val="none" w:sz="0" w:space="0" w:color="auto"/>
        <w:bottom w:val="none" w:sz="0" w:space="0" w:color="auto"/>
        <w:right w:val="none" w:sz="0" w:space="0" w:color="auto"/>
      </w:divBdr>
    </w:div>
    <w:div w:id="1339383796">
      <w:bodyDiv w:val="1"/>
      <w:marLeft w:val="0"/>
      <w:marRight w:val="0"/>
      <w:marTop w:val="0"/>
      <w:marBottom w:val="0"/>
      <w:divBdr>
        <w:top w:val="none" w:sz="0" w:space="0" w:color="auto"/>
        <w:left w:val="none" w:sz="0" w:space="0" w:color="auto"/>
        <w:bottom w:val="none" w:sz="0" w:space="0" w:color="auto"/>
        <w:right w:val="none" w:sz="0" w:space="0" w:color="auto"/>
      </w:divBdr>
    </w:div>
    <w:div w:id="1345937236">
      <w:bodyDiv w:val="1"/>
      <w:marLeft w:val="0"/>
      <w:marRight w:val="0"/>
      <w:marTop w:val="0"/>
      <w:marBottom w:val="0"/>
      <w:divBdr>
        <w:top w:val="none" w:sz="0" w:space="0" w:color="auto"/>
        <w:left w:val="none" w:sz="0" w:space="0" w:color="auto"/>
        <w:bottom w:val="none" w:sz="0" w:space="0" w:color="auto"/>
        <w:right w:val="none" w:sz="0" w:space="0" w:color="auto"/>
      </w:divBdr>
    </w:div>
    <w:div w:id="1346591507">
      <w:bodyDiv w:val="1"/>
      <w:marLeft w:val="0"/>
      <w:marRight w:val="0"/>
      <w:marTop w:val="0"/>
      <w:marBottom w:val="0"/>
      <w:divBdr>
        <w:top w:val="none" w:sz="0" w:space="0" w:color="auto"/>
        <w:left w:val="none" w:sz="0" w:space="0" w:color="auto"/>
        <w:bottom w:val="none" w:sz="0" w:space="0" w:color="auto"/>
        <w:right w:val="none" w:sz="0" w:space="0" w:color="auto"/>
      </w:divBdr>
    </w:div>
    <w:div w:id="1350638009">
      <w:bodyDiv w:val="1"/>
      <w:marLeft w:val="0"/>
      <w:marRight w:val="0"/>
      <w:marTop w:val="0"/>
      <w:marBottom w:val="0"/>
      <w:divBdr>
        <w:top w:val="none" w:sz="0" w:space="0" w:color="auto"/>
        <w:left w:val="none" w:sz="0" w:space="0" w:color="auto"/>
        <w:bottom w:val="none" w:sz="0" w:space="0" w:color="auto"/>
        <w:right w:val="none" w:sz="0" w:space="0" w:color="auto"/>
      </w:divBdr>
    </w:div>
    <w:div w:id="1350840698">
      <w:bodyDiv w:val="1"/>
      <w:marLeft w:val="0"/>
      <w:marRight w:val="0"/>
      <w:marTop w:val="0"/>
      <w:marBottom w:val="0"/>
      <w:divBdr>
        <w:top w:val="none" w:sz="0" w:space="0" w:color="auto"/>
        <w:left w:val="none" w:sz="0" w:space="0" w:color="auto"/>
        <w:bottom w:val="none" w:sz="0" w:space="0" w:color="auto"/>
        <w:right w:val="none" w:sz="0" w:space="0" w:color="auto"/>
      </w:divBdr>
    </w:div>
    <w:div w:id="1352298532">
      <w:bodyDiv w:val="1"/>
      <w:marLeft w:val="0"/>
      <w:marRight w:val="0"/>
      <w:marTop w:val="0"/>
      <w:marBottom w:val="0"/>
      <w:divBdr>
        <w:top w:val="none" w:sz="0" w:space="0" w:color="auto"/>
        <w:left w:val="none" w:sz="0" w:space="0" w:color="auto"/>
        <w:bottom w:val="none" w:sz="0" w:space="0" w:color="auto"/>
        <w:right w:val="none" w:sz="0" w:space="0" w:color="auto"/>
      </w:divBdr>
    </w:div>
    <w:div w:id="1354502660">
      <w:bodyDiv w:val="1"/>
      <w:marLeft w:val="0"/>
      <w:marRight w:val="0"/>
      <w:marTop w:val="0"/>
      <w:marBottom w:val="0"/>
      <w:divBdr>
        <w:top w:val="none" w:sz="0" w:space="0" w:color="auto"/>
        <w:left w:val="none" w:sz="0" w:space="0" w:color="auto"/>
        <w:bottom w:val="none" w:sz="0" w:space="0" w:color="auto"/>
        <w:right w:val="none" w:sz="0" w:space="0" w:color="auto"/>
      </w:divBdr>
    </w:div>
    <w:div w:id="1372875843">
      <w:bodyDiv w:val="1"/>
      <w:marLeft w:val="0"/>
      <w:marRight w:val="0"/>
      <w:marTop w:val="0"/>
      <w:marBottom w:val="0"/>
      <w:divBdr>
        <w:top w:val="none" w:sz="0" w:space="0" w:color="auto"/>
        <w:left w:val="none" w:sz="0" w:space="0" w:color="auto"/>
        <w:bottom w:val="none" w:sz="0" w:space="0" w:color="auto"/>
        <w:right w:val="none" w:sz="0" w:space="0" w:color="auto"/>
      </w:divBdr>
    </w:div>
    <w:div w:id="1377896230">
      <w:bodyDiv w:val="1"/>
      <w:marLeft w:val="0"/>
      <w:marRight w:val="0"/>
      <w:marTop w:val="0"/>
      <w:marBottom w:val="0"/>
      <w:divBdr>
        <w:top w:val="none" w:sz="0" w:space="0" w:color="auto"/>
        <w:left w:val="none" w:sz="0" w:space="0" w:color="auto"/>
        <w:bottom w:val="none" w:sz="0" w:space="0" w:color="auto"/>
        <w:right w:val="none" w:sz="0" w:space="0" w:color="auto"/>
      </w:divBdr>
    </w:div>
    <w:div w:id="1378160785">
      <w:bodyDiv w:val="1"/>
      <w:marLeft w:val="0"/>
      <w:marRight w:val="0"/>
      <w:marTop w:val="0"/>
      <w:marBottom w:val="0"/>
      <w:divBdr>
        <w:top w:val="none" w:sz="0" w:space="0" w:color="auto"/>
        <w:left w:val="none" w:sz="0" w:space="0" w:color="auto"/>
        <w:bottom w:val="none" w:sz="0" w:space="0" w:color="auto"/>
        <w:right w:val="none" w:sz="0" w:space="0" w:color="auto"/>
      </w:divBdr>
    </w:div>
    <w:div w:id="1383870271">
      <w:bodyDiv w:val="1"/>
      <w:marLeft w:val="0"/>
      <w:marRight w:val="0"/>
      <w:marTop w:val="0"/>
      <w:marBottom w:val="0"/>
      <w:divBdr>
        <w:top w:val="none" w:sz="0" w:space="0" w:color="auto"/>
        <w:left w:val="none" w:sz="0" w:space="0" w:color="auto"/>
        <w:bottom w:val="none" w:sz="0" w:space="0" w:color="auto"/>
        <w:right w:val="none" w:sz="0" w:space="0" w:color="auto"/>
      </w:divBdr>
    </w:div>
    <w:div w:id="1384598594">
      <w:bodyDiv w:val="1"/>
      <w:marLeft w:val="0"/>
      <w:marRight w:val="0"/>
      <w:marTop w:val="0"/>
      <w:marBottom w:val="0"/>
      <w:divBdr>
        <w:top w:val="none" w:sz="0" w:space="0" w:color="auto"/>
        <w:left w:val="none" w:sz="0" w:space="0" w:color="auto"/>
        <w:bottom w:val="none" w:sz="0" w:space="0" w:color="auto"/>
        <w:right w:val="none" w:sz="0" w:space="0" w:color="auto"/>
      </w:divBdr>
    </w:div>
    <w:div w:id="1387295404">
      <w:bodyDiv w:val="1"/>
      <w:marLeft w:val="0"/>
      <w:marRight w:val="0"/>
      <w:marTop w:val="0"/>
      <w:marBottom w:val="0"/>
      <w:divBdr>
        <w:top w:val="none" w:sz="0" w:space="0" w:color="auto"/>
        <w:left w:val="none" w:sz="0" w:space="0" w:color="auto"/>
        <w:bottom w:val="none" w:sz="0" w:space="0" w:color="auto"/>
        <w:right w:val="none" w:sz="0" w:space="0" w:color="auto"/>
      </w:divBdr>
    </w:div>
    <w:div w:id="1396929087">
      <w:bodyDiv w:val="1"/>
      <w:marLeft w:val="0"/>
      <w:marRight w:val="0"/>
      <w:marTop w:val="0"/>
      <w:marBottom w:val="0"/>
      <w:divBdr>
        <w:top w:val="none" w:sz="0" w:space="0" w:color="auto"/>
        <w:left w:val="none" w:sz="0" w:space="0" w:color="auto"/>
        <w:bottom w:val="none" w:sz="0" w:space="0" w:color="auto"/>
        <w:right w:val="none" w:sz="0" w:space="0" w:color="auto"/>
      </w:divBdr>
    </w:div>
    <w:div w:id="1408915033">
      <w:bodyDiv w:val="1"/>
      <w:marLeft w:val="0"/>
      <w:marRight w:val="0"/>
      <w:marTop w:val="0"/>
      <w:marBottom w:val="0"/>
      <w:divBdr>
        <w:top w:val="none" w:sz="0" w:space="0" w:color="auto"/>
        <w:left w:val="none" w:sz="0" w:space="0" w:color="auto"/>
        <w:bottom w:val="none" w:sz="0" w:space="0" w:color="auto"/>
        <w:right w:val="none" w:sz="0" w:space="0" w:color="auto"/>
      </w:divBdr>
    </w:div>
    <w:div w:id="1410420540">
      <w:bodyDiv w:val="1"/>
      <w:marLeft w:val="0"/>
      <w:marRight w:val="0"/>
      <w:marTop w:val="0"/>
      <w:marBottom w:val="0"/>
      <w:divBdr>
        <w:top w:val="none" w:sz="0" w:space="0" w:color="auto"/>
        <w:left w:val="none" w:sz="0" w:space="0" w:color="auto"/>
        <w:bottom w:val="none" w:sz="0" w:space="0" w:color="auto"/>
        <w:right w:val="none" w:sz="0" w:space="0" w:color="auto"/>
      </w:divBdr>
    </w:div>
    <w:div w:id="1412584327">
      <w:bodyDiv w:val="1"/>
      <w:marLeft w:val="0"/>
      <w:marRight w:val="0"/>
      <w:marTop w:val="0"/>
      <w:marBottom w:val="0"/>
      <w:divBdr>
        <w:top w:val="none" w:sz="0" w:space="0" w:color="auto"/>
        <w:left w:val="none" w:sz="0" w:space="0" w:color="auto"/>
        <w:bottom w:val="none" w:sz="0" w:space="0" w:color="auto"/>
        <w:right w:val="none" w:sz="0" w:space="0" w:color="auto"/>
      </w:divBdr>
    </w:div>
    <w:div w:id="1416323594">
      <w:bodyDiv w:val="1"/>
      <w:marLeft w:val="0"/>
      <w:marRight w:val="0"/>
      <w:marTop w:val="0"/>
      <w:marBottom w:val="0"/>
      <w:divBdr>
        <w:top w:val="none" w:sz="0" w:space="0" w:color="auto"/>
        <w:left w:val="none" w:sz="0" w:space="0" w:color="auto"/>
        <w:bottom w:val="none" w:sz="0" w:space="0" w:color="auto"/>
        <w:right w:val="none" w:sz="0" w:space="0" w:color="auto"/>
      </w:divBdr>
    </w:div>
    <w:div w:id="1417702539">
      <w:bodyDiv w:val="1"/>
      <w:marLeft w:val="0"/>
      <w:marRight w:val="0"/>
      <w:marTop w:val="0"/>
      <w:marBottom w:val="0"/>
      <w:divBdr>
        <w:top w:val="none" w:sz="0" w:space="0" w:color="auto"/>
        <w:left w:val="none" w:sz="0" w:space="0" w:color="auto"/>
        <w:bottom w:val="none" w:sz="0" w:space="0" w:color="auto"/>
        <w:right w:val="none" w:sz="0" w:space="0" w:color="auto"/>
      </w:divBdr>
    </w:div>
    <w:div w:id="1418357630">
      <w:bodyDiv w:val="1"/>
      <w:marLeft w:val="0"/>
      <w:marRight w:val="0"/>
      <w:marTop w:val="0"/>
      <w:marBottom w:val="0"/>
      <w:divBdr>
        <w:top w:val="none" w:sz="0" w:space="0" w:color="auto"/>
        <w:left w:val="none" w:sz="0" w:space="0" w:color="auto"/>
        <w:bottom w:val="none" w:sz="0" w:space="0" w:color="auto"/>
        <w:right w:val="none" w:sz="0" w:space="0" w:color="auto"/>
      </w:divBdr>
    </w:div>
    <w:div w:id="1420952707">
      <w:bodyDiv w:val="1"/>
      <w:marLeft w:val="0"/>
      <w:marRight w:val="0"/>
      <w:marTop w:val="0"/>
      <w:marBottom w:val="0"/>
      <w:divBdr>
        <w:top w:val="none" w:sz="0" w:space="0" w:color="auto"/>
        <w:left w:val="none" w:sz="0" w:space="0" w:color="auto"/>
        <w:bottom w:val="none" w:sz="0" w:space="0" w:color="auto"/>
        <w:right w:val="none" w:sz="0" w:space="0" w:color="auto"/>
      </w:divBdr>
    </w:div>
    <w:div w:id="1423257112">
      <w:bodyDiv w:val="1"/>
      <w:marLeft w:val="0"/>
      <w:marRight w:val="0"/>
      <w:marTop w:val="0"/>
      <w:marBottom w:val="0"/>
      <w:divBdr>
        <w:top w:val="none" w:sz="0" w:space="0" w:color="auto"/>
        <w:left w:val="none" w:sz="0" w:space="0" w:color="auto"/>
        <w:bottom w:val="none" w:sz="0" w:space="0" w:color="auto"/>
        <w:right w:val="none" w:sz="0" w:space="0" w:color="auto"/>
      </w:divBdr>
    </w:div>
    <w:div w:id="1425492074">
      <w:bodyDiv w:val="1"/>
      <w:marLeft w:val="0"/>
      <w:marRight w:val="0"/>
      <w:marTop w:val="0"/>
      <w:marBottom w:val="0"/>
      <w:divBdr>
        <w:top w:val="none" w:sz="0" w:space="0" w:color="auto"/>
        <w:left w:val="none" w:sz="0" w:space="0" w:color="auto"/>
        <w:bottom w:val="none" w:sz="0" w:space="0" w:color="auto"/>
        <w:right w:val="none" w:sz="0" w:space="0" w:color="auto"/>
      </w:divBdr>
    </w:div>
    <w:div w:id="1426489059">
      <w:bodyDiv w:val="1"/>
      <w:marLeft w:val="0"/>
      <w:marRight w:val="0"/>
      <w:marTop w:val="0"/>
      <w:marBottom w:val="0"/>
      <w:divBdr>
        <w:top w:val="none" w:sz="0" w:space="0" w:color="auto"/>
        <w:left w:val="none" w:sz="0" w:space="0" w:color="auto"/>
        <w:bottom w:val="none" w:sz="0" w:space="0" w:color="auto"/>
        <w:right w:val="none" w:sz="0" w:space="0" w:color="auto"/>
      </w:divBdr>
    </w:div>
    <w:div w:id="1429807514">
      <w:bodyDiv w:val="1"/>
      <w:marLeft w:val="0"/>
      <w:marRight w:val="0"/>
      <w:marTop w:val="0"/>
      <w:marBottom w:val="0"/>
      <w:divBdr>
        <w:top w:val="none" w:sz="0" w:space="0" w:color="auto"/>
        <w:left w:val="none" w:sz="0" w:space="0" w:color="auto"/>
        <w:bottom w:val="none" w:sz="0" w:space="0" w:color="auto"/>
        <w:right w:val="none" w:sz="0" w:space="0" w:color="auto"/>
      </w:divBdr>
    </w:div>
    <w:div w:id="1430349924">
      <w:bodyDiv w:val="1"/>
      <w:marLeft w:val="0"/>
      <w:marRight w:val="0"/>
      <w:marTop w:val="0"/>
      <w:marBottom w:val="0"/>
      <w:divBdr>
        <w:top w:val="none" w:sz="0" w:space="0" w:color="auto"/>
        <w:left w:val="none" w:sz="0" w:space="0" w:color="auto"/>
        <w:bottom w:val="none" w:sz="0" w:space="0" w:color="auto"/>
        <w:right w:val="none" w:sz="0" w:space="0" w:color="auto"/>
      </w:divBdr>
    </w:div>
    <w:div w:id="1440027128">
      <w:bodyDiv w:val="1"/>
      <w:marLeft w:val="0"/>
      <w:marRight w:val="0"/>
      <w:marTop w:val="0"/>
      <w:marBottom w:val="0"/>
      <w:divBdr>
        <w:top w:val="none" w:sz="0" w:space="0" w:color="auto"/>
        <w:left w:val="none" w:sz="0" w:space="0" w:color="auto"/>
        <w:bottom w:val="none" w:sz="0" w:space="0" w:color="auto"/>
        <w:right w:val="none" w:sz="0" w:space="0" w:color="auto"/>
      </w:divBdr>
    </w:div>
    <w:div w:id="1443649219">
      <w:bodyDiv w:val="1"/>
      <w:marLeft w:val="0"/>
      <w:marRight w:val="0"/>
      <w:marTop w:val="0"/>
      <w:marBottom w:val="0"/>
      <w:divBdr>
        <w:top w:val="none" w:sz="0" w:space="0" w:color="auto"/>
        <w:left w:val="none" w:sz="0" w:space="0" w:color="auto"/>
        <w:bottom w:val="none" w:sz="0" w:space="0" w:color="auto"/>
        <w:right w:val="none" w:sz="0" w:space="0" w:color="auto"/>
      </w:divBdr>
    </w:div>
    <w:div w:id="1447114461">
      <w:bodyDiv w:val="1"/>
      <w:marLeft w:val="0"/>
      <w:marRight w:val="0"/>
      <w:marTop w:val="0"/>
      <w:marBottom w:val="0"/>
      <w:divBdr>
        <w:top w:val="none" w:sz="0" w:space="0" w:color="auto"/>
        <w:left w:val="none" w:sz="0" w:space="0" w:color="auto"/>
        <w:bottom w:val="none" w:sz="0" w:space="0" w:color="auto"/>
        <w:right w:val="none" w:sz="0" w:space="0" w:color="auto"/>
      </w:divBdr>
    </w:div>
    <w:div w:id="1447431988">
      <w:bodyDiv w:val="1"/>
      <w:marLeft w:val="0"/>
      <w:marRight w:val="0"/>
      <w:marTop w:val="0"/>
      <w:marBottom w:val="0"/>
      <w:divBdr>
        <w:top w:val="none" w:sz="0" w:space="0" w:color="auto"/>
        <w:left w:val="none" w:sz="0" w:space="0" w:color="auto"/>
        <w:bottom w:val="none" w:sz="0" w:space="0" w:color="auto"/>
        <w:right w:val="none" w:sz="0" w:space="0" w:color="auto"/>
      </w:divBdr>
    </w:div>
    <w:div w:id="1450275883">
      <w:bodyDiv w:val="1"/>
      <w:marLeft w:val="0"/>
      <w:marRight w:val="0"/>
      <w:marTop w:val="0"/>
      <w:marBottom w:val="0"/>
      <w:divBdr>
        <w:top w:val="none" w:sz="0" w:space="0" w:color="auto"/>
        <w:left w:val="none" w:sz="0" w:space="0" w:color="auto"/>
        <w:bottom w:val="none" w:sz="0" w:space="0" w:color="auto"/>
        <w:right w:val="none" w:sz="0" w:space="0" w:color="auto"/>
      </w:divBdr>
    </w:div>
    <w:div w:id="1451364312">
      <w:bodyDiv w:val="1"/>
      <w:marLeft w:val="0"/>
      <w:marRight w:val="0"/>
      <w:marTop w:val="0"/>
      <w:marBottom w:val="0"/>
      <w:divBdr>
        <w:top w:val="none" w:sz="0" w:space="0" w:color="auto"/>
        <w:left w:val="none" w:sz="0" w:space="0" w:color="auto"/>
        <w:bottom w:val="none" w:sz="0" w:space="0" w:color="auto"/>
        <w:right w:val="none" w:sz="0" w:space="0" w:color="auto"/>
      </w:divBdr>
    </w:div>
    <w:div w:id="1453207314">
      <w:bodyDiv w:val="1"/>
      <w:marLeft w:val="0"/>
      <w:marRight w:val="0"/>
      <w:marTop w:val="0"/>
      <w:marBottom w:val="0"/>
      <w:divBdr>
        <w:top w:val="none" w:sz="0" w:space="0" w:color="auto"/>
        <w:left w:val="none" w:sz="0" w:space="0" w:color="auto"/>
        <w:bottom w:val="none" w:sz="0" w:space="0" w:color="auto"/>
        <w:right w:val="none" w:sz="0" w:space="0" w:color="auto"/>
      </w:divBdr>
    </w:div>
    <w:div w:id="1472407866">
      <w:bodyDiv w:val="1"/>
      <w:marLeft w:val="0"/>
      <w:marRight w:val="0"/>
      <w:marTop w:val="0"/>
      <w:marBottom w:val="0"/>
      <w:divBdr>
        <w:top w:val="none" w:sz="0" w:space="0" w:color="auto"/>
        <w:left w:val="none" w:sz="0" w:space="0" w:color="auto"/>
        <w:bottom w:val="none" w:sz="0" w:space="0" w:color="auto"/>
        <w:right w:val="none" w:sz="0" w:space="0" w:color="auto"/>
      </w:divBdr>
    </w:div>
    <w:div w:id="1472552251">
      <w:bodyDiv w:val="1"/>
      <w:marLeft w:val="0"/>
      <w:marRight w:val="0"/>
      <w:marTop w:val="0"/>
      <w:marBottom w:val="0"/>
      <w:divBdr>
        <w:top w:val="none" w:sz="0" w:space="0" w:color="auto"/>
        <w:left w:val="none" w:sz="0" w:space="0" w:color="auto"/>
        <w:bottom w:val="none" w:sz="0" w:space="0" w:color="auto"/>
        <w:right w:val="none" w:sz="0" w:space="0" w:color="auto"/>
      </w:divBdr>
    </w:div>
    <w:div w:id="1478033592">
      <w:bodyDiv w:val="1"/>
      <w:marLeft w:val="0"/>
      <w:marRight w:val="0"/>
      <w:marTop w:val="0"/>
      <w:marBottom w:val="0"/>
      <w:divBdr>
        <w:top w:val="none" w:sz="0" w:space="0" w:color="auto"/>
        <w:left w:val="none" w:sz="0" w:space="0" w:color="auto"/>
        <w:bottom w:val="none" w:sz="0" w:space="0" w:color="auto"/>
        <w:right w:val="none" w:sz="0" w:space="0" w:color="auto"/>
      </w:divBdr>
    </w:div>
    <w:div w:id="1479150689">
      <w:bodyDiv w:val="1"/>
      <w:marLeft w:val="0"/>
      <w:marRight w:val="0"/>
      <w:marTop w:val="0"/>
      <w:marBottom w:val="0"/>
      <w:divBdr>
        <w:top w:val="none" w:sz="0" w:space="0" w:color="auto"/>
        <w:left w:val="none" w:sz="0" w:space="0" w:color="auto"/>
        <w:bottom w:val="none" w:sz="0" w:space="0" w:color="auto"/>
        <w:right w:val="none" w:sz="0" w:space="0" w:color="auto"/>
      </w:divBdr>
    </w:div>
    <w:div w:id="1483159415">
      <w:bodyDiv w:val="1"/>
      <w:marLeft w:val="0"/>
      <w:marRight w:val="0"/>
      <w:marTop w:val="0"/>
      <w:marBottom w:val="0"/>
      <w:divBdr>
        <w:top w:val="none" w:sz="0" w:space="0" w:color="auto"/>
        <w:left w:val="none" w:sz="0" w:space="0" w:color="auto"/>
        <w:bottom w:val="none" w:sz="0" w:space="0" w:color="auto"/>
        <w:right w:val="none" w:sz="0" w:space="0" w:color="auto"/>
      </w:divBdr>
    </w:div>
    <w:div w:id="1483883264">
      <w:bodyDiv w:val="1"/>
      <w:marLeft w:val="0"/>
      <w:marRight w:val="0"/>
      <w:marTop w:val="0"/>
      <w:marBottom w:val="0"/>
      <w:divBdr>
        <w:top w:val="none" w:sz="0" w:space="0" w:color="auto"/>
        <w:left w:val="none" w:sz="0" w:space="0" w:color="auto"/>
        <w:bottom w:val="none" w:sz="0" w:space="0" w:color="auto"/>
        <w:right w:val="none" w:sz="0" w:space="0" w:color="auto"/>
      </w:divBdr>
    </w:div>
    <w:div w:id="1493132392">
      <w:bodyDiv w:val="1"/>
      <w:marLeft w:val="0"/>
      <w:marRight w:val="0"/>
      <w:marTop w:val="0"/>
      <w:marBottom w:val="0"/>
      <w:divBdr>
        <w:top w:val="none" w:sz="0" w:space="0" w:color="auto"/>
        <w:left w:val="none" w:sz="0" w:space="0" w:color="auto"/>
        <w:bottom w:val="none" w:sz="0" w:space="0" w:color="auto"/>
        <w:right w:val="none" w:sz="0" w:space="0" w:color="auto"/>
      </w:divBdr>
    </w:div>
    <w:div w:id="1498375442">
      <w:bodyDiv w:val="1"/>
      <w:marLeft w:val="0"/>
      <w:marRight w:val="0"/>
      <w:marTop w:val="0"/>
      <w:marBottom w:val="0"/>
      <w:divBdr>
        <w:top w:val="none" w:sz="0" w:space="0" w:color="auto"/>
        <w:left w:val="none" w:sz="0" w:space="0" w:color="auto"/>
        <w:bottom w:val="none" w:sz="0" w:space="0" w:color="auto"/>
        <w:right w:val="none" w:sz="0" w:space="0" w:color="auto"/>
      </w:divBdr>
    </w:div>
    <w:div w:id="1502431157">
      <w:bodyDiv w:val="1"/>
      <w:marLeft w:val="0"/>
      <w:marRight w:val="0"/>
      <w:marTop w:val="0"/>
      <w:marBottom w:val="0"/>
      <w:divBdr>
        <w:top w:val="none" w:sz="0" w:space="0" w:color="auto"/>
        <w:left w:val="none" w:sz="0" w:space="0" w:color="auto"/>
        <w:bottom w:val="none" w:sz="0" w:space="0" w:color="auto"/>
        <w:right w:val="none" w:sz="0" w:space="0" w:color="auto"/>
      </w:divBdr>
    </w:div>
    <w:div w:id="1506047308">
      <w:bodyDiv w:val="1"/>
      <w:marLeft w:val="0"/>
      <w:marRight w:val="0"/>
      <w:marTop w:val="0"/>
      <w:marBottom w:val="0"/>
      <w:divBdr>
        <w:top w:val="none" w:sz="0" w:space="0" w:color="auto"/>
        <w:left w:val="none" w:sz="0" w:space="0" w:color="auto"/>
        <w:bottom w:val="none" w:sz="0" w:space="0" w:color="auto"/>
        <w:right w:val="none" w:sz="0" w:space="0" w:color="auto"/>
      </w:divBdr>
    </w:div>
    <w:div w:id="1508592738">
      <w:bodyDiv w:val="1"/>
      <w:marLeft w:val="0"/>
      <w:marRight w:val="0"/>
      <w:marTop w:val="0"/>
      <w:marBottom w:val="0"/>
      <w:divBdr>
        <w:top w:val="none" w:sz="0" w:space="0" w:color="auto"/>
        <w:left w:val="none" w:sz="0" w:space="0" w:color="auto"/>
        <w:bottom w:val="none" w:sz="0" w:space="0" w:color="auto"/>
        <w:right w:val="none" w:sz="0" w:space="0" w:color="auto"/>
      </w:divBdr>
    </w:div>
    <w:div w:id="1508716294">
      <w:bodyDiv w:val="1"/>
      <w:marLeft w:val="0"/>
      <w:marRight w:val="0"/>
      <w:marTop w:val="0"/>
      <w:marBottom w:val="0"/>
      <w:divBdr>
        <w:top w:val="none" w:sz="0" w:space="0" w:color="auto"/>
        <w:left w:val="none" w:sz="0" w:space="0" w:color="auto"/>
        <w:bottom w:val="none" w:sz="0" w:space="0" w:color="auto"/>
        <w:right w:val="none" w:sz="0" w:space="0" w:color="auto"/>
      </w:divBdr>
    </w:div>
    <w:div w:id="1510363986">
      <w:bodyDiv w:val="1"/>
      <w:marLeft w:val="0"/>
      <w:marRight w:val="0"/>
      <w:marTop w:val="0"/>
      <w:marBottom w:val="0"/>
      <w:divBdr>
        <w:top w:val="none" w:sz="0" w:space="0" w:color="auto"/>
        <w:left w:val="none" w:sz="0" w:space="0" w:color="auto"/>
        <w:bottom w:val="none" w:sz="0" w:space="0" w:color="auto"/>
        <w:right w:val="none" w:sz="0" w:space="0" w:color="auto"/>
      </w:divBdr>
    </w:div>
    <w:div w:id="1528906532">
      <w:bodyDiv w:val="1"/>
      <w:marLeft w:val="0"/>
      <w:marRight w:val="0"/>
      <w:marTop w:val="0"/>
      <w:marBottom w:val="0"/>
      <w:divBdr>
        <w:top w:val="none" w:sz="0" w:space="0" w:color="auto"/>
        <w:left w:val="none" w:sz="0" w:space="0" w:color="auto"/>
        <w:bottom w:val="none" w:sz="0" w:space="0" w:color="auto"/>
        <w:right w:val="none" w:sz="0" w:space="0" w:color="auto"/>
      </w:divBdr>
    </w:div>
    <w:div w:id="1534803403">
      <w:bodyDiv w:val="1"/>
      <w:marLeft w:val="0"/>
      <w:marRight w:val="0"/>
      <w:marTop w:val="0"/>
      <w:marBottom w:val="0"/>
      <w:divBdr>
        <w:top w:val="none" w:sz="0" w:space="0" w:color="auto"/>
        <w:left w:val="none" w:sz="0" w:space="0" w:color="auto"/>
        <w:bottom w:val="none" w:sz="0" w:space="0" w:color="auto"/>
        <w:right w:val="none" w:sz="0" w:space="0" w:color="auto"/>
      </w:divBdr>
    </w:div>
    <w:div w:id="1542671374">
      <w:bodyDiv w:val="1"/>
      <w:marLeft w:val="0"/>
      <w:marRight w:val="0"/>
      <w:marTop w:val="0"/>
      <w:marBottom w:val="0"/>
      <w:divBdr>
        <w:top w:val="none" w:sz="0" w:space="0" w:color="auto"/>
        <w:left w:val="none" w:sz="0" w:space="0" w:color="auto"/>
        <w:bottom w:val="none" w:sz="0" w:space="0" w:color="auto"/>
        <w:right w:val="none" w:sz="0" w:space="0" w:color="auto"/>
      </w:divBdr>
    </w:div>
    <w:div w:id="1546913522">
      <w:bodyDiv w:val="1"/>
      <w:marLeft w:val="0"/>
      <w:marRight w:val="0"/>
      <w:marTop w:val="0"/>
      <w:marBottom w:val="0"/>
      <w:divBdr>
        <w:top w:val="none" w:sz="0" w:space="0" w:color="auto"/>
        <w:left w:val="none" w:sz="0" w:space="0" w:color="auto"/>
        <w:bottom w:val="none" w:sz="0" w:space="0" w:color="auto"/>
        <w:right w:val="none" w:sz="0" w:space="0" w:color="auto"/>
      </w:divBdr>
    </w:div>
    <w:div w:id="1552814116">
      <w:bodyDiv w:val="1"/>
      <w:marLeft w:val="0"/>
      <w:marRight w:val="0"/>
      <w:marTop w:val="0"/>
      <w:marBottom w:val="0"/>
      <w:divBdr>
        <w:top w:val="none" w:sz="0" w:space="0" w:color="auto"/>
        <w:left w:val="none" w:sz="0" w:space="0" w:color="auto"/>
        <w:bottom w:val="none" w:sz="0" w:space="0" w:color="auto"/>
        <w:right w:val="none" w:sz="0" w:space="0" w:color="auto"/>
      </w:divBdr>
    </w:div>
    <w:div w:id="1554269961">
      <w:bodyDiv w:val="1"/>
      <w:marLeft w:val="0"/>
      <w:marRight w:val="0"/>
      <w:marTop w:val="0"/>
      <w:marBottom w:val="0"/>
      <w:divBdr>
        <w:top w:val="none" w:sz="0" w:space="0" w:color="auto"/>
        <w:left w:val="none" w:sz="0" w:space="0" w:color="auto"/>
        <w:bottom w:val="none" w:sz="0" w:space="0" w:color="auto"/>
        <w:right w:val="none" w:sz="0" w:space="0" w:color="auto"/>
      </w:divBdr>
    </w:div>
    <w:div w:id="1566187698">
      <w:bodyDiv w:val="1"/>
      <w:marLeft w:val="0"/>
      <w:marRight w:val="0"/>
      <w:marTop w:val="0"/>
      <w:marBottom w:val="0"/>
      <w:divBdr>
        <w:top w:val="none" w:sz="0" w:space="0" w:color="auto"/>
        <w:left w:val="none" w:sz="0" w:space="0" w:color="auto"/>
        <w:bottom w:val="none" w:sz="0" w:space="0" w:color="auto"/>
        <w:right w:val="none" w:sz="0" w:space="0" w:color="auto"/>
      </w:divBdr>
    </w:div>
    <w:div w:id="1577786974">
      <w:bodyDiv w:val="1"/>
      <w:marLeft w:val="0"/>
      <w:marRight w:val="0"/>
      <w:marTop w:val="0"/>
      <w:marBottom w:val="0"/>
      <w:divBdr>
        <w:top w:val="none" w:sz="0" w:space="0" w:color="auto"/>
        <w:left w:val="none" w:sz="0" w:space="0" w:color="auto"/>
        <w:bottom w:val="none" w:sz="0" w:space="0" w:color="auto"/>
        <w:right w:val="none" w:sz="0" w:space="0" w:color="auto"/>
      </w:divBdr>
    </w:div>
    <w:div w:id="1582134783">
      <w:bodyDiv w:val="1"/>
      <w:marLeft w:val="0"/>
      <w:marRight w:val="0"/>
      <w:marTop w:val="0"/>
      <w:marBottom w:val="0"/>
      <w:divBdr>
        <w:top w:val="none" w:sz="0" w:space="0" w:color="auto"/>
        <w:left w:val="none" w:sz="0" w:space="0" w:color="auto"/>
        <w:bottom w:val="none" w:sz="0" w:space="0" w:color="auto"/>
        <w:right w:val="none" w:sz="0" w:space="0" w:color="auto"/>
      </w:divBdr>
    </w:div>
    <w:div w:id="1582258357">
      <w:bodyDiv w:val="1"/>
      <w:marLeft w:val="0"/>
      <w:marRight w:val="0"/>
      <w:marTop w:val="0"/>
      <w:marBottom w:val="0"/>
      <w:divBdr>
        <w:top w:val="none" w:sz="0" w:space="0" w:color="auto"/>
        <w:left w:val="none" w:sz="0" w:space="0" w:color="auto"/>
        <w:bottom w:val="none" w:sz="0" w:space="0" w:color="auto"/>
        <w:right w:val="none" w:sz="0" w:space="0" w:color="auto"/>
      </w:divBdr>
    </w:div>
    <w:div w:id="1582831985">
      <w:bodyDiv w:val="1"/>
      <w:marLeft w:val="0"/>
      <w:marRight w:val="0"/>
      <w:marTop w:val="0"/>
      <w:marBottom w:val="0"/>
      <w:divBdr>
        <w:top w:val="none" w:sz="0" w:space="0" w:color="auto"/>
        <w:left w:val="none" w:sz="0" w:space="0" w:color="auto"/>
        <w:bottom w:val="none" w:sz="0" w:space="0" w:color="auto"/>
        <w:right w:val="none" w:sz="0" w:space="0" w:color="auto"/>
      </w:divBdr>
    </w:div>
    <w:div w:id="1601523865">
      <w:bodyDiv w:val="1"/>
      <w:marLeft w:val="0"/>
      <w:marRight w:val="0"/>
      <w:marTop w:val="0"/>
      <w:marBottom w:val="0"/>
      <w:divBdr>
        <w:top w:val="none" w:sz="0" w:space="0" w:color="auto"/>
        <w:left w:val="none" w:sz="0" w:space="0" w:color="auto"/>
        <w:bottom w:val="none" w:sz="0" w:space="0" w:color="auto"/>
        <w:right w:val="none" w:sz="0" w:space="0" w:color="auto"/>
      </w:divBdr>
    </w:div>
    <w:div w:id="1607693091">
      <w:bodyDiv w:val="1"/>
      <w:marLeft w:val="0"/>
      <w:marRight w:val="0"/>
      <w:marTop w:val="0"/>
      <w:marBottom w:val="0"/>
      <w:divBdr>
        <w:top w:val="none" w:sz="0" w:space="0" w:color="auto"/>
        <w:left w:val="none" w:sz="0" w:space="0" w:color="auto"/>
        <w:bottom w:val="none" w:sz="0" w:space="0" w:color="auto"/>
        <w:right w:val="none" w:sz="0" w:space="0" w:color="auto"/>
      </w:divBdr>
    </w:div>
    <w:div w:id="1619332478">
      <w:bodyDiv w:val="1"/>
      <w:marLeft w:val="0"/>
      <w:marRight w:val="0"/>
      <w:marTop w:val="0"/>
      <w:marBottom w:val="0"/>
      <w:divBdr>
        <w:top w:val="none" w:sz="0" w:space="0" w:color="auto"/>
        <w:left w:val="none" w:sz="0" w:space="0" w:color="auto"/>
        <w:bottom w:val="none" w:sz="0" w:space="0" w:color="auto"/>
        <w:right w:val="none" w:sz="0" w:space="0" w:color="auto"/>
      </w:divBdr>
    </w:div>
    <w:div w:id="1621498860">
      <w:bodyDiv w:val="1"/>
      <w:marLeft w:val="0"/>
      <w:marRight w:val="0"/>
      <w:marTop w:val="0"/>
      <w:marBottom w:val="0"/>
      <w:divBdr>
        <w:top w:val="none" w:sz="0" w:space="0" w:color="auto"/>
        <w:left w:val="none" w:sz="0" w:space="0" w:color="auto"/>
        <w:bottom w:val="none" w:sz="0" w:space="0" w:color="auto"/>
        <w:right w:val="none" w:sz="0" w:space="0" w:color="auto"/>
      </w:divBdr>
    </w:div>
    <w:div w:id="1626815814">
      <w:bodyDiv w:val="1"/>
      <w:marLeft w:val="0"/>
      <w:marRight w:val="0"/>
      <w:marTop w:val="0"/>
      <w:marBottom w:val="0"/>
      <w:divBdr>
        <w:top w:val="none" w:sz="0" w:space="0" w:color="auto"/>
        <w:left w:val="none" w:sz="0" w:space="0" w:color="auto"/>
        <w:bottom w:val="none" w:sz="0" w:space="0" w:color="auto"/>
        <w:right w:val="none" w:sz="0" w:space="0" w:color="auto"/>
      </w:divBdr>
    </w:div>
    <w:div w:id="1629121186">
      <w:bodyDiv w:val="1"/>
      <w:marLeft w:val="0"/>
      <w:marRight w:val="0"/>
      <w:marTop w:val="0"/>
      <w:marBottom w:val="0"/>
      <w:divBdr>
        <w:top w:val="none" w:sz="0" w:space="0" w:color="auto"/>
        <w:left w:val="none" w:sz="0" w:space="0" w:color="auto"/>
        <w:bottom w:val="none" w:sz="0" w:space="0" w:color="auto"/>
        <w:right w:val="none" w:sz="0" w:space="0" w:color="auto"/>
      </w:divBdr>
    </w:div>
    <w:div w:id="1631785844">
      <w:bodyDiv w:val="1"/>
      <w:marLeft w:val="0"/>
      <w:marRight w:val="0"/>
      <w:marTop w:val="0"/>
      <w:marBottom w:val="0"/>
      <w:divBdr>
        <w:top w:val="none" w:sz="0" w:space="0" w:color="auto"/>
        <w:left w:val="none" w:sz="0" w:space="0" w:color="auto"/>
        <w:bottom w:val="none" w:sz="0" w:space="0" w:color="auto"/>
        <w:right w:val="none" w:sz="0" w:space="0" w:color="auto"/>
      </w:divBdr>
    </w:div>
    <w:div w:id="1633366814">
      <w:bodyDiv w:val="1"/>
      <w:marLeft w:val="0"/>
      <w:marRight w:val="0"/>
      <w:marTop w:val="0"/>
      <w:marBottom w:val="0"/>
      <w:divBdr>
        <w:top w:val="none" w:sz="0" w:space="0" w:color="auto"/>
        <w:left w:val="none" w:sz="0" w:space="0" w:color="auto"/>
        <w:bottom w:val="none" w:sz="0" w:space="0" w:color="auto"/>
        <w:right w:val="none" w:sz="0" w:space="0" w:color="auto"/>
      </w:divBdr>
    </w:div>
    <w:div w:id="1641838877">
      <w:bodyDiv w:val="1"/>
      <w:marLeft w:val="0"/>
      <w:marRight w:val="0"/>
      <w:marTop w:val="0"/>
      <w:marBottom w:val="0"/>
      <w:divBdr>
        <w:top w:val="none" w:sz="0" w:space="0" w:color="auto"/>
        <w:left w:val="none" w:sz="0" w:space="0" w:color="auto"/>
        <w:bottom w:val="none" w:sz="0" w:space="0" w:color="auto"/>
        <w:right w:val="none" w:sz="0" w:space="0" w:color="auto"/>
      </w:divBdr>
    </w:div>
    <w:div w:id="1647472846">
      <w:bodyDiv w:val="1"/>
      <w:marLeft w:val="0"/>
      <w:marRight w:val="0"/>
      <w:marTop w:val="0"/>
      <w:marBottom w:val="0"/>
      <w:divBdr>
        <w:top w:val="none" w:sz="0" w:space="0" w:color="auto"/>
        <w:left w:val="none" w:sz="0" w:space="0" w:color="auto"/>
        <w:bottom w:val="none" w:sz="0" w:space="0" w:color="auto"/>
        <w:right w:val="none" w:sz="0" w:space="0" w:color="auto"/>
      </w:divBdr>
    </w:div>
    <w:div w:id="1658999288">
      <w:bodyDiv w:val="1"/>
      <w:marLeft w:val="0"/>
      <w:marRight w:val="0"/>
      <w:marTop w:val="0"/>
      <w:marBottom w:val="0"/>
      <w:divBdr>
        <w:top w:val="none" w:sz="0" w:space="0" w:color="auto"/>
        <w:left w:val="none" w:sz="0" w:space="0" w:color="auto"/>
        <w:bottom w:val="none" w:sz="0" w:space="0" w:color="auto"/>
        <w:right w:val="none" w:sz="0" w:space="0" w:color="auto"/>
      </w:divBdr>
    </w:div>
    <w:div w:id="1675299799">
      <w:bodyDiv w:val="1"/>
      <w:marLeft w:val="0"/>
      <w:marRight w:val="0"/>
      <w:marTop w:val="0"/>
      <w:marBottom w:val="0"/>
      <w:divBdr>
        <w:top w:val="none" w:sz="0" w:space="0" w:color="auto"/>
        <w:left w:val="none" w:sz="0" w:space="0" w:color="auto"/>
        <w:bottom w:val="none" w:sz="0" w:space="0" w:color="auto"/>
        <w:right w:val="none" w:sz="0" w:space="0" w:color="auto"/>
      </w:divBdr>
    </w:div>
    <w:div w:id="1682396284">
      <w:bodyDiv w:val="1"/>
      <w:marLeft w:val="0"/>
      <w:marRight w:val="0"/>
      <w:marTop w:val="0"/>
      <w:marBottom w:val="0"/>
      <w:divBdr>
        <w:top w:val="none" w:sz="0" w:space="0" w:color="auto"/>
        <w:left w:val="none" w:sz="0" w:space="0" w:color="auto"/>
        <w:bottom w:val="none" w:sz="0" w:space="0" w:color="auto"/>
        <w:right w:val="none" w:sz="0" w:space="0" w:color="auto"/>
      </w:divBdr>
    </w:div>
    <w:div w:id="1685479924">
      <w:bodyDiv w:val="1"/>
      <w:marLeft w:val="0"/>
      <w:marRight w:val="0"/>
      <w:marTop w:val="0"/>
      <w:marBottom w:val="0"/>
      <w:divBdr>
        <w:top w:val="none" w:sz="0" w:space="0" w:color="auto"/>
        <w:left w:val="none" w:sz="0" w:space="0" w:color="auto"/>
        <w:bottom w:val="none" w:sz="0" w:space="0" w:color="auto"/>
        <w:right w:val="none" w:sz="0" w:space="0" w:color="auto"/>
      </w:divBdr>
    </w:div>
    <w:div w:id="1687059072">
      <w:bodyDiv w:val="1"/>
      <w:marLeft w:val="0"/>
      <w:marRight w:val="0"/>
      <w:marTop w:val="0"/>
      <w:marBottom w:val="0"/>
      <w:divBdr>
        <w:top w:val="none" w:sz="0" w:space="0" w:color="auto"/>
        <w:left w:val="none" w:sz="0" w:space="0" w:color="auto"/>
        <w:bottom w:val="none" w:sz="0" w:space="0" w:color="auto"/>
        <w:right w:val="none" w:sz="0" w:space="0" w:color="auto"/>
      </w:divBdr>
    </w:div>
    <w:div w:id="1695493402">
      <w:bodyDiv w:val="1"/>
      <w:marLeft w:val="0"/>
      <w:marRight w:val="0"/>
      <w:marTop w:val="0"/>
      <w:marBottom w:val="0"/>
      <w:divBdr>
        <w:top w:val="none" w:sz="0" w:space="0" w:color="auto"/>
        <w:left w:val="none" w:sz="0" w:space="0" w:color="auto"/>
        <w:bottom w:val="none" w:sz="0" w:space="0" w:color="auto"/>
        <w:right w:val="none" w:sz="0" w:space="0" w:color="auto"/>
      </w:divBdr>
    </w:div>
    <w:div w:id="1695615503">
      <w:bodyDiv w:val="1"/>
      <w:marLeft w:val="0"/>
      <w:marRight w:val="0"/>
      <w:marTop w:val="0"/>
      <w:marBottom w:val="0"/>
      <w:divBdr>
        <w:top w:val="none" w:sz="0" w:space="0" w:color="auto"/>
        <w:left w:val="none" w:sz="0" w:space="0" w:color="auto"/>
        <w:bottom w:val="none" w:sz="0" w:space="0" w:color="auto"/>
        <w:right w:val="none" w:sz="0" w:space="0" w:color="auto"/>
      </w:divBdr>
    </w:div>
    <w:div w:id="1699811409">
      <w:bodyDiv w:val="1"/>
      <w:marLeft w:val="0"/>
      <w:marRight w:val="0"/>
      <w:marTop w:val="0"/>
      <w:marBottom w:val="0"/>
      <w:divBdr>
        <w:top w:val="none" w:sz="0" w:space="0" w:color="auto"/>
        <w:left w:val="none" w:sz="0" w:space="0" w:color="auto"/>
        <w:bottom w:val="none" w:sz="0" w:space="0" w:color="auto"/>
        <w:right w:val="none" w:sz="0" w:space="0" w:color="auto"/>
      </w:divBdr>
    </w:div>
    <w:div w:id="1707368632">
      <w:bodyDiv w:val="1"/>
      <w:marLeft w:val="0"/>
      <w:marRight w:val="0"/>
      <w:marTop w:val="0"/>
      <w:marBottom w:val="0"/>
      <w:divBdr>
        <w:top w:val="none" w:sz="0" w:space="0" w:color="auto"/>
        <w:left w:val="none" w:sz="0" w:space="0" w:color="auto"/>
        <w:bottom w:val="none" w:sz="0" w:space="0" w:color="auto"/>
        <w:right w:val="none" w:sz="0" w:space="0" w:color="auto"/>
      </w:divBdr>
    </w:div>
    <w:div w:id="1714232789">
      <w:bodyDiv w:val="1"/>
      <w:marLeft w:val="0"/>
      <w:marRight w:val="0"/>
      <w:marTop w:val="0"/>
      <w:marBottom w:val="0"/>
      <w:divBdr>
        <w:top w:val="none" w:sz="0" w:space="0" w:color="auto"/>
        <w:left w:val="none" w:sz="0" w:space="0" w:color="auto"/>
        <w:bottom w:val="none" w:sz="0" w:space="0" w:color="auto"/>
        <w:right w:val="none" w:sz="0" w:space="0" w:color="auto"/>
      </w:divBdr>
    </w:div>
    <w:div w:id="1717198215">
      <w:bodyDiv w:val="1"/>
      <w:marLeft w:val="0"/>
      <w:marRight w:val="0"/>
      <w:marTop w:val="0"/>
      <w:marBottom w:val="0"/>
      <w:divBdr>
        <w:top w:val="none" w:sz="0" w:space="0" w:color="auto"/>
        <w:left w:val="none" w:sz="0" w:space="0" w:color="auto"/>
        <w:bottom w:val="none" w:sz="0" w:space="0" w:color="auto"/>
        <w:right w:val="none" w:sz="0" w:space="0" w:color="auto"/>
      </w:divBdr>
    </w:div>
    <w:div w:id="1723365398">
      <w:bodyDiv w:val="1"/>
      <w:marLeft w:val="0"/>
      <w:marRight w:val="0"/>
      <w:marTop w:val="0"/>
      <w:marBottom w:val="0"/>
      <w:divBdr>
        <w:top w:val="none" w:sz="0" w:space="0" w:color="auto"/>
        <w:left w:val="none" w:sz="0" w:space="0" w:color="auto"/>
        <w:bottom w:val="none" w:sz="0" w:space="0" w:color="auto"/>
        <w:right w:val="none" w:sz="0" w:space="0" w:color="auto"/>
      </w:divBdr>
    </w:div>
    <w:div w:id="1732271383">
      <w:bodyDiv w:val="1"/>
      <w:marLeft w:val="0"/>
      <w:marRight w:val="0"/>
      <w:marTop w:val="0"/>
      <w:marBottom w:val="0"/>
      <w:divBdr>
        <w:top w:val="none" w:sz="0" w:space="0" w:color="auto"/>
        <w:left w:val="none" w:sz="0" w:space="0" w:color="auto"/>
        <w:bottom w:val="none" w:sz="0" w:space="0" w:color="auto"/>
        <w:right w:val="none" w:sz="0" w:space="0" w:color="auto"/>
      </w:divBdr>
    </w:div>
    <w:div w:id="1734426793">
      <w:bodyDiv w:val="1"/>
      <w:marLeft w:val="0"/>
      <w:marRight w:val="0"/>
      <w:marTop w:val="0"/>
      <w:marBottom w:val="0"/>
      <w:divBdr>
        <w:top w:val="none" w:sz="0" w:space="0" w:color="auto"/>
        <w:left w:val="none" w:sz="0" w:space="0" w:color="auto"/>
        <w:bottom w:val="none" w:sz="0" w:space="0" w:color="auto"/>
        <w:right w:val="none" w:sz="0" w:space="0" w:color="auto"/>
      </w:divBdr>
    </w:div>
    <w:div w:id="1747876537">
      <w:bodyDiv w:val="1"/>
      <w:marLeft w:val="0"/>
      <w:marRight w:val="0"/>
      <w:marTop w:val="0"/>
      <w:marBottom w:val="0"/>
      <w:divBdr>
        <w:top w:val="none" w:sz="0" w:space="0" w:color="auto"/>
        <w:left w:val="none" w:sz="0" w:space="0" w:color="auto"/>
        <w:bottom w:val="none" w:sz="0" w:space="0" w:color="auto"/>
        <w:right w:val="none" w:sz="0" w:space="0" w:color="auto"/>
      </w:divBdr>
    </w:div>
    <w:div w:id="1759473917">
      <w:bodyDiv w:val="1"/>
      <w:marLeft w:val="0"/>
      <w:marRight w:val="0"/>
      <w:marTop w:val="0"/>
      <w:marBottom w:val="0"/>
      <w:divBdr>
        <w:top w:val="none" w:sz="0" w:space="0" w:color="auto"/>
        <w:left w:val="none" w:sz="0" w:space="0" w:color="auto"/>
        <w:bottom w:val="none" w:sz="0" w:space="0" w:color="auto"/>
        <w:right w:val="none" w:sz="0" w:space="0" w:color="auto"/>
      </w:divBdr>
    </w:div>
    <w:div w:id="1759985723">
      <w:bodyDiv w:val="1"/>
      <w:marLeft w:val="0"/>
      <w:marRight w:val="0"/>
      <w:marTop w:val="0"/>
      <w:marBottom w:val="0"/>
      <w:divBdr>
        <w:top w:val="none" w:sz="0" w:space="0" w:color="auto"/>
        <w:left w:val="none" w:sz="0" w:space="0" w:color="auto"/>
        <w:bottom w:val="none" w:sz="0" w:space="0" w:color="auto"/>
        <w:right w:val="none" w:sz="0" w:space="0" w:color="auto"/>
      </w:divBdr>
    </w:div>
    <w:div w:id="1766148803">
      <w:bodyDiv w:val="1"/>
      <w:marLeft w:val="0"/>
      <w:marRight w:val="0"/>
      <w:marTop w:val="0"/>
      <w:marBottom w:val="0"/>
      <w:divBdr>
        <w:top w:val="none" w:sz="0" w:space="0" w:color="auto"/>
        <w:left w:val="none" w:sz="0" w:space="0" w:color="auto"/>
        <w:bottom w:val="none" w:sz="0" w:space="0" w:color="auto"/>
        <w:right w:val="none" w:sz="0" w:space="0" w:color="auto"/>
      </w:divBdr>
    </w:div>
    <w:div w:id="1775441801">
      <w:bodyDiv w:val="1"/>
      <w:marLeft w:val="0"/>
      <w:marRight w:val="0"/>
      <w:marTop w:val="0"/>
      <w:marBottom w:val="0"/>
      <w:divBdr>
        <w:top w:val="none" w:sz="0" w:space="0" w:color="auto"/>
        <w:left w:val="none" w:sz="0" w:space="0" w:color="auto"/>
        <w:bottom w:val="none" w:sz="0" w:space="0" w:color="auto"/>
        <w:right w:val="none" w:sz="0" w:space="0" w:color="auto"/>
      </w:divBdr>
    </w:div>
    <w:div w:id="1778713101">
      <w:bodyDiv w:val="1"/>
      <w:marLeft w:val="0"/>
      <w:marRight w:val="0"/>
      <w:marTop w:val="0"/>
      <w:marBottom w:val="0"/>
      <w:divBdr>
        <w:top w:val="none" w:sz="0" w:space="0" w:color="auto"/>
        <w:left w:val="none" w:sz="0" w:space="0" w:color="auto"/>
        <w:bottom w:val="none" w:sz="0" w:space="0" w:color="auto"/>
        <w:right w:val="none" w:sz="0" w:space="0" w:color="auto"/>
      </w:divBdr>
    </w:div>
    <w:div w:id="1780295987">
      <w:bodyDiv w:val="1"/>
      <w:marLeft w:val="0"/>
      <w:marRight w:val="0"/>
      <w:marTop w:val="0"/>
      <w:marBottom w:val="0"/>
      <w:divBdr>
        <w:top w:val="none" w:sz="0" w:space="0" w:color="auto"/>
        <w:left w:val="none" w:sz="0" w:space="0" w:color="auto"/>
        <w:bottom w:val="none" w:sz="0" w:space="0" w:color="auto"/>
        <w:right w:val="none" w:sz="0" w:space="0" w:color="auto"/>
      </w:divBdr>
    </w:div>
    <w:div w:id="1783573381">
      <w:bodyDiv w:val="1"/>
      <w:marLeft w:val="0"/>
      <w:marRight w:val="0"/>
      <w:marTop w:val="0"/>
      <w:marBottom w:val="0"/>
      <w:divBdr>
        <w:top w:val="none" w:sz="0" w:space="0" w:color="auto"/>
        <w:left w:val="none" w:sz="0" w:space="0" w:color="auto"/>
        <w:bottom w:val="none" w:sz="0" w:space="0" w:color="auto"/>
        <w:right w:val="none" w:sz="0" w:space="0" w:color="auto"/>
      </w:divBdr>
    </w:div>
    <w:div w:id="1784961726">
      <w:bodyDiv w:val="1"/>
      <w:marLeft w:val="0"/>
      <w:marRight w:val="0"/>
      <w:marTop w:val="0"/>
      <w:marBottom w:val="0"/>
      <w:divBdr>
        <w:top w:val="none" w:sz="0" w:space="0" w:color="auto"/>
        <w:left w:val="none" w:sz="0" w:space="0" w:color="auto"/>
        <w:bottom w:val="none" w:sz="0" w:space="0" w:color="auto"/>
        <w:right w:val="none" w:sz="0" w:space="0" w:color="auto"/>
      </w:divBdr>
    </w:div>
    <w:div w:id="1787694745">
      <w:bodyDiv w:val="1"/>
      <w:marLeft w:val="0"/>
      <w:marRight w:val="0"/>
      <w:marTop w:val="0"/>
      <w:marBottom w:val="0"/>
      <w:divBdr>
        <w:top w:val="none" w:sz="0" w:space="0" w:color="auto"/>
        <w:left w:val="none" w:sz="0" w:space="0" w:color="auto"/>
        <w:bottom w:val="none" w:sz="0" w:space="0" w:color="auto"/>
        <w:right w:val="none" w:sz="0" w:space="0" w:color="auto"/>
      </w:divBdr>
    </w:div>
    <w:div w:id="1788157399">
      <w:bodyDiv w:val="1"/>
      <w:marLeft w:val="0"/>
      <w:marRight w:val="0"/>
      <w:marTop w:val="0"/>
      <w:marBottom w:val="0"/>
      <w:divBdr>
        <w:top w:val="none" w:sz="0" w:space="0" w:color="auto"/>
        <w:left w:val="none" w:sz="0" w:space="0" w:color="auto"/>
        <w:bottom w:val="none" w:sz="0" w:space="0" w:color="auto"/>
        <w:right w:val="none" w:sz="0" w:space="0" w:color="auto"/>
      </w:divBdr>
    </w:div>
    <w:div w:id="1790123156">
      <w:bodyDiv w:val="1"/>
      <w:marLeft w:val="0"/>
      <w:marRight w:val="0"/>
      <w:marTop w:val="0"/>
      <w:marBottom w:val="0"/>
      <w:divBdr>
        <w:top w:val="none" w:sz="0" w:space="0" w:color="auto"/>
        <w:left w:val="none" w:sz="0" w:space="0" w:color="auto"/>
        <w:bottom w:val="none" w:sz="0" w:space="0" w:color="auto"/>
        <w:right w:val="none" w:sz="0" w:space="0" w:color="auto"/>
      </w:divBdr>
    </w:div>
    <w:div w:id="1795631891">
      <w:bodyDiv w:val="1"/>
      <w:marLeft w:val="0"/>
      <w:marRight w:val="0"/>
      <w:marTop w:val="0"/>
      <w:marBottom w:val="0"/>
      <w:divBdr>
        <w:top w:val="none" w:sz="0" w:space="0" w:color="auto"/>
        <w:left w:val="none" w:sz="0" w:space="0" w:color="auto"/>
        <w:bottom w:val="none" w:sz="0" w:space="0" w:color="auto"/>
        <w:right w:val="none" w:sz="0" w:space="0" w:color="auto"/>
      </w:divBdr>
    </w:div>
    <w:div w:id="1799445142">
      <w:bodyDiv w:val="1"/>
      <w:marLeft w:val="0"/>
      <w:marRight w:val="0"/>
      <w:marTop w:val="0"/>
      <w:marBottom w:val="0"/>
      <w:divBdr>
        <w:top w:val="none" w:sz="0" w:space="0" w:color="auto"/>
        <w:left w:val="none" w:sz="0" w:space="0" w:color="auto"/>
        <w:bottom w:val="none" w:sz="0" w:space="0" w:color="auto"/>
        <w:right w:val="none" w:sz="0" w:space="0" w:color="auto"/>
      </w:divBdr>
    </w:div>
    <w:div w:id="1802190337">
      <w:bodyDiv w:val="1"/>
      <w:marLeft w:val="0"/>
      <w:marRight w:val="0"/>
      <w:marTop w:val="0"/>
      <w:marBottom w:val="0"/>
      <w:divBdr>
        <w:top w:val="none" w:sz="0" w:space="0" w:color="auto"/>
        <w:left w:val="none" w:sz="0" w:space="0" w:color="auto"/>
        <w:bottom w:val="none" w:sz="0" w:space="0" w:color="auto"/>
        <w:right w:val="none" w:sz="0" w:space="0" w:color="auto"/>
      </w:divBdr>
    </w:div>
    <w:div w:id="1805006539">
      <w:bodyDiv w:val="1"/>
      <w:marLeft w:val="0"/>
      <w:marRight w:val="0"/>
      <w:marTop w:val="0"/>
      <w:marBottom w:val="0"/>
      <w:divBdr>
        <w:top w:val="none" w:sz="0" w:space="0" w:color="auto"/>
        <w:left w:val="none" w:sz="0" w:space="0" w:color="auto"/>
        <w:bottom w:val="none" w:sz="0" w:space="0" w:color="auto"/>
        <w:right w:val="none" w:sz="0" w:space="0" w:color="auto"/>
      </w:divBdr>
    </w:div>
    <w:div w:id="1811971020">
      <w:bodyDiv w:val="1"/>
      <w:marLeft w:val="0"/>
      <w:marRight w:val="0"/>
      <w:marTop w:val="0"/>
      <w:marBottom w:val="0"/>
      <w:divBdr>
        <w:top w:val="none" w:sz="0" w:space="0" w:color="auto"/>
        <w:left w:val="none" w:sz="0" w:space="0" w:color="auto"/>
        <w:bottom w:val="none" w:sz="0" w:space="0" w:color="auto"/>
        <w:right w:val="none" w:sz="0" w:space="0" w:color="auto"/>
      </w:divBdr>
    </w:div>
    <w:div w:id="1819152392">
      <w:bodyDiv w:val="1"/>
      <w:marLeft w:val="0"/>
      <w:marRight w:val="0"/>
      <w:marTop w:val="0"/>
      <w:marBottom w:val="0"/>
      <w:divBdr>
        <w:top w:val="none" w:sz="0" w:space="0" w:color="auto"/>
        <w:left w:val="none" w:sz="0" w:space="0" w:color="auto"/>
        <w:bottom w:val="none" w:sz="0" w:space="0" w:color="auto"/>
        <w:right w:val="none" w:sz="0" w:space="0" w:color="auto"/>
      </w:divBdr>
    </w:div>
    <w:div w:id="1819494073">
      <w:bodyDiv w:val="1"/>
      <w:marLeft w:val="0"/>
      <w:marRight w:val="0"/>
      <w:marTop w:val="0"/>
      <w:marBottom w:val="0"/>
      <w:divBdr>
        <w:top w:val="none" w:sz="0" w:space="0" w:color="auto"/>
        <w:left w:val="none" w:sz="0" w:space="0" w:color="auto"/>
        <w:bottom w:val="none" w:sz="0" w:space="0" w:color="auto"/>
        <w:right w:val="none" w:sz="0" w:space="0" w:color="auto"/>
      </w:divBdr>
    </w:div>
    <w:div w:id="1825193787">
      <w:bodyDiv w:val="1"/>
      <w:marLeft w:val="0"/>
      <w:marRight w:val="0"/>
      <w:marTop w:val="0"/>
      <w:marBottom w:val="0"/>
      <w:divBdr>
        <w:top w:val="none" w:sz="0" w:space="0" w:color="auto"/>
        <w:left w:val="none" w:sz="0" w:space="0" w:color="auto"/>
        <w:bottom w:val="none" w:sz="0" w:space="0" w:color="auto"/>
        <w:right w:val="none" w:sz="0" w:space="0" w:color="auto"/>
      </w:divBdr>
    </w:div>
    <w:div w:id="1825967349">
      <w:bodyDiv w:val="1"/>
      <w:marLeft w:val="0"/>
      <w:marRight w:val="0"/>
      <w:marTop w:val="0"/>
      <w:marBottom w:val="0"/>
      <w:divBdr>
        <w:top w:val="none" w:sz="0" w:space="0" w:color="auto"/>
        <w:left w:val="none" w:sz="0" w:space="0" w:color="auto"/>
        <w:bottom w:val="none" w:sz="0" w:space="0" w:color="auto"/>
        <w:right w:val="none" w:sz="0" w:space="0" w:color="auto"/>
      </w:divBdr>
    </w:div>
    <w:div w:id="1828592073">
      <w:bodyDiv w:val="1"/>
      <w:marLeft w:val="0"/>
      <w:marRight w:val="0"/>
      <w:marTop w:val="0"/>
      <w:marBottom w:val="0"/>
      <w:divBdr>
        <w:top w:val="none" w:sz="0" w:space="0" w:color="auto"/>
        <w:left w:val="none" w:sz="0" w:space="0" w:color="auto"/>
        <w:bottom w:val="none" w:sz="0" w:space="0" w:color="auto"/>
        <w:right w:val="none" w:sz="0" w:space="0" w:color="auto"/>
      </w:divBdr>
    </w:div>
    <w:div w:id="1832334847">
      <w:bodyDiv w:val="1"/>
      <w:marLeft w:val="0"/>
      <w:marRight w:val="0"/>
      <w:marTop w:val="0"/>
      <w:marBottom w:val="0"/>
      <w:divBdr>
        <w:top w:val="none" w:sz="0" w:space="0" w:color="auto"/>
        <w:left w:val="none" w:sz="0" w:space="0" w:color="auto"/>
        <w:bottom w:val="none" w:sz="0" w:space="0" w:color="auto"/>
        <w:right w:val="none" w:sz="0" w:space="0" w:color="auto"/>
      </w:divBdr>
    </w:div>
    <w:div w:id="1836410438">
      <w:bodyDiv w:val="1"/>
      <w:marLeft w:val="0"/>
      <w:marRight w:val="0"/>
      <w:marTop w:val="0"/>
      <w:marBottom w:val="0"/>
      <w:divBdr>
        <w:top w:val="none" w:sz="0" w:space="0" w:color="auto"/>
        <w:left w:val="none" w:sz="0" w:space="0" w:color="auto"/>
        <w:bottom w:val="none" w:sz="0" w:space="0" w:color="auto"/>
        <w:right w:val="none" w:sz="0" w:space="0" w:color="auto"/>
      </w:divBdr>
    </w:div>
    <w:div w:id="1840651924">
      <w:bodyDiv w:val="1"/>
      <w:marLeft w:val="0"/>
      <w:marRight w:val="0"/>
      <w:marTop w:val="0"/>
      <w:marBottom w:val="0"/>
      <w:divBdr>
        <w:top w:val="none" w:sz="0" w:space="0" w:color="auto"/>
        <w:left w:val="none" w:sz="0" w:space="0" w:color="auto"/>
        <w:bottom w:val="none" w:sz="0" w:space="0" w:color="auto"/>
        <w:right w:val="none" w:sz="0" w:space="0" w:color="auto"/>
      </w:divBdr>
    </w:div>
    <w:div w:id="1841506162">
      <w:bodyDiv w:val="1"/>
      <w:marLeft w:val="0"/>
      <w:marRight w:val="0"/>
      <w:marTop w:val="0"/>
      <w:marBottom w:val="0"/>
      <w:divBdr>
        <w:top w:val="none" w:sz="0" w:space="0" w:color="auto"/>
        <w:left w:val="none" w:sz="0" w:space="0" w:color="auto"/>
        <w:bottom w:val="none" w:sz="0" w:space="0" w:color="auto"/>
        <w:right w:val="none" w:sz="0" w:space="0" w:color="auto"/>
      </w:divBdr>
    </w:div>
    <w:div w:id="1844664812">
      <w:bodyDiv w:val="1"/>
      <w:marLeft w:val="0"/>
      <w:marRight w:val="0"/>
      <w:marTop w:val="0"/>
      <w:marBottom w:val="0"/>
      <w:divBdr>
        <w:top w:val="none" w:sz="0" w:space="0" w:color="auto"/>
        <w:left w:val="none" w:sz="0" w:space="0" w:color="auto"/>
        <w:bottom w:val="none" w:sz="0" w:space="0" w:color="auto"/>
        <w:right w:val="none" w:sz="0" w:space="0" w:color="auto"/>
      </w:divBdr>
    </w:div>
    <w:div w:id="1848127827">
      <w:bodyDiv w:val="1"/>
      <w:marLeft w:val="0"/>
      <w:marRight w:val="0"/>
      <w:marTop w:val="0"/>
      <w:marBottom w:val="0"/>
      <w:divBdr>
        <w:top w:val="none" w:sz="0" w:space="0" w:color="auto"/>
        <w:left w:val="none" w:sz="0" w:space="0" w:color="auto"/>
        <w:bottom w:val="none" w:sz="0" w:space="0" w:color="auto"/>
        <w:right w:val="none" w:sz="0" w:space="0" w:color="auto"/>
      </w:divBdr>
    </w:div>
    <w:div w:id="1853911259">
      <w:bodyDiv w:val="1"/>
      <w:marLeft w:val="0"/>
      <w:marRight w:val="0"/>
      <w:marTop w:val="0"/>
      <w:marBottom w:val="0"/>
      <w:divBdr>
        <w:top w:val="none" w:sz="0" w:space="0" w:color="auto"/>
        <w:left w:val="none" w:sz="0" w:space="0" w:color="auto"/>
        <w:bottom w:val="none" w:sz="0" w:space="0" w:color="auto"/>
        <w:right w:val="none" w:sz="0" w:space="0" w:color="auto"/>
      </w:divBdr>
    </w:div>
    <w:div w:id="1864396878">
      <w:bodyDiv w:val="1"/>
      <w:marLeft w:val="0"/>
      <w:marRight w:val="0"/>
      <w:marTop w:val="0"/>
      <w:marBottom w:val="0"/>
      <w:divBdr>
        <w:top w:val="none" w:sz="0" w:space="0" w:color="auto"/>
        <w:left w:val="none" w:sz="0" w:space="0" w:color="auto"/>
        <w:bottom w:val="none" w:sz="0" w:space="0" w:color="auto"/>
        <w:right w:val="none" w:sz="0" w:space="0" w:color="auto"/>
      </w:divBdr>
    </w:div>
    <w:div w:id="1870144558">
      <w:bodyDiv w:val="1"/>
      <w:marLeft w:val="0"/>
      <w:marRight w:val="0"/>
      <w:marTop w:val="0"/>
      <w:marBottom w:val="0"/>
      <w:divBdr>
        <w:top w:val="none" w:sz="0" w:space="0" w:color="auto"/>
        <w:left w:val="none" w:sz="0" w:space="0" w:color="auto"/>
        <w:bottom w:val="none" w:sz="0" w:space="0" w:color="auto"/>
        <w:right w:val="none" w:sz="0" w:space="0" w:color="auto"/>
      </w:divBdr>
    </w:div>
    <w:div w:id="1870796231">
      <w:bodyDiv w:val="1"/>
      <w:marLeft w:val="0"/>
      <w:marRight w:val="0"/>
      <w:marTop w:val="0"/>
      <w:marBottom w:val="0"/>
      <w:divBdr>
        <w:top w:val="none" w:sz="0" w:space="0" w:color="auto"/>
        <w:left w:val="none" w:sz="0" w:space="0" w:color="auto"/>
        <w:bottom w:val="none" w:sz="0" w:space="0" w:color="auto"/>
        <w:right w:val="none" w:sz="0" w:space="0" w:color="auto"/>
      </w:divBdr>
    </w:div>
    <w:div w:id="1871406101">
      <w:bodyDiv w:val="1"/>
      <w:marLeft w:val="0"/>
      <w:marRight w:val="0"/>
      <w:marTop w:val="0"/>
      <w:marBottom w:val="0"/>
      <w:divBdr>
        <w:top w:val="none" w:sz="0" w:space="0" w:color="auto"/>
        <w:left w:val="none" w:sz="0" w:space="0" w:color="auto"/>
        <w:bottom w:val="none" w:sz="0" w:space="0" w:color="auto"/>
        <w:right w:val="none" w:sz="0" w:space="0" w:color="auto"/>
      </w:divBdr>
    </w:div>
    <w:div w:id="1874153049">
      <w:bodyDiv w:val="1"/>
      <w:marLeft w:val="0"/>
      <w:marRight w:val="0"/>
      <w:marTop w:val="0"/>
      <w:marBottom w:val="0"/>
      <w:divBdr>
        <w:top w:val="none" w:sz="0" w:space="0" w:color="auto"/>
        <w:left w:val="none" w:sz="0" w:space="0" w:color="auto"/>
        <w:bottom w:val="none" w:sz="0" w:space="0" w:color="auto"/>
        <w:right w:val="none" w:sz="0" w:space="0" w:color="auto"/>
      </w:divBdr>
    </w:div>
    <w:div w:id="1874924367">
      <w:bodyDiv w:val="1"/>
      <w:marLeft w:val="0"/>
      <w:marRight w:val="0"/>
      <w:marTop w:val="0"/>
      <w:marBottom w:val="0"/>
      <w:divBdr>
        <w:top w:val="none" w:sz="0" w:space="0" w:color="auto"/>
        <w:left w:val="none" w:sz="0" w:space="0" w:color="auto"/>
        <w:bottom w:val="none" w:sz="0" w:space="0" w:color="auto"/>
        <w:right w:val="none" w:sz="0" w:space="0" w:color="auto"/>
      </w:divBdr>
    </w:div>
    <w:div w:id="1877497407">
      <w:bodyDiv w:val="1"/>
      <w:marLeft w:val="0"/>
      <w:marRight w:val="0"/>
      <w:marTop w:val="0"/>
      <w:marBottom w:val="0"/>
      <w:divBdr>
        <w:top w:val="none" w:sz="0" w:space="0" w:color="auto"/>
        <w:left w:val="none" w:sz="0" w:space="0" w:color="auto"/>
        <w:bottom w:val="none" w:sz="0" w:space="0" w:color="auto"/>
        <w:right w:val="none" w:sz="0" w:space="0" w:color="auto"/>
      </w:divBdr>
    </w:div>
    <w:div w:id="1879078316">
      <w:bodyDiv w:val="1"/>
      <w:marLeft w:val="0"/>
      <w:marRight w:val="0"/>
      <w:marTop w:val="0"/>
      <w:marBottom w:val="0"/>
      <w:divBdr>
        <w:top w:val="none" w:sz="0" w:space="0" w:color="auto"/>
        <w:left w:val="none" w:sz="0" w:space="0" w:color="auto"/>
        <w:bottom w:val="none" w:sz="0" w:space="0" w:color="auto"/>
        <w:right w:val="none" w:sz="0" w:space="0" w:color="auto"/>
      </w:divBdr>
    </w:div>
    <w:div w:id="1882548531">
      <w:bodyDiv w:val="1"/>
      <w:marLeft w:val="0"/>
      <w:marRight w:val="0"/>
      <w:marTop w:val="0"/>
      <w:marBottom w:val="0"/>
      <w:divBdr>
        <w:top w:val="none" w:sz="0" w:space="0" w:color="auto"/>
        <w:left w:val="none" w:sz="0" w:space="0" w:color="auto"/>
        <w:bottom w:val="none" w:sz="0" w:space="0" w:color="auto"/>
        <w:right w:val="none" w:sz="0" w:space="0" w:color="auto"/>
      </w:divBdr>
    </w:div>
    <w:div w:id="1884437006">
      <w:bodyDiv w:val="1"/>
      <w:marLeft w:val="0"/>
      <w:marRight w:val="0"/>
      <w:marTop w:val="0"/>
      <w:marBottom w:val="0"/>
      <w:divBdr>
        <w:top w:val="none" w:sz="0" w:space="0" w:color="auto"/>
        <w:left w:val="none" w:sz="0" w:space="0" w:color="auto"/>
        <w:bottom w:val="none" w:sz="0" w:space="0" w:color="auto"/>
        <w:right w:val="none" w:sz="0" w:space="0" w:color="auto"/>
      </w:divBdr>
    </w:div>
    <w:div w:id="1885750179">
      <w:bodyDiv w:val="1"/>
      <w:marLeft w:val="0"/>
      <w:marRight w:val="0"/>
      <w:marTop w:val="0"/>
      <w:marBottom w:val="0"/>
      <w:divBdr>
        <w:top w:val="none" w:sz="0" w:space="0" w:color="auto"/>
        <w:left w:val="none" w:sz="0" w:space="0" w:color="auto"/>
        <w:bottom w:val="none" w:sz="0" w:space="0" w:color="auto"/>
        <w:right w:val="none" w:sz="0" w:space="0" w:color="auto"/>
      </w:divBdr>
    </w:div>
    <w:div w:id="1885751982">
      <w:bodyDiv w:val="1"/>
      <w:marLeft w:val="0"/>
      <w:marRight w:val="0"/>
      <w:marTop w:val="0"/>
      <w:marBottom w:val="0"/>
      <w:divBdr>
        <w:top w:val="none" w:sz="0" w:space="0" w:color="auto"/>
        <w:left w:val="none" w:sz="0" w:space="0" w:color="auto"/>
        <w:bottom w:val="none" w:sz="0" w:space="0" w:color="auto"/>
        <w:right w:val="none" w:sz="0" w:space="0" w:color="auto"/>
      </w:divBdr>
    </w:div>
    <w:div w:id="1886061672">
      <w:bodyDiv w:val="1"/>
      <w:marLeft w:val="0"/>
      <w:marRight w:val="0"/>
      <w:marTop w:val="0"/>
      <w:marBottom w:val="0"/>
      <w:divBdr>
        <w:top w:val="none" w:sz="0" w:space="0" w:color="auto"/>
        <w:left w:val="none" w:sz="0" w:space="0" w:color="auto"/>
        <w:bottom w:val="none" w:sz="0" w:space="0" w:color="auto"/>
        <w:right w:val="none" w:sz="0" w:space="0" w:color="auto"/>
      </w:divBdr>
    </w:div>
    <w:div w:id="1891651777">
      <w:bodyDiv w:val="1"/>
      <w:marLeft w:val="0"/>
      <w:marRight w:val="0"/>
      <w:marTop w:val="0"/>
      <w:marBottom w:val="0"/>
      <w:divBdr>
        <w:top w:val="none" w:sz="0" w:space="0" w:color="auto"/>
        <w:left w:val="none" w:sz="0" w:space="0" w:color="auto"/>
        <w:bottom w:val="none" w:sz="0" w:space="0" w:color="auto"/>
        <w:right w:val="none" w:sz="0" w:space="0" w:color="auto"/>
      </w:divBdr>
    </w:div>
    <w:div w:id="1894389893">
      <w:bodyDiv w:val="1"/>
      <w:marLeft w:val="0"/>
      <w:marRight w:val="0"/>
      <w:marTop w:val="0"/>
      <w:marBottom w:val="0"/>
      <w:divBdr>
        <w:top w:val="none" w:sz="0" w:space="0" w:color="auto"/>
        <w:left w:val="none" w:sz="0" w:space="0" w:color="auto"/>
        <w:bottom w:val="none" w:sz="0" w:space="0" w:color="auto"/>
        <w:right w:val="none" w:sz="0" w:space="0" w:color="auto"/>
      </w:divBdr>
    </w:div>
    <w:div w:id="1899247933">
      <w:bodyDiv w:val="1"/>
      <w:marLeft w:val="0"/>
      <w:marRight w:val="0"/>
      <w:marTop w:val="0"/>
      <w:marBottom w:val="0"/>
      <w:divBdr>
        <w:top w:val="none" w:sz="0" w:space="0" w:color="auto"/>
        <w:left w:val="none" w:sz="0" w:space="0" w:color="auto"/>
        <w:bottom w:val="none" w:sz="0" w:space="0" w:color="auto"/>
        <w:right w:val="none" w:sz="0" w:space="0" w:color="auto"/>
      </w:divBdr>
    </w:div>
    <w:div w:id="1902784990">
      <w:bodyDiv w:val="1"/>
      <w:marLeft w:val="0"/>
      <w:marRight w:val="0"/>
      <w:marTop w:val="0"/>
      <w:marBottom w:val="0"/>
      <w:divBdr>
        <w:top w:val="none" w:sz="0" w:space="0" w:color="auto"/>
        <w:left w:val="none" w:sz="0" w:space="0" w:color="auto"/>
        <w:bottom w:val="none" w:sz="0" w:space="0" w:color="auto"/>
        <w:right w:val="none" w:sz="0" w:space="0" w:color="auto"/>
      </w:divBdr>
    </w:div>
    <w:div w:id="1904288636">
      <w:bodyDiv w:val="1"/>
      <w:marLeft w:val="0"/>
      <w:marRight w:val="0"/>
      <w:marTop w:val="0"/>
      <w:marBottom w:val="0"/>
      <w:divBdr>
        <w:top w:val="none" w:sz="0" w:space="0" w:color="auto"/>
        <w:left w:val="none" w:sz="0" w:space="0" w:color="auto"/>
        <w:bottom w:val="none" w:sz="0" w:space="0" w:color="auto"/>
        <w:right w:val="none" w:sz="0" w:space="0" w:color="auto"/>
      </w:divBdr>
    </w:div>
    <w:div w:id="1906908558">
      <w:bodyDiv w:val="1"/>
      <w:marLeft w:val="0"/>
      <w:marRight w:val="0"/>
      <w:marTop w:val="0"/>
      <w:marBottom w:val="0"/>
      <w:divBdr>
        <w:top w:val="none" w:sz="0" w:space="0" w:color="auto"/>
        <w:left w:val="none" w:sz="0" w:space="0" w:color="auto"/>
        <w:bottom w:val="none" w:sz="0" w:space="0" w:color="auto"/>
        <w:right w:val="none" w:sz="0" w:space="0" w:color="auto"/>
      </w:divBdr>
    </w:div>
    <w:div w:id="1908606369">
      <w:bodyDiv w:val="1"/>
      <w:marLeft w:val="0"/>
      <w:marRight w:val="0"/>
      <w:marTop w:val="0"/>
      <w:marBottom w:val="0"/>
      <w:divBdr>
        <w:top w:val="none" w:sz="0" w:space="0" w:color="auto"/>
        <w:left w:val="none" w:sz="0" w:space="0" w:color="auto"/>
        <w:bottom w:val="none" w:sz="0" w:space="0" w:color="auto"/>
        <w:right w:val="none" w:sz="0" w:space="0" w:color="auto"/>
      </w:divBdr>
    </w:div>
    <w:div w:id="1912084692">
      <w:bodyDiv w:val="1"/>
      <w:marLeft w:val="0"/>
      <w:marRight w:val="0"/>
      <w:marTop w:val="0"/>
      <w:marBottom w:val="0"/>
      <w:divBdr>
        <w:top w:val="none" w:sz="0" w:space="0" w:color="auto"/>
        <w:left w:val="none" w:sz="0" w:space="0" w:color="auto"/>
        <w:bottom w:val="none" w:sz="0" w:space="0" w:color="auto"/>
        <w:right w:val="none" w:sz="0" w:space="0" w:color="auto"/>
      </w:divBdr>
    </w:div>
    <w:div w:id="1917133896">
      <w:bodyDiv w:val="1"/>
      <w:marLeft w:val="0"/>
      <w:marRight w:val="0"/>
      <w:marTop w:val="0"/>
      <w:marBottom w:val="0"/>
      <w:divBdr>
        <w:top w:val="none" w:sz="0" w:space="0" w:color="auto"/>
        <w:left w:val="none" w:sz="0" w:space="0" w:color="auto"/>
        <w:bottom w:val="none" w:sz="0" w:space="0" w:color="auto"/>
        <w:right w:val="none" w:sz="0" w:space="0" w:color="auto"/>
      </w:divBdr>
    </w:div>
    <w:div w:id="1919287968">
      <w:bodyDiv w:val="1"/>
      <w:marLeft w:val="0"/>
      <w:marRight w:val="0"/>
      <w:marTop w:val="0"/>
      <w:marBottom w:val="0"/>
      <w:divBdr>
        <w:top w:val="none" w:sz="0" w:space="0" w:color="auto"/>
        <w:left w:val="none" w:sz="0" w:space="0" w:color="auto"/>
        <w:bottom w:val="none" w:sz="0" w:space="0" w:color="auto"/>
        <w:right w:val="none" w:sz="0" w:space="0" w:color="auto"/>
      </w:divBdr>
    </w:div>
    <w:div w:id="1921451059">
      <w:bodyDiv w:val="1"/>
      <w:marLeft w:val="0"/>
      <w:marRight w:val="0"/>
      <w:marTop w:val="0"/>
      <w:marBottom w:val="0"/>
      <w:divBdr>
        <w:top w:val="none" w:sz="0" w:space="0" w:color="auto"/>
        <w:left w:val="none" w:sz="0" w:space="0" w:color="auto"/>
        <w:bottom w:val="none" w:sz="0" w:space="0" w:color="auto"/>
        <w:right w:val="none" w:sz="0" w:space="0" w:color="auto"/>
      </w:divBdr>
    </w:div>
    <w:div w:id="1921525627">
      <w:bodyDiv w:val="1"/>
      <w:marLeft w:val="0"/>
      <w:marRight w:val="0"/>
      <w:marTop w:val="0"/>
      <w:marBottom w:val="0"/>
      <w:divBdr>
        <w:top w:val="none" w:sz="0" w:space="0" w:color="auto"/>
        <w:left w:val="none" w:sz="0" w:space="0" w:color="auto"/>
        <w:bottom w:val="none" w:sz="0" w:space="0" w:color="auto"/>
        <w:right w:val="none" w:sz="0" w:space="0" w:color="auto"/>
      </w:divBdr>
    </w:div>
    <w:div w:id="1922833387">
      <w:bodyDiv w:val="1"/>
      <w:marLeft w:val="0"/>
      <w:marRight w:val="0"/>
      <w:marTop w:val="0"/>
      <w:marBottom w:val="0"/>
      <w:divBdr>
        <w:top w:val="none" w:sz="0" w:space="0" w:color="auto"/>
        <w:left w:val="none" w:sz="0" w:space="0" w:color="auto"/>
        <w:bottom w:val="none" w:sz="0" w:space="0" w:color="auto"/>
        <w:right w:val="none" w:sz="0" w:space="0" w:color="auto"/>
      </w:divBdr>
    </w:div>
    <w:div w:id="1928149965">
      <w:bodyDiv w:val="1"/>
      <w:marLeft w:val="0"/>
      <w:marRight w:val="0"/>
      <w:marTop w:val="0"/>
      <w:marBottom w:val="0"/>
      <w:divBdr>
        <w:top w:val="none" w:sz="0" w:space="0" w:color="auto"/>
        <w:left w:val="none" w:sz="0" w:space="0" w:color="auto"/>
        <w:bottom w:val="none" w:sz="0" w:space="0" w:color="auto"/>
        <w:right w:val="none" w:sz="0" w:space="0" w:color="auto"/>
      </w:divBdr>
    </w:div>
    <w:div w:id="1928878934">
      <w:bodyDiv w:val="1"/>
      <w:marLeft w:val="0"/>
      <w:marRight w:val="0"/>
      <w:marTop w:val="0"/>
      <w:marBottom w:val="0"/>
      <w:divBdr>
        <w:top w:val="none" w:sz="0" w:space="0" w:color="auto"/>
        <w:left w:val="none" w:sz="0" w:space="0" w:color="auto"/>
        <w:bottom w:val="none" w:sz="0" w:space="0" w:color="auto"/>
        <w:right w:val="none" w:sz="0" w:space="0" w:color="auto"/>
      </w:divBdr>
    </w:div>
    <w:div w:id="1933203287">
      <w:bodyDiv w:val="1"/>
      <w:marLeft w:val="0"/>
      <w:marRight w:val="0"/>
      <w:marTop w:val="0"/>
      <w:marBottom w:val="0"/>
      <w:divBdr>
        <w:top w:val="none" w:sz="0" w:space="0" w:color="auto"/>
        <w:left w:val="none" w:sz="0" w:space="0" w:color="auto"/>
        <w:bottom w:val="none" w:sz="0" w:space="0" w:color="auto"/>
        <w:right w:val="none" w:sz="0" w:space="0" w:color="auto"/>
      </w:divBdr>
    </w:div>
    <w:div w:id="1936744018">
      <w:bodyDiv w:val="1"/>
      <w:marLeft w:val="0"/>
      <w:marRight w:val="0"/>
      <w:marTop w:val="0"/>
      <w:marBottom w:val="0"/>
      <w:divBdr>
        <w:top w:val="none" w:sz="0" w:space="0" w:color="auto"/>
        <w:left w:val="none" w:sz="0" w:space="0" w:color="auto"/>
        <w:bottom w:val="none" w:sz="0" w:space="0" w:color="auto"/>
        <w:right w:val="none" w:sz="0" w:space="0" w:color="auto"/>
      </w:divBdr>
    </w:div>
    <w:div w:id="1937055704">
      <w:bodyDiv w:val="1"/>
      <w:marLeft w:val="0"/>
      <w:marRight w:val="0"/>
      <w:marTop w:val="0"/>
      <w:marBottom w:val="0"/>
      <w:divBdr>
        <w:top w:val="none" w:sz="0" w:space="0" w:color="auto"/>
        <w:left w:val="none" w:sz="0" w:space="0" w:color="auto"/>
        <w:bottom w:val="none" w:sz="0" w:space="0" w:color="auto"/>
        <w:right w:val="none" w:sz="0" w:space="0" w:color="auto"/>
      </w:divBdr>
    </w:div>
    <w:div w:id="1941062620">
      <w:bodyDiv w:val="1"/>
      <w:marLeft w:val="0"/>
      <w:marRight w:val="0"/>
      <w:marTop w:val="0"/>
      <w:marBottom w:val="0"/>
      <w:divBdr>
        <w:top w:val="none" w:sz="0" w:space="0" w:color="auto"/>
        <w:left w:val="none" w:sz="0" w:space="0" w:color="auto"/>
        <w:bottom w:val="none" w:sz="0" w:space="0" w:color="auto"/>
        <w:right w:val="none" w:sz="0" w:space="0" w:color="auto"/>
      </w:divBdr>
    </w:div>
    <w:div w:id="1946493507">
      <w:bodyDiv w:val="1"/>
      <w:marLeft w:val="0"/>
      <w:marRight w:val="0"/>
      <w:marTop w:val="0"/>
      <w:marBottom w:val="0"/>
      <w:divBdr>
        <w:top w:val="none" w:sz="0" w:space="0" w:color="auto"/>
        <w:left w:val="none" w:sz="0" w:space="0" w:color="auto"/>
        <w:bottom w:val="none" w:sz="0" w:space="0" w:color="auto"/>
        <w:right w:val="none" w:sz="0" w:space="0" w:color="auto"/>
      </w:divBdr>
    </w:div>
    <w:div w:id="1946884885">
      <w:bodyDiv w:val="1"/>
      <w:marLeft w:val="0"/>
      <w:marRight w:val="0"/>
      <w:marTop w:val="0"/>
      <w:marBottom w:val="0"/>
      <w:divBdr>
        <w:top w:val="none" w:sz="0" w:space="0" w:color="auto"/>
        <w:left w:val="none" w:sz="0" w:space="0" w:color="auto"/>
        <w:bottom w:val="none" w:sz="0" w:space="0" w:color="auto"/>
        <w:right w:val="none" w:sz="0" w:space="0" w:color="auto"/>
      </w:divBdr>
    </w:div>
    <w:div w:id="1948273535">
      <w:bodyDiv w:val="1"/>
      <w:marLeft w:val="0"/>
      <w:marRight w:val="0"/>
      <w:marTop w:val="0"/>
      <w:marBottom w:val="0"/>
      <w:divBdr>
        <w:top w:val="none" w:sz="0" w:space="0" w:color="auto"/>
        <w:left w:val="none" w:sz="0" w:space="0" w:color="auto"/>
        <w:bottom w:val="none" w:sz="0" w:space="0" w:color="auto"/>
        <w:right w:val="none" w:sz="0" w:space="0" w:color="auto"/>
      </w:divBdr>
    </w:div>
    <w:div w:id="1953240782">
      <w:bodyDiv w:val="1"/>
      <w:marLeft w:val="0"/>
      <w:marRight w:val="0"/>
      <w:marTop w:val="0"/>
      <w:marBottom w:val="0"/>
      <w:divBdr>
        <w:top w:val="none" w:sz="0" w:space="0" w:color="auto"/>
        <w:left w:val="none" w:sz="0" w:space="0" w:color="auto"/>
        <w:bottom w:val="none" w:sz="0" w:space="0" w:color="auto"/>
        <w:right w:val="none" w:sz="0" w:space="0" w:color="auto"/>
      </w:divBdr>
    </w:div>
    <w:div w:id="1957365793">
      <w:bodyDiv w:val="1"/>
      <w:marLeft w:val="0"/>
      <w:marRight w:val="0"/>
      <w:marTop w:val="0"/>
      <w:marBottom w:val="0"/>
      <w:divBdr>
        <w:top w:val="none" w:sz="0" w:space="0" w:color="auto"/>
        <w:left w:val="none" w:sz="0" w:space="0" w:color="auto"/>
        <w:bottom w:val="none" w:sz="0" w:space="0" w:color="auto"/>
        <w:right w:val="none" w:sz="0" w:space="0" w:color="auto"/>
      </w:divBdr>
    </w:div>
    <w:div w:id="1967588498">
      <w:bodyDiv w:val="1"/>
      <w:marLeft w:val="0"/>
      <w:marRight w:val="0"/>
      <w:marTop w:val="0"/>
      <w:marBottom w:val="0"/>
      <w:divBdr>
        <w:top w:val="none" w:sz="0" w:space="0" w:color="auto"/>
        <w:left w:val="none" w:sz="0" w:space="0" w:color="auto"/>
        <w:bottom w:val="none" w:sz="0" w:space="0" w:color="auto"/>
        <w:right w:val="none" w:sz="0" w:space="0" w:color="auto"/>
      </w:divBdr>
    </w:div>
    <w:div w:id="1969124994">
      <w:bodyDiv w:val="1"/>
      <w:marLeft w:val="0"/>
      <w:marRight w:val="0"/>
      <w:marTop w:val="0"/>
      <w:marBottom w:val="0"/>
      <w:divBdr>
        <w:top w:val="none" w:sz="0" w:space="0" w:color="auto"/>
        <w:left w:val="none" w:sz="0" w:space="0" w:color="auto"/>
        <w:bottom w:val="none" w:sz="0" w:space="0" w:color="auto"/>
        <w:right w:val="none" w:sz="0" w:space="0" w:color="auto"/>
      </w:divBdr>
    </w:div>
    <w:div w:id="1973750348">
      <w:bodyDiv w:val="1"/>
      <w:marLeft w:val="0"/>
      <w:marRight w:val="0"/>
      <w:marTop w:val="0"/>
      <w:marBottom w:val="0"/>
      <w:divBdr>
        <w:top w:val="none" w:sz="0" w:space="0" w:color="auto"/>
        <w:left w:val="none" w:sz="0" w:space="0" w:color="auto"/>
        <w:bottom w:val="none" w:sz="0" w:space="0" w:color="auto"/>
        <w:right w:val="none" w:sz="0" w:space="0" w:color="auto"/>
      </w:divBdr>
    </w:div>
    <w:div w:id="1975334765">
      <w:bodyDiv w:val="1"/>
      <w:marLeft w:val="0"/>
      <w:marRight w:val="0"/>
      <w:marTop w:val="0"/>
      <w:marBottom w:val="0"/>
      <w:divBdr>
        <w:top w:val="none" w:sz="0" w:space="0" w:color="auto"/>
        <w:left w:val="none" w:sz="0" w:space="0" w:color="auto"/>
        <w:bottom w:val="none" w:sz="0" w:space="0" w:color="auto"/>
        <w:right w:val="none" w:sz="0" w:space="0" w:color="auto"/>
      </w:divBdr>
    </w:div>
    <w:div w:id="1977904488">
      <w:bodyDiv w:val="1"/>
      <w:marLeft w:val="0"/>
      <w:marRight w:val="0"/>
      <w:marTop w:val="0"/>
      <w:marBottom w:val="0"/>
      <w:divBdr>
        <w:top w:val="none" w:sz="0" w:space="0" w:color="auto"/>
        <w:left w:val="none" w:sz="0" w:space="0" w:color="auto"/>
        <w:bottom w:val="none" w:sz="0" w:space="0" w:color="auto"/>
        <w:right w:val="none" w:sz="0" w:space="0" w:color="auto"/>
      </w:divBdr>
    </w:div>
    <w:div w:id="1999310498">
      <w:bodyDiv w:val="1"/>
      <w:marLeft w:val="0"/>
      <w:marRight w:val="0"/>
      <w:marTop w:val="0"/>
      <w:marBottom w:val="0"/>
      <w:divBdr>
        <w:top w:val="none" w:sz="0" w:space="0" w:color="auto"/>
        <w:left w:val="none" w:sz="0" w:space="0" w:color="auto"/>
        <w:bottom w:val="none" w:sz="0" w:space="0" w:color="auto"/>
        <w:right w:val="none" w:sz="0" w:space="0" w:color="auto"/>
      </w:divBdr>
    </w:div>
    <w:div w:id="2000619480">
      <w:bodyDiv w:val="1"/>
      <w:marLeft w:val="0"/>
      <w:marRight w:val="0"/>
      <w:marTop w:val="0"/>
      <w:marBottom w:val="0"/>
      <w:divBdr>
        <w:top w:val="none" w:sz="0" w:space="0" w:color="auto"/>
        <w:left w:val="none" w:sz="0" w:space="0" w:color="auto"/>
        <w:bottom w:val="none" w:sz="0" w:space="0" w:color="auto"/>
        <w:right w:val="none" w:sz="0" w:space="0" w:color="auto"/>
      </w:divBdr>
    </w:div>
    <w:div w:id="2018530841">
      <w:bodyDiv w:val="1"/>
      <w:marLeft w:val="0"/>
      <w:marRight w:val="0"/>
      <w:marTop w:val="0"/>
      <w:marBottom w:val="0"/>
      <w:divBdr>
        <w:top w:val="none" w:sz="0" w:space="0" w:color="auto"/>
        <w:left w:val="none" w:sz="0" w:space="0" w:color="auto"/>
        <w:bottom w:val="none" w:sz="0" w:space="0" w:color="auto"/>
        <w:right w:val="none" w:sz="0" w:space="0" w:color="auto"/>
      </w:divBdr>
    </w:div>
    <w:div w:id="2018582085">
      <w:bodyDiv w:val="1"/>
      <w:marLeft w:val="0"/>
      <w:marRight w:val="0"/>
      <w:marTop w:val="0"/>
      <w:marBottom w:val="0"/>
      <w:divBdr>
        <w:top w:val="none" w:sz="0" w:space="0" w:color="auto"/>
        <w:left w:val="none" w:sz="0" w:space="0" w:color="auto"/>
        <w:bottom w:val="none" w:sz="0" w:space="0" w:color="auto"/>
        <w:right w:val="none" w:sz="0" w:space="0" w:color="auto"/>
      </w:divBdr>
    </w:div>
    <w:div w:id="2022469869">
      <w:bodyDiv w:val="1"/>
      <w:marLeft w:val="0"/>
      <w:marRight w:val="0"/>
      <w:marTop w:val="0"/>
      <w:marBottom w:val="0"/>
      <w:divBdr>
        <w:top w:val="none" w:sz="0" w:space="0" w:color="auto"/>
        <w:left w:val="none" w:sz="0" w:space="0" w:color="auto"/>
        <w:bottom w:val="none" w:sz="0" w:space="0" w:color="auto"/>
        <w:right w:val="none" w:sz="0" w:space="0" w:color="auto"/>
      </w:divBdr>
    </w:div>
    <w:div w:id="2050834322">
      <w:bodyDiv w:val="1"/>
      <w:marLeft w:val="0"/>
      <w:marRight w:val="0"/>
      <w:marTop w:val="0"/>
      <w:marBottom w:val="0"/>
      <w:divBdr>
        <w:top w:val="none" w:sz="0" w:space="0" w:color="auto"/>
        <w:left w:val="none" w:sz="0" w:space="0" w:color="auto"/>
        <w:bottom w:val="none" w:sz="0" w:space="0" w:color="auto"/>
        <w:right w:val="none" w:sz="0" w:space="0" w:color="auto"/>
      </w:divBdr>
    </w:div>
    <w:div w:id="2054302897">
      <w:bodyDiv w:val="1"/>
      <w:marLeft w:val="0"/>
      <w:marRight w:val="0"/>
      <w:marTop w:val="0"/>
      <w:marBottom w:val="0"/>
      <w:divBdr>
        <w:top w:val="none" w:sz="0" w:space="0" w:color="auto"/>
        <w:left w:val="none" w:sz="0" w:space="0" w:color="auto"/>
        <w:bottom w:val="none" w:sz="0" w:space="0" w:color="auto"/>
        <w:right w:val="none" w:sz="0" w:space="0" w:color="auto"/>
      </w:divBdr>
    </w:div>
    <w:div w:id="2066877981">
      <w:bodyDiv w:val="1"/>
      <w:marLeft w:val="0"/>
      <w:marRight w:val="0"/>
      <w:marTop w:val="0"/>
      <w:marBottom w:val="0"/>
      <w:divBdr>
        <w:top w:val="none" w:sz="0" w:space="0" w:color="auto"/>
        <w:left w:val="none" w:sz="0" w:space="0" w:color="auto"/>
        <w:bottom w:val="none" w:sz="0" w:space="0" w:color="auto"/>
        <w:right w:val="none" w:sz="0" w:space="0" w:color="auto"/>
      </w:divBdr>
    </w:div>
    <w:div w:id="2070229953">
      <w:bodyDiv w:val="1"/>
      <w:marLeft w:val="0"/>
      <w:marRight w:val="0"/>
      <w:marTop w:val="0"/>
      <w:marBottom w:val="0"/>
      <w:divBdr>
        <w:top w:val="none" w:sz="0" w:space="0" w:color="auto"/>
        <w:left w:val="none" w:sz="0" w:space="0" w:color="auto"/>
        <w:bottom w:val="none" w:sz="0" w:space="0" w:color="auto"/>
        <w:right w:val="none" w:sz="0" w:space="0" w:color="auto"/>
      </w:divBdr>
    </w:div>
    <w:div w:id="2073966261">
      <w:bodyDiv w:val="1"/>
      <w:marLeft w:val="0"/>
      <w:marRight w:val="0"/>
      <w:marTop w:val="0"/>
      <w:marBottom w:val="0"/>
      <w:divBdr>
        <w:top w:val="none" w:sz="0" w:space="0" w:color="auto"/>
        <w:left w:val="none" w:sz="0" w:space="0" w:color="auto"/>
        <w:bottom w:val="none" w:sz="0" w:space="0" w:color="auto"/>
        <w:right w:val="none" w:sz="0" w:space="0" w:color="auto"/>
      </w:divBdr>
    </w:div>
    <w:div w:id="2078624795">
      <w:bodyDiv w:val="1"/>
      <w:marLeft w:val="0"/>
      <w:marRight w:val="0"/>
      <w:marTop w:val="0"/>
      <w:marBottom w:val="0"/>
      <w:divBdr>
        <w:top w:val="none" w:sz="0" w:space="0" w:color="auto"/>
        <w:left w:val="none" w:sz="0" w:space="0" w:color="auto"/>
        <w:bottom w:val="none" w:sz="0" w:space="0" w:color="auto"/>
        <w:right w:val="none" w:sz="0" w:space="0" w:color="auto"/>
      </w:divBdr>
    </w:div>
    <w:div w:id="2079983399">
      <w:bodyDiv w:val="1"/>
      <w:marLeft w:val="0"/>
      <w:marRight w:val="0"/>
      <w:marTop w:val="0"/>
      <w:marBottom w:val="0"/>
      <w:divBdr>
        <w:top w:val="none" w:sz="0" w:space="0" w:color="auto"/>
        <w:left w:val="none" w:sz="0" w:space="0" w:color="auto"/>
        <w:bottom w:val="none" w:sz="0" w:space="0" w:color="auto"/>
        <w:right w:val="none" w:sz="0" w:space="0" w:color="auto"/>
      </w:divBdr>
    </w:div>
    <w:div w:id="2080900106">
      <w:bodyDiv w:val="1"/>
      <w:marLeft w:val="0"/>
      <w:marRight w:val="0"/>
      <w:marTop w:val="0"/>
      <w:marBottom w:val="0"/>
      <w:divBdr>
        <w:top w:val="none" w:sz="0" w:space="0" w:color="auto"/>
        <w:left w:val="none" w:sz="0" w:space="0" w:color="auto"/>
        <w:bottom w:val="none" w:sz="0" w:space="0" w:color="auto"/>
        <w:right w:val="none" w:sz="0" w:space="0" w:color="auto"/>
      </w:divBdr>
    </w:div>
    <w:div w:id="2083722947">
      <w:bodyDiv w:val="1"/>
      <w:marLeft w:val="0"/>
      <w:marRight w:val="0"/>
      <w:marTop w:val="0"/>
      <w:marBottom w:val="0"/>
      <w:divBdr>
        <w:top w:val="none" w:sz="0" w:space="0" w:color="auto"/>
        <w:left w:val="none" w:sz="0" w:space="0" w:color="auto"/>
        <w:bottom w:val="none" w:sz="0" w:space="0" w:color="auto"/>
        <w:right w:val="none" w:sz="0" w:space="0" w:color="auto"/>
      </w:divBdr>
    </w:div>
    <w:div w:id="2087728283">
      <w:bodyDiv w:val="1"/>
      <w:marLeft w:val="0"/>
      <w:marRight w:val="0"/>
      <w:marTop w:val="0"/>
      <w:marBottom w:val="0"/>
      <w:divBdr>
        <w:top w:val="none" w:sz="0" w:space="0" w:color="auto"/>
        <w:left w:val="none" w:sz="0" w:space="0" w:color="auto"/>
        <w:bottom w:val="none" w:sz="0" w:space="0" w:color="auto"/>
        <w:right w:val="none" w:sz="0" w:space="0" w:color="auto"/>
      </w:divBdr>
    </w:div>
    <w:div w:id="2090812363">
      <w:bodyDiv w:val="1"/>
      <w:marLeft w:val="0"/>
      <w:marRight w:val="0"/>
      <w:marTop w:val="0"/>
      <w:marBottom w:val="0"/>
      <w:divBdr>
        <w:top w:val="none" w:sz="0" w:space="0" w:color="auto"/>
        <w:left w:val="none" w:sz="0" w:space="0" w:color="auto"/>
        <w:bottom w:val="none" w:sz="0" w:space="0" w:color="auto"/>
        <w:right w:val="none" w:sz="0" w:space="0" w:color="auto"/>
      </w:divBdr>
    </w:div>
    <w:div w:id="2097288380">
      <w:bodyDiv w:val="1"/>
      <w:marLeft w:val="0"/>
      <w:marRight w:val="0"/>
      <w:marTop w:val="0"/>
      <w:marBottom w:val="0"/>
      <w:divBdr>
        <w:top w:val="none" w:sz="0" w:space="0" w:color="auto"/>
        <w:left w:val="none" w:sz="0" w:space="0" w:color="auto"/>
        <w:bottom w:val="none" w:sz="0" w:space="0" w:color="auto"/>
        <w:right w:val="none" w:sz="0" w:space="0" w:color="auto"/>
      </w:divBdr>
    </w:div>
    <w:div w:id="2106880036">
      <w:bodyDiv w:val="1"/>
      <w:marLeft w:val="0"/>
      <w:marRight w:val="0"/>
      <w:marTop w:val="0"/>
      <w:marBottom w:val="0"/>
      <w:divBdr>
        <w:top w:val="none" w:sz="0" w:space="0" w:color="auto"/>
        <w:left w:val="none" w:sz="0" w:space="0" w:color="auto"/>
        <w:bottom w:val="none" w:sz="0" w:space="0" w:color="auto"/>
        <w:right w:val="none" w:sz="0" w:space="0" w:color="auto"/>
      </w:divBdr>
    </w:div>
    <w:div w:id="2117865018">
      <w:bodyDiv w:val="1"/>
      <w:marLeft w:val="0"/>
      <w:marRight w:val="0"/>
      <w:marTop w:val="0"/>
      <w:marBottom w:val="0"/>
      <w:divBdr>
        <w:top w:val="none" w:sz="0" w:space="0" w:color="auto"/>
        <w:left w:val="none" w:sz="0" w:space="0" w:color="auto"/>
        <w:bottom w:val="none" w:sz="0" w:space="0" w:color="auto"/>
        <w:right w:val="none" w:sz="0" w:space="0" w:color="auto"/>
      </w:divBdr>
    </w:div>
    <w:div w:id="2121796321">
      <w:bodyDiv w:val="1"/>
      <w:marLeft w:val="0"/>
      <w:marRight w:val="0"/>
      <w:marTop w:val="0"/>
      <w:marBottom w:val="0"/>
      <w:divBdr>
        <w:top w:val="none" w:sz="0" w:space="0" w:color="auto"/>
        <w:left w:val="none" w:sz="0" w:space="0" w:color="auto"/>
        <w:bottom w:val="none" w:sz="0" w:space="0" w:color="auto"/>
        <w:right w:val="none" w:sz="0" w:space="0" w:color="auto"/>
      </w:divBdr>
    </w:div>
    <w:div w:id="2122677601">
      <w:bodyDiv w:val="1"/>
      <w:marLeft w:val="0"/>
      <w:marRight w:val="0"/>
      <w:marTop w:val="0"/>
      <w:marBottom w:val="0"/>
      <w:divBdr>
        <w:top w:val="none" w:sz="0" w:space="0" w:color="auto"/>
        <w:left w:val="none" w:sz="0" w:space="0" w:color="auto"/>
        <w:bottom w:val="none" w:sz="0" w:space="0" w:color="auto"/>
        <w:right w:val="none" w:sz="0" w:space="0" w:color="auto"/>
      </w:divBdr>
    </w:div>
    <w:div w:id="2125348070">
      <w:bodyDiv w:val="1"/>
      <w:marLeft w:val="0"/>
      <w:marRight w:val="0"/>
      <w:marTop w:val="0"/>
      <w:marBottom w:val="0"/>
      <w:divBdr>
        <w:top w:val="none" w:sz="0" w:space="0" w:color="auto"/>
        <w:left w:val="none" w:sz="0" w:space="0" w:color="auto"/>
        <w:bottom w:val="none" w:sz="0" w:space="0" w:color="auto"/>
        <w:right w:val="none" w:sz="0" w:space="0" w:color="auto"/>
      </w:divBdr>
    </w:div>
    <w:div w:id="2135513330">
      <w:bodyDiv w:val="1"/>
      <w:marLeft w:val="0"/>
      <w:marRight w:val="0"/>
      <w:marTop w:val="0"/>
      <w:marBottom w:val="0"/>
      <w:divBdr>
        <w:top w:val="none" w:sz="0" w:space="0" w:color="auto"/>
        <w:left w:val="none" w:sz="0" w:space="0" w:color="auto"/>
        <w:bottom w:val="none" w:sz="0" w:space="0" w:color="auto"/>
        <w:right w:val="none" w:sz="0" w:space="0" w:color="auto"/>
      </w:divBdr>
    </w:div>
    <w:div w:id="2137292404">
      <w:bodyDiv w:val="1"/>
      <w:marLeft w:val="0"/>
      <w:marRight w:val="0"/>
      <w:marTop w:val="0"/>
      <w:marBottom w:val="0"/>
      <w:divBdr>
        <w:top w:val="none" w:sz="0" w:space="0" w:color="auto"/>
        <w:left w:val="none" w:sz="0" w:space="0" w:color="auto"/>
        <w:bottom w:val="none" w:sz="0" w:space="0" w:color="auto"/>
        <w:right w:val="none" w:sz="0" w:space="0" w:color="auto"/>
      </w:divBdr>
    </w:div>
    <w:div w:id="2142766945">
      <w:bodyDiv w:val="1"/>
      <w:marLeft w:val="0"/>
      <w:marRight w:val="0"/>
      <w:marTop w:val="0"/>
      <w:marBottom w:val="0"/>
      <w:divBdr>
        <w:top w:val="none" w:sz="0" w:space="0" w:color="auto"/>
        <w:left w:val="none" w:sz="0" w:space="0" w:color="auto"/>
        <w:bottom w:val="none" w:sz="0" w:space="0" w:color="auto"/>
        <w:right w:val="none" w:sz="0" w:space="0" w:color="auto"/>
      </w:divBdr>
    </w:div>
    <w:div w:id="2144499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image" Target="media/image4.png"/><Relationship Id="rId26" Type="http://schemas.openxmlformats.org/officeDocument/2006/relationships/chart" Target="charts/chart12.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3.png"/><Relationship Id="rId25" Type="http://schemas.openxmlformats.org/officeDocument/2006/relationships/hyperlink" Target="http://todoproductosfinancieros.com/puedo-invertir-con-3-000-euros/"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9.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image" Target="media/image5.emf"/><Relationship Id="rId28" Type="http://schemas.openxmlformats.org/officeDocument/2006/relationships/footer" Target="footer2.xml"/><Relationship Id="rId10" Type="http://schemas.openxmlformats.org/officeDocument/2006/relationships/chart" Target="charts/chart1.xml"/><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5.xml"/><Relationship Id="rId22" Type="http://schemas.openxmlformats.org/officeDocument/2006/relationships/chart" Target="charts/chart11.xml"/><Relationship Id="rId27" Type="http://schemas.openxmlformats.org/officeDocument/2006/relationships/footer" Target="footer1.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Libro2"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2"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2"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2"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Libro2"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C:\Users\Osvaldo%20Mora%20Mora\Downloads\Datos%20hist&#243;ricos%20Futuros%20caf&#233;%20C%20EE.UU.%20(1).csv" TargetMode="External"/><Relationship Id="rId2" Type="http://schemas.microsoft.com/office/2011/relationships/chartColorStyle" Target="colors1.xml"/><Relationship Id="rId1" Type="http://schemas.microsoft.com/office/2011/relationships/chartStyle" Target="style1.xml"/></Relationships>
</file>

<file path=word/charts/_rels/chart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v>% de hectareas por Cantón</c:v>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88F-47E4-B71F-797ACD2F2F4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88F-47E4-B71F-797ACD2F2F4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88F-47E4-B71F-797ACD2F2F47}"/>
              </c:ext>
            </c:extLst>
          </c:dPt>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Producción!$A$3:$A$5</c:f>
              <c:strCache>
                <c:ptCount val="3"/>
                <c:pt idx="0">
                  <c:v>Dota</c:v>
                </c:pt>
                <c:pt idx="1">
                  <c:v>Tarrazu </c:v>
                </c:pt>
                <c:pt idx="2">
                  <c:v>León Cortés</c:v>
                </c:pt>
              </c:strCache>
            </c:strRef>
          </c:cat>
          <c:val>
            <c:numRef>
              <c:f>Producción!$C$3:$C$5</c:f>
              <c:numCache>
                <c:formatCode>0.0%</c:formatCode>
                <c:ptCount val="3"/>
                <c:pt idx="0">
                  <c:v>0.13803060682398507</c:v>
                </c:pt>
                <c:pt idx="1">
                  <c:v>0.45306368138741826</c:v>
                </c:pt>
                <c:pt idx="2">
                  <c:v>0.40890571178859697</c:v>
                </c:pt>
              </c:numCache>
            </c:numRef>
          </c:val>
          <c:extLst>
            <c:ext xmlns:c16="http://schemas.microsoft.com/office/drawing/2014/chart" uri="{C3380CC4-5D6E-409C-BE32-E72D297353CC}">
              <c16:uniqueId val="{00000006-B88F-47E4-B71F-797ACD2F2F47}"/>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legend>
    <c:plotVisOnly val="1"/>
    <c:dispBlanksAs val="zero"/>
    <c:showDLblsOverMax val="0"/>
  </c:chart>
  <c:spPr>
    <a:solidFill>
      <a:schemeClr val="bg1"/>
    </a:solidFill>
    <a:ln w="9525" cap="flat" cmpd="sng" algn="ctr">
      <a:noFill/>
      <a:round/>
    </a:ln>
    <a:effectLst/>
  </c:spPr>
  <c:txPr>
    <a:bodyPr/>
    <a:lstStyle/>
    <a:p>
      <a:pPr algn="just">
        <a:defRPr/>
      </a:pPr>
      <a:endParaRPr lang="es-C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162C-49DF-AEC7-69367D750E99}"/>
              </c:ext>
            </c:extLst>
          </c:dPt>
          <c:dPt>
            <c:idx val="1"/>
            <c:bubble3D val="0"/>
            <c:spPr>
              <a:solidFill>
                <a:schemeClr val="accent2"/>
              </a:solidFill>
              <a:ln>
                <a:noFill/>
              </a:ln>
              <a:effectLst/>
            </c:spPr>
            <c:extLst>
              <c:ext xmlns:c16="http://schemas.microsoft.com/office/drawing/2014/chart" uri="{C3380CC4-5D6E-409C-BE32-E72D297353CC}">
                <c16:uniqueId val="{00000003-162C-49DF-AEC7-69367D750E99}"/>
              </c:ext>
            </c:extLst>
          </c:dPt>
          <c:dPt>
            <c:idx val="2"/>
            <c:bubble3D val="0"/>
            <c:spPr>
              <a:solidFill>
                <a:schemeClr val="accent3"/>
              </a:solidFill>
              <a:ln>
                <a:noFill/>
              </a:ln>
              <a:effectLst/>
            </c:spPr>
            <c:extLst>
              <c:ext xmlns:c16="http://schemas.microsoft.com/office/drawing/2014/chart" uri="{C3380CC4-5D6E-409C-BE32-E72D297353CC}">
                <c16:uniqueId val="{00000005-162C-49DF-AEC7-69367D750E99}"/>
              </c:ext>
            </c:extLst>
          </c:dPt>
          <c:dPt>
            <c:idx val="3"/>
            <c:bubble3D val="0"/>
            <c:spPr>
              <a:solidFill>
                <a:schemeClr val="accent4"/>
              </a:solidFill>
              <a:ln>
                <a:noFill/>
              </a:ln>
              <a:effectLst/>
            </c:spPr>
            <c:extLst>
              <c:ext xmlns:c16="http://schemas.microsoft.com/office/drawing/2014/chart" uri="{C3380CC4-5D6E-409C-BE32-E72D297353CC}">
                <c16:uniqueId val="{00000007-162C-49DF-AEC7-69367D750E99}"/>
              </c:ext>
            </c:extLst>
          </c:dPt>
          <c:dPt>
            <c:idx val="4"/>
            <c:bubble3D val="0"/>
            <c:spPr>
              <a:solidFill>
                <a:schemeClr val="accent5"/>
              </a:solidFill>
              <a:ln>
                <a:noFill/>
              </a:ln>
              <a:effectLst/>
            </c:spPr>
            <c:extLst>
              <c:ext xmlns:c16="http://schemas.microsoft.com/office/drawing/2014/chart" uri="{C3380CC4-5D6E-409C-BE32-E72D297353CC}">
                <c16:uniqueId val="{00000009-162C-49DF-AEC7-69367D750E99}"/>
              </c:ext>
            </c:extLst>
          </c:dPt>
          <c:dPt>
            <c:idx val="5"/>
            <c:bubble3D val="0"/>
            <c:spPr>
              <a:solidFill>
                <a:schemeClr val="accent6"/>
              </a:solidFill>
              <a:ln>
                <a:noFill/>
              </a:ln>
              <a:effectLst/>
            </c:spPr>
            <c:extLst>
              <c:ext xmlns:c16="http://schemas.microsoft.com/office/drawing/2014/chart" uri="{C3380CC4-5D6E-409C-BE32-E72D297353CC}">
                <c16:uniqueId val="{0000000B-162C-49DF-AEC7-69367D750E99}"/>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0D-162C-49DF-AEC7-69367D750E99}"/>
              </c:ext>
            </c:extLst>
          </c:dPt>
          <c:dLbls>
            <c:spPr>
              <a:noFill/>
              <a:ln>
                <a:noFill/>
              </a:ln>
              <a:effectLst/>
            </c:spPr>
            <c:dLblPos val="inEnd"/>
            <c:showLegendKey val="0"/>
            <c:showVal val="1"/>
            <c:showCatName val="0"/>
            <c:showSerName val="0"/>
            <c:showPercent val="0"/>
            <c:showBubbleSize val="0"/>
            <c:showLeaderLines val="1"/>
            <c:extLst>
              <c:ext xmlns:c15="http://schemas.microsoft.com/office/drawing/2012/chart" uri="{CE6537A1-D6FC-4f65-9D91-7224C49458BB}"/>
            </c:extLst>
          </c:dLbls>
          <c:cat>
            <c:strRef>
              <c:f>Hoja2!$I$36:$I$42</c:f>
              <c:strCache>
                <c:ptCount val="7"/>
                <c:pt idx="0">
                  <c:v>Mantinimiento de Finca</c:v>
                </c:pt>
                <c:pt idx="1">
                  <c:v>Recolección adecuada del grano</c:v>
                </c:pt>
                <c:pt idx="2">
                  <c:v>Beneficiado</c:v>
                </c:pt>
                <c:pt idx="3">
                  <c:v>Torrefación</c:v>
                </c:pt>
                <c:pt idx="4">
                  <c:v>Tueste</c:v>
                </c:pt>
                <c:pt idx="5">
                  <c:v>Otros</c:v>
                </c:pt>
                <c:pt idx="6">
                  <c:v>Todas las anteriores</c:v>
                </c:pt>
              </c:strCache>
            </c:strRef>
          </c:cat>
          <c:val>
            <c:numRef>
              <c:f>Hoja2!$L$36:$L$42</c:f>
              <c:numCache>
                <c:formatCode>0%</c:formatCode>
                <c:ptCount val="7"/>
                <c:pt idx="0">
                  <c:v>0.30263157894736797</c:v>
                </c:pt>
                <c:pt idx="1">
                  <c:v>0.186842105263158</c:v>
                </c:pt>
                <c:pt idx="2">
                  <c:v>0.1</c:v>
                </c:pt>
                <c:pt idx="3">
                  <c:v>0.10789473684210503</c:v>
                </c:pt>
                <c:pt idx="4">
                  <c:v>0.16052631578947399</c:v>
                </c:pt>
                <c:pt idx="5">
                  <c:v>8.4210526315789527E-2</c:v>
                </c:pt>
                <c:pt idx="6">
                  <c:v>5.7894736842105353E-2</c:v>
                </c:pt>
              </c:numCache>
            </c:numRef>
          </c:val>
          <c:extLst>
            <c:ext xmlns:c16="http://schemas.microsoft.com/office/drawing/2014/chart" uri="{C3380CC4-5D6E-409C-BE32-E72D297353CC}">
              <c16:uniqueId val="{0000000E-162C-49DF-AEC7-69367D750E99}"/>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legend>
    <c:plotVisOnly val="1"/>
    <c:dispBlanksAs val="zero"/>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2CD-44A3-BD57-60225A8B801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2CD-44A3-BD57-60225A8B801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Hoja2!$B$3:$B$4</c:f>
              <c:strCache>
                <c:ptCount val="2"/>
                <c:pt idx="0">
                  <c:v>Si</c:v>
                </c:pt>
                <c:pt idx="1">
                  <c:v>No</c:v>
                </c:pt>
              </c:strCache>
            </c:strRef>
          </c:cat>
          <c:val>
            <c:numRef>
              <c:f>Hoja2!$D$3:$D$4</c:f>
              <c:numCache>
                <c:formatCode>0%</c:formatCode>
                <c:ptCount val="2"/>
                <c:pt idx="0">
                  <c:v>0.29210526315789515</c:v>
                </c:pt>
                <c:pt idx="1">
                  <c:v>0.70789473684210524</c:v>
                </c:pt>
              </c:numCache>
            </c:numRef>
          </c:val>
          <c:extLst>
            <c:ext xmlns:c16="http://schemas.microsoft.com/office/drawing/2014/chart" uri="{C3380CC4-5D6E-409C-BE32-E72D297353CC}">
              <c16:uniqueId val="{00000004-32CD-44A3-BD57-60225A8B801D}"/>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zero"/>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8E3-4738-B478-6CF37B3176A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8E3-4738-B478-6CF37B3176AF}"/>
              </c:ext>
            </c:extLst>
          </c:dPt>
          <c:dLbls>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extLst>
          </c:dLbls>
          <c:cat>
            <c:strRef>
              <c:f>Hoja3!$B$3:$B$4</c:f>
              <c:strCache>
                <c:ptCount val="2"/>
                <c:pt idx="0">
                  <c:v>Si</c:v>
                </c:pt>
                <c:pt idx="1">
                  <c:v>No</c:v>
                </c:pt>
              </c:strCache>
            </c:strRef>
          </c:cat>
          <c:val>
            <c:numRef>
              <c:f>Hoja3!$E$3:$E$4</c:f>
              <c:numCache>
                <c:formatCode>0%</c:formatCode>
                <c:ptCount val="2"/>
                <c:pt idx="0">
                  <c:v>0.39736842105263226</c:v>
                </c:pt>
                <c:pt idx="1">
                  <c:v>0.60263157894736796</c:v>
                </c:pt>
              </c:numCache>
            </c:numRef>
          </c:val>
          <c:extLst>
            <c:ext xmlns:c16="http://schemas.microsoft.com/office/drawing/2014/chart" uri="{C3380CC4-5D6E-409C-BE32-E72D297353CC}">
              <c16:uniqueId val="{00000004-D8E3-4738-B478-6CF37B3176AF}"/>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zero"/>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Producción Total</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'Cantidad de Fanegas'!$M$2:$R$2</c:f>
              <c:strCache>
                <c:ptCount val="6"/>
                <c:pt idx="0">
                  <c:v>2010-2011</c:v>
                </c:pt>
                <c:pt idx="1">
                  <c:v>2011-2012</c:v>
                </c:pt>
                <c:pt idx="2">
                  <c:v>2012-2013</c:v>
                </c:pt>
                <c:pt idx="3">
                  <c:v>2013-2014</c:v>
                </c:pt>
                <c:pt idx="4">
                  <c:v>2014-2015</c:v>
                </c:pt>
                <c:pt idx="5">
                  <c:v>2015-2016</c:v>
                </c:pt>
              </c:strCache>
            </c:strRef>
          </c:cat>
          <c:val>
            <c:numRef>
              <c:f>'Cantidad de Fanegas'!$M$10:$R$10</c:f>
              <c:numCache>
                <c:formatCode>#,##0</c:formatCode>
                <c:ptCount val="6"/>
                <c:pt idx="0">
                  <c:v>350339.11490000004</c:v>
                </c:pt>
                <c:pt idx="1">
                  <c:v>386473.07499999995</c:v>
                </c:pt>
                <c:pt idx="2">
                  <c:v>364859.77500000002</c:v>
                </c:pt>
                <c:pt idx="3">
                  <c:v>509215.77625</c:v>
                </c:pt>
                <c:pt idx="4">
                  <c:v>374337.7375000001</c:v>
                </c:pt>
                <c:pt idx="5">
                  <c:v>579668.13749999972</c:v>
                </c:pt>
              </c:numCache>
            </c:numRef>
          </c:val>
          <c:extLst>
            <c:ext xmlns:c16="http://schemas.microsoft.com/office/drawing/2014/chart" uri="{C3380CC4-5D6E-409C-BE32-E72D297353CC}">
              <c16:uniqueId val="{00000000-4EEA-4CFF-81E3-85F9D0248842}"/>
            </c:ext>
          </c:extLst>
        </c:ser>
        <c:dLbls>
          <c:showLegendKey val="0"/>
          <c:showVal val="0"/>
          <c:showCatName val="0"/>
          <c:showSerName val="0"/>
          <c:showPercent val="0"/>
          <c:showBubbleSize val="0"/>
        </c:dLbls>
        <c:gapWidth val="219"/>
        <c:axId val="143382016"/>
        <c:axId val="143383552"/>
      </c:barChart>
      <c:lineChart>
        <c:grouping val="standard"/>
        <c:varyColors val="0"/>
        <c:ser>
          <c:idx val="1"/>
          <c:order val="1"/>
          <c:tx>
            <c:v>Tasa de crecimiento </c:v>
          </c:tx>
          <c:spPr>
            <a:ln w="28575" cap="rnd">
              <a:solidFill>
                <a:schemeClr val="accent2"/>
              </a:solidFill>
              <a:round/>
            </a:ln>
            <a:effectLst/>
          </c:spPr>
          <c:marker>
            <c:symbol val="none"/>
          </c:marker>
          <c:dLbls>
            <c:dLbl>
              <c:idx val="4"/>
              <c:layout>
                <c:manualLayout>
                  <c:x val="-4.7536457942757286E-2"/>
                  <c:y val="5.275956784471699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EEA-4CFF-81E3-85F9D024884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'Cantidad de Fanegas'!$M$2:$R$2</c:f>
              <c:strCache>
                <c:ptCount val="6"/>
                <c:pt idx="0">
                  <c:v>2010-2011</c:v>
                </c:pt>
                <c:pt idx="1">
                  <c:v>2011-2012</c:v>
                </c:pt>
                <c:pt idx="2">
                  <c:v>2012-2013</c:v>
                </c:pt>
                <c:pt idx="3">
                  <c:v>2013-2014</c:v>
                </c:pt>
                <c:pt idx="4">
                  <c:v>2014-2015</c:v>
                </c:pt>
                <c:pt idx="5">
                  <c:v>2015-2016</c:v>
                </c:pt>
              </c:strCache>
            </c:strRef>
          </c:cat>
          <c:val>
            <c:numRef>
              <c:f>'Cantidad de Fanegas'!$M$11:$R$11</c:f>
              <c:numCache>
                <c:formatCode>0%</c:formatCode>
                <c:ptCount val="6"/>
                <c:pt idx="0">
                  <c:v>0</c:v>
                </c:pt>
                <c:pt idx="1">
                  <c:v>0.1031399537283009</c:v>
                </c:pt>
                <c:pt idx="2">
                  <c:v>-5.5924465113125786E-2</c:v>
                </c:pt>
                <c:pt idx="3">
                  <c:v>0.39564789308440501</c:v>
                </c:pt>
                <c:pt idx="4">
                  <c:v>-0.26487403776701046</c:v>
                </c:pt>
                <c:pt idx="5">
                  <c:v>0.54851643163548269</c:v>
                </c:pt>
              </c:numCache>
            </c:numRef>
          </c:val>
          <c:smooth val="0"/>
          <c:extLst>
            <c:ext xmlns:c16="http://schemas.microsoft.com/office/drawing/2014/chart" uri="{C3380CC4-5D6E-409C-BE32-E72D297353CC}">
              <c16:uniqueId val="{00000002-4EEA-4CFF-81E3-85F9D0248842}"/>
            </c:ext>
          </c:extLst>
        </c:ser>
        <c:dLbls>
          <c:showLegendKey val="0"/>
          <c:showVal val="0"/>
          <c:showCatName val="0"/>
          <c:showSerName val="0"/>
          <c:showPercent val="0"/>
          <c:showBubbleSize val="0"/>
        </c:dLbls>
        <c:marker val="1"/>
        <c:smooth val="0"/>
        <c:axId val="143461376"/>
        <c:axId val="143459456"/>
      </c:lineChart>
      <c:catAx>
        <c:axId val="143382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383552"/>
        <c:crosses val="autoZero"/>
        <c:auto val="1"/>
        <c:lblAlgn val="ctr"/>
        <c:lblOffset val="100"/>
        <c:noMultiLvlLbl val="0"/>
      </c:catAx>
      <c:valAx>
        <c:axId val="14338355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Total</a:t>
                </a:r>
                <a:r>
                  <a:rPr lang="es-CR" baseline="0"/>
                  <a:t> de Fanejas </a:t>
                </a:r>
                <a:endParaRPr lang="es-C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382016"/>
        <c:crosses val="autoZero"/>
        <c:crossBetween val="between"/>
      </c:valAx>
      <c:valAx>
        <c:axId val="143459456"/>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Variación</a:t>
                </a:r>
                <a:r>
                  <a:rPr lang="es-CR" baseline="0"/>
                  <a:t> Anual</a:t>
                </a:r>
                <a:endParaRPr lang="es-C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461376"/>
        <c:crosses val="max"/>
        <c:crossBetween val="between"/>
      </c:valAx>
      <c:catAx>
        <c:axId val="143461376"/>
        <c:scaling>
          <c:orientation val="minMax"/>
        </c:scaling>
        <c:delete val="1"/>
        <c:axPos val="b"/>
        <c:numFmt formatCode="General" sourceLinked="1"/>
        <c:majorTickMark val="out"/>
        <c:minorTickMark val="none"/>
        <c:tickLblPos val="none"/>
        <c:crossAx val="143459456"/>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Productividad por hectárea </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'Cantidad de Fanegas'!$M$2:$R$2</c:f>
              <c:strCache>
                <c:ptCount val="6"/>
                <c:pt idx="0">
                  <c:v>2010-2011</c:v>
                </c:pt>
                <c:pt idx="1">
                  <c:v>2011-2012</c:v>
                </c:pt>
                <c:pt idx="2">
                  <c:v>2012-2013</c:v>
                </c:pt>
                <c:pt idx="3">
                  <c:v>2013-2014</c:v>
                </c:pt>
                <c:pt idx="4">
                  <c:v>2014-2015</c:v>
                </c:pt>
                <c:pt idx="5">
                  <c:v>2015-2016</c:v>
                </c:pt>
              </c:strCache>
            </c:strRef>
          </c:cat>
          <c:val>
            <c:numRef>
              <c:f>'Cantidad de Fanegas'!$M$13:$R$13</c:f>
              <c:numCache>
                <c:formatCode>0.0</c:formatCode>
                <c:ptCount val="6"/>
                <c:pt idx="0">
                  <c:v>37.523682897623097</c:v>
                </c:pt>
                <c:pt idx="1">
                  <c:v>41.393873815399374</c:v>
                </c:pt>
                <c:pt idx="2">
                  <c:v>39.078943563312933</c:v>
                </c:pt>
                <c:pt idx="3">
                  <c:v>54.540445248102067</c:v>
                </c:pt>
                <c:pt idx="4">
                  <c:v>40.094097293626703</c:v>
                </c:pt>
                <c:pt idx="5">
                  <c:v>62.086368470772705</c:v>
                </c:pt>
              </c:numCache>
            </c:numRef>
          </c:val>
          <c:extLst>
            <c:ext xmlns:c16="http://schemas.microsoft.com/office/drawing/2014/chart" uri="{C3380CC4-5D6E-409C-BE32-E72D297353CC}">
              <c16:uniqueId val="{00000000-94BE-4ECF-B676-96ABDA5CBCFE}"/>
            </c:ext>
          </c:extLst>
        </c:ser>
        <c:dLbls>
          <c:showLegendKey val="0"/>
          <c:showVal val="1"/>
          <c:showCatName val="0"/>
          <c:showSerName val="0"/>
          <c:showPercent val="0"/>
          <c:showBubbleSize val="0"/>
        </c:dLbls>
        <c:gapWidth val="219"/>
        <c:overlap val="-27"/>
        <c:axId val="143473280"/>
        <c:axId val="143483264"/>
      </c:barChart>
      <c:catAx>
        <c:axId val="143473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483264"/>
        <c:crosses val="autoZero"/>
        <c:auto val="1"/>
        <c:lblAlgn val="ctr"/>
        <c:lblOffset val="100"/>
        <c:noMultiLvlLbl val="0"/>
      </c:catAx>
      <c:valAx>
        <c:axId val="1434832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Total</a:t>
                </a:r>
                <a:r>
                  <a:rPr lang="es-CR" baseline="0"/>
                  <a:t> de quitales/hectárea</a:t>
                </a:r>
                <a:endParaRPr lang="es-CR"/>
              </a:p>
            </c:rich>
          </c:tx>
          <c:overlay val="0"/>
          <c:spPr>
            <a:noFill/>
            <a:ln>
              <a:noFill/>
            </a:ln>
            <a:effectLst/>
          </c:sp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47328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Dota</c:v>
          </c:tx>
          <c:spPr>
            <a:solidFill>
              <a:schemeClr val="accent1"/>
            </a:solidFill>
            <a:ln>
              <a:noFill/>
            </a:ln>
            <a:effectLst/>
          </c:spPr>
          <c:invertIfNegative val="0"/>
          <c:cat>
            <c:strRef>
              <c:f>'Cantidad de Fanegas'!$M$2:$R$2</c:f>
              <c:strCache>
                <c:ptCount val="6"/>
                <c:pt idx="0">
                  <c:v>2010-2011</c:v>
                </c:pt>
                <c:pt idx="1">
                  <c:v>2011-2012</c:v>
                </c:pt>
                <c:pt idx="2">
                  <c:v>2012-2013</c:v>
                </c:pt>
                <c:pt idx="3">
                  <c:v>2013-2014</c:v>
                </c:pt>
                <c:pt idx="4">
                  <c:v>2014-2015</c:v>
                </c:pt>
                <c:pt idx="5">
                  <c:v>2015-2016</c:v>
                </c:pt>
              </c:strCache>
            </c:strRef>
          </c:cat>
          <c:val>
            <c:numRef>
              <c:f>'Cantidad de Fanegas'!$M$3:$R$3</c:f>
              <c:numCache>
                <c:formatCode>#,##0.0000</c:formatCode>
                <c:ptCount val="6"/>
                <c:pt idx="0">
                  <c:v>47097.837400000004</c:v>
                </c:pt>
                <c:pt idx="1">
                  <c:v>55765.912500000013</c:v>
                </c:pt>
                <c:pt idx="2">
                  <c:v>45430.112500000003</c:v>
                </c:pt>
                <c:pt idx="3">
                  <c:v>79398.59</c:v>
                </c:pt>
                <c:pt idx="4">
                  <c:v>49107.6</c:v>
                </c:pt>
                <c:pt idx="5">
                  <c:v>84208.712499999965</c:v>
                </c:pt>
              </c:numCache>
            </c:numRef>
          </c:val>
          <c:extLst>
            <c:ext xmlns:c16="http://schemas.microsoft.com/office/drawing/2014/chart" uri="{C3380CC4-5D6E-409C-BE32-E72D297353CC}">
              <c16:uniqueId val="{00000000-0838-44FD-9905-AC2C3ACA85B0}"/>
            </c:ext>
          </c:extLst>
        </c:ser>
        <c:ser>
          <c:idx val="1"/>
          <c:order val="1"/>
          <c:tx>
            <c:v>León Cortes</c:v>
          </c:tx>
          <c:spPr>
            <a:solidFill>
              <a:schemeClr val="accent2"/>
            </a:solidFill>
            <a:ln>
              <a:noFill/>
            </a:ln>
            <a:effectLst/>
          </c:spPr>
          <c:invertIfNegative val="0"/>
          <c:cat>
            <c:strRef>
              <c:f>'Cantidad de Fanegas'!$M$2:$R$2</c:f>
              <c:strCache>
                <c:ptCount val="6"/>
                <c:pt idx="0">
                  <c:v>2010-2011</c:v>
                </c:pt>
                <c:pt idx="1">
                  <c:v>2011-2012</c:v>
                </c:pt>
                <c:pt idx="2">
                  <c:v>2012-2013</c:v>
                </c:pt>
                <c:pt idx="3">
                  <c:v>2013-2014</c:v>
                </c:pt>
                <c:pt idx="4">
                  <c:v>2014-2015</c:v>
                </c:pt>
                <c:pt idx="5">
                  <c:v>2015-2016</c:v>
                </c:pt>
              </c:strCache>
            </c:strRef>
          </c:cat>
          <c:val>
            <c:numRef>
              <c:f>'Cantidad de Fanegas'!$M$5:$R$5</c:f>
              <c:numCache>
                <c:formatCode>#,##0.0000</c:formatCode>
                <c:ptCount val="6"/>
                <c:pt idx="0">
                  <c:v>136602.96249999991</c:v>
                </c:pt>
                <c:pt idx="1">
                  <c:v>142346.03406715006</c:v>
                </c:pt>
                <c:pt idx="2">
                  <c:v>124904.81249999999</c:v>
                </c:pt>
                <c:pt idx="3">
                  <c:v>182990.01</c:v>
                </c:pt>
                <c:pt idx="4">
                  <c:v>141440.78750000001</c:v>
                </c:pt>
                <c:pt idx="5">
                  <c:v>223926.44999999998</c:v>
                </c:pt>
              </c:numCache>
            </c:numRef>
          </c:val>
          <c:extLst>
            <c:ext xmlns:c16="http://schemas.microsoft.com/office/drawing/2014/chart" uri="{C3380CC4-5D6E-409C-BE32-E72D297353CC}">
              <c16:uniqueId val="{00000001-0838-44FD-9905-AC2C3ACA85B0}"/>
            </c:ext>
          </c:extLst>
        </c:ser>
        <c:ser>
          <c:idx val="2"/>
          <c:order val="2"/>
          <c:tx>
            <c:v>Tarrazu </c:v>
          </c:tx>
          <c:spPr>
            <a:solidFill>
              <a:schemeClr val="accent3"/>
            </a:solidFill>
            <a:ln>
              <a:noFill/>
            </a:ln>
            <a:effectLst/>
          </c:spPr>
          <c:invertIfNegative val="0"/>
          <c:cat>
            <c:strRef>
              <c:f>'Cantidad de Fanegas'!$M$2:$R$2</c:f>
              <c:strCache>
                <c:ptCount val="6"/>
                <c:pt idx="0">
                  <c:v>2010-2011</c:v>
                </c:pt>
                <c:pt idx="1">
                  <c:v>2011-2012</c:v>
                </c:pt>
                <c:pt idx="2">
                  <c:v>2012-2013</c:v>
                </c:pt>
                <c:pt idx="3">
                  <c:v>2013-2014</c:v>
                </c:pt>
                <c:pt idx="4">
                  <c:v>2014-2015</c:v>
                </c:pt>
                <c:pt idx="5">
                  <c:v>2015-2016</c:v>
                </c:pt>
              </c:strCache>
            </c:strRef>
          </c:cat>
          <c:val>
            <c:numRef>
              <c:f>'Cantidad de Fanegas'!$M$7:$R$7</c:f>
              <c:numCache>
                <c:formatCode>#,##0.0000</c:formatCode>
                <c:ptCount val="6"/>
                <c:pt idx="0">
                  <c:v>166638.31500000003</c:v>
                </c:pt>
                <c:pt idx="1">
                  <c:v>188361.12843284974</c:v>
                </c:pt>
                <c:pt idx="2">
                  <c:v>194524.84999999998</c:v>
                </c:pt>
                <c:pt idx="3">
                  <c:v>246827.17625000008</c:v>
                </c:pt>
                <c:pt idx="4">
                  <c:v>183789.34999999998</c:v>
                </c:pt>
                <c:pt idx="5">
                  <c:v>271532.97499999998</c:v>
                </c:pt>
              </c:numCache>
            </c:numRef>
          </c:val>
          <c:extLst>
            <c:ext xmlns:c16="http://schemas.microsoft.com/office/drawing/2014/chart" uri="{C3380CC4-5D6E-409C-BE32-E72D297353CC}">
              <c16:uniqueId val="{00000002-0838-44FD-9905-AC2C3ACA85B0}"/>
            </c:ext>
          </c:extLst>
        </c:ser>
        <c:dLbls>
          <c:showLegendKey val="0"/>
          <c:showVal val="0"/>
          <c:showCatName val="0"/>
          <c:showSerName val="0"/>
          <c:showPercent val="0"/>
          <c:showBubbleSize val="0"/>
        </c:dLbls>
        <c:gapWidth val="219"/>
        <c:overlap val="-27"/>
        <c:axId val="143355264"/>
        <c:axId val="143606912"/>
      </c:barChart>
      <c:catAx>
        <c:axId val="14335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606912"/>
        <c:crosses val="autoZero"/>
        <c:auto val="1"/>
        <c:lblAlgn val="ctr"/>
        <c:lblOffset val="100"/>
        <c:noMultiLvlLbl val="0"/>
      </c:catAx>
      <c:valAx>
        <c:axId val="14360691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Total</a:t>
                </a:r>
                <a:r>
                  <a:rPr lang="es-CR" baseline="0"/>
                  <a:t> de fanegas</a:t>
                </a:r>
                <a:endParaRPr lang="es-CR"/>
              </a:p>
            </c:rich>
          </c:tx>
          <c:overlay val="0"/>
          <c:spPr>
            <a:noFill/>
            <a:ln>
              <a:noFill/>
            </a:ln>
            <a:effectLst/>
          </c:sp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355264"/>
        <c:crosses val="autoZero"/>
        <c:crossBetween val="between"/>
      </c:valAx>
      <c:dTable>
        <c:showHorzBorder val="1"/>
        <c:showVertBorder val="1"/>
        <c:showOutline val="1"/>
        <c:showKeys val="1"/>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v>Tarrazu</c:v>
          </c:tx>
          <c:spPr>
            <a:ln w="28575" cap="rnd">
              <a:solidFill>
                <a:schemeClr val="accent1"/>
              </a:solidFill>
              <a:round/>
            </a:ln>
            <a:effectLst/>
          </c:spPr>
          <c:marker>
            <c:symbol val="none"/>
          </c:marker>
          <c:cat>
            <c:strRef>
              <c:f>'Indice de competitivida Canto'!$A$2:$A$8</c:f>
              <c:strCache>
                <c:ptCount val="7"/>
                <c:pt idx="0">
                  <c:v>Economico </c:v>
                </c:pt>
                <c:pt idx="1">
                  <c:v>Gobierno</c:v>
                </c:pt>
                <c:pt idx="2">
                  <c:v>Infraestructura</c:v>
                </c:pt>
                <c:pt idx="3">
                  <c:v>Clima empresarial</c:v>
                </c:pt>
                <c:pt idx="4">
                  <c:v>Clima laboral </c:v>
                </c:pt>
                <c:pt idx="5">
                  <c:v>Capacidad de Innovación</c:v>
                </c:pt>
                <c:pt idx="6">
                  <c:v>Calidad de vida</c:v>
                </c:pt>
              </c:strCache>
            </c:strRef>
          </c:cat>
          <c:val>
            <c:numRef>
              <c:f>'Indice de competitivida Canto'!$B$2:$B$8</c:f>
              <c:numCache>
                <c:formatCode>General</c:formatCode>
                <c:ptCount val="7"/>
                <c:pt idx="0">
                  <c:v>69</c:v>
                </c:pt>
                <c:pt idx="1">
                  <c:v>23</c:v>
                </c:pt>
                <c:pt idx="2">
                  <c:v>48</c:v>
                </c:pt>
                <c:pt idx="3">
                  <c:v>64</c:v>
                </c:pt>
                <c:pt idx="4">
                  <c:v>79</c:v>
                </c:pt>
                <c:pt idx="5">
                  <c:v>47</c:v>
                </c:pt>
                <c:pt idx="6">
                  <c:v>36</c:v>
                </c:pt>
              </c:numCache>
            </c:numRef>
          </c:val>
          <c:extLst>
            <c:ext xmlns:c16="http://schemas.microsoft.com/office/drawing/2014/chart" uri="{C3380CC4-5D6E-409C-BE32-E72D297353CC}">
              <c16:uniqueId val="{00000000-8F24-4884-8B71-2C607074127F}"/>
            </c:ext>
          </c:extLst>
        </c:ser>
        <c:ser>
          <c:idx val="1"/>
          <c:order val="1"/>
          <c:tx>
            <c:v>Dota</c:v>
          </c:tx>
          <c:spPr>
            <a:ln w="28575" cap="rnd">
              <a:solidFill>
                <a:schemeClr val="accent2"/>
              </a:solidFill>
              <a:round/>
            </a:ln>
            <a:effectLst/>
          </c:spPr>
          <c:marker>
            <c:symbol val="none"/>
          </c:marker>
          <c:cat>
            <c:strRef>
              <c:f>'Indice de competitivida Canto'!$A$2:$A$8</c:f>
              <c:strCache>
                <c:ptCount val="7"/>
                <c:pt idx="0">
                  <c:v>Economico </c:v>
                </c:pt>
                <c:pt idx="1">
                  <c:v>Gobierno</c:v>
                </c:pt>
                <c:pt idx="2">
                  <c:v>Infraestructura</c:v>
                </c:pt>
                <c:pt idx="3">
                  <c:v>Clima empresarial</c:v>
                </c:pt>
                <c:pt idx="4">
                  <c:v>Clima laboral </c:v>
                </c:pt>
                <c:pt idx="5">
                  <c:v>Capacidad de Innovación</c:v>
                </c:pt>
                <c:pt idx="6">
                  <c:v>Calidad de vida</c:v>
                </c:pt>
              </c:strCache>
            </c:strRef>
          </c:cat>
          <c:val>
            <c:numRef>
              <c:f>'Indice de competitivida Canto'!$C$2:$C$8</c:f>
              <c:numCache>
                <c:formatCode>General</c:formatCode>
                <c:ptCount val="7"/>
                <c:pt idx="0">
                  <c:v>76</c:v>
                </c:pt>
                <c:pt idx="1">
                  <c:v>11</c:v>
                </c:pt>
                <c:pt idx="2">
                  <c:v>49</c:v>
                </c:pt>
                <c:pt idx="3">
                  <c:v>70</c:v>
                </c:pt>
                <c:pt idx="4">
                  <c:v>65</c:v>
                </c:pt>
                <c:pt idx="5">
                  <c:v>66</c:v>
                </c:pt>
                <c:pt idx="6">
                  <c:v>4</c:v>
                </c:pt>
              </c:numCache>
            </c:numRef>
          </c:val>
          <c:extLst>
            <c:ext xmlns:c16="http://schemas.microsoft.com/office/drawing/2014/chart" uri="{C3380CC4-5D6E-409C-BE32-E72D297353CC}">
              <c16:uniqueId val="{00000001-8F24-4884-8B71-2C607074127F}"/>
            </c:ext>
          </c:extLst>
        </c:ser>
        <c:ser>
          <c:idx val="2"/>
          <c:order val="2"/>
          <c:tx>
            <c:v>León Cortés</c:v>
          </c:tx>
          <c:spPr>
            <a:ln w="28575" cap="rnd">
              <a:solidFill>
                <a:schemeClr val="accent3"/>
              </a:solidFill>
              <a:round/>
            </a:ln>
            <a:effectLst/>
          </c:spPr>
          <c:marker>
            <c:symbol val="none"/>
          </c:marker>
          <c:cat>
            <c:strRef>
              <c:f>'Indice de competitivida Canto'!$A$2:$A$8</c:f>
              <c:strCache>
                <c:ptCount val="7"/>
                <c:pt idx="0">
                  <c:v>Economico </c:v>
                </c:pt>
                <c:pt idx="1">
                  <c:v>Gobierno</c:v>
                </c:pt>
                <c:pt idx="2">
                  <c:v>Infraestructura</c:v>
                </c:pt>
                <c:pt idx="3">
                  <c:v>Clima empresarial</c:v>
                </c:pt>
                <c:pt idx="4">
                  <c:v>Clima laboral </c:v>
                </c:pt>
                <c:pt idx="5">
                  <c:v>Capacidad de Innovación</c:v>
                </c:pt>
                <c:pt idx="6">
                  <c:v>Calidad de vida</c:v>
                </c:pt>
              </c:strCache>
            </c:strRef>
          </c:cat>
          <c:val>
            <c:numRef>
              <c:f>'Indice de competitivida Canto'!$D$2:$D$8</c:f>
              <c:numCache>
                <c:formatCode>General</c:formatCode>
                <c:ptCount val="7"/>
                <c:pt idx="0">
                  <c:v>81</c:v>
                </c:pt>
                <c:pt idx="1">
                  <c:v>53</c:v>
                </c:pt>
                <c:pt idx="2">
                  <c:v>58</c:v>
                </c:pt>
                <c:pt idx="3">
                  <c:v>80</c:v>
                </c:pt>
                <c:pt idx="4">
                  <c:v>68</c:v>
                </c:pt>
                <c:pt idx="5">
                  <c:v>63</c:v>
                </c:pt>
                <c:pt idx="6">
                  <c:v>60</c:v>
                </c:pt>
              </c:numCache>
            </c:numRef>
          </c:val>
          <c:extLst>
            <c:ext xmlns:c16="http://schemas.microsoft.com/office/drawing/2014/chart" uri="{C3380CC4-5D6E-409C-BE32-E72D297353CC}">
              <c16:uniqueId val="{00000002-8F24-4884-8B71-2C607074127F}"/>
            </c:ext>
          </c:extLst>
        </c:ser>
        <c:dLbls>
          <c:showLegendKey val="0"/>
          <c:showVal val="0"/>
          <c:showCatName val="0"/>
          <c:showSerName val="0"/>
          <c:showPercent val="0"/>
          <c:showBubbleSize val="0"/>
        </c:dLbls>
        <c:axId val="143631104"/>
        <c:axId val="143632640"/>
      </c:radarChart>
      <c:catAx>
        <c:axId val="143631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632640"/>
        <c:crosses val="autoZero"/>
        <c:auto val="1"/>
        <c:lblAlgn val="ctr"/>
        <c:lblOffset val="100"/>
        <c:noMultiLvlLbl val="0"/>
      </c:catAx>
      <c:valAx>
        <c:axId val="143632640"/>
        <c:scaling>
          <c:orientation val="minMax"/>
          <c:max val="8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3631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Precios internacionales del Café</c:v>
          </c:tx>
          <c:spPr>
            <a:ln w="28575" cap="rnd">
              <a:solidFill>
                <a:schemeClr val="accent1"/>
              </a:solidFill>
              <a:round/>
            </a:ln>
            <a:effectLst/>
          </c:spPr>
          <c:marker>
            <c:symbol val="none"/>
          </c:marker>
          <c:cat>
            <c:numRef>
              <c:f>'Datos históricos Futuros café C'!$A$2:$A$341</c:f>
              <c:numCache>
                <c:formatCode>mmm\-yy</c:formatCode>
                <c:ptCount val="340"/>
                <c:pt idx="0">
                  <c:v>43191</c:v>
                </c:pt>
                <c:pt idx="1">
                  <c:v>43160</c:v>
                </c:pt>
                <c:pt idx="2">
                  <c:v>43132</c:v>
                </c:pt>
                <c:pt idx="3">
                  <c:v>43101</c:v>
                </c:pt>
                <c:pt idx="4">
                  <c:v>43070</c:v>
                </c:pt>
                <c:pt idx="5">
                  <c:v>43040</c:v>
                </c:pt>
                <c:pt idx="6">
                  <c:v>43009</c:v>
                </c:pt>
                <c:pt idx="7">
                  <c:v>42979</c:v>
                </c:pt>
                <c:pt idx="8">
                  <c:v>42948</c:v>
                </c:pt>
                <c:pt idx="9">
                  <c:v>42917</c:v>
                </c:pt>
                <c:pt idx="10">
                  <c:v>42887</c:v>
                </c:pt>
                <c:pt idx="11">
                  <c:v>42856</c:v>
                </c:pt>
                <c:pt idx="12">
                  <c:v>42826</c:v>
                </c:pt>
                <c:pt idx="13">
                  <c:v>42795</c:v>
                </c:pt>
                <c:pt idx="14">
                  <c:v>42767</c:v>
                </c:pt>
                <c:pt idx="15">
                  <c:v>42736</c:v>
                </c:pt>
                <c:pt idx="16">
                  <c:v>42705</c:v>
                </c:pt>
                <c:pt idx="17">
                  <c:v>42675</c:v>
                </c:pt>
                <c:pt idx="18">
                  <c:v>42644</c:v>
                </c:pt>
                <c:pt idx="19">
                  <c:v>42614</c:v>
                </c:pt>
                <c:pt idx="20">
                  <c:v>42583</c:v>
                </c:pt>
                <c:pt idx="21">
                  <c:v>42552</c:v>
                </c:pt>
                <c:pt idx="22">
                  <c:v>42522</c:v>
                </c:pt>
                <c:pt idx="23">
                  <c:v>42491</c:v>
                </c:pt>
                <c:pt idx="24">
                  <c:v>42461</c:v>
                </c:pt>
                <c:pt idx="25">
                  <c:v>42430</c:v>
                </c:pt>
                <c:pt idx="26">
                  <c:v>42401</c:v>
                </c:pt>
                <c:pt idx="27">
                  <c:v>42370</c:v>
                </c:pt>
                <c:pt idx="28">
                  <c:v>42339</c:v>
                </c:pt>
                <c:pt idx="29">
                  <c:v>42309</c:v>
                </c:pt>
                <c:pt idx="30">
                  <c:v>42278</c:v>
                </c:pt>
                <c:pt idx="31">
                  <c:v>42248</c:v>
                </c:pt>
                <c:pt idx="32">
                  <c:v>42217</c:v>
                </c:pt>
                <c:pt idx="33">
                  <c:v>42186</c:v>
                </c:pt>
                <c:pt idx="34">
                  <c:v>42156</c:v>
                </c:pt>
                <c:pt idx="35">
                  <c:v>42125</c:v>
                </c:pt>
                <c:pt idx="36">
                  <c:v>42095</c:v>
                </c:pt>
                <c:pt idx="37">
                  <c:v>42064</c:v>
                </c:pt>
                <c:pt idx="38">
                  <c:v>42036</c:v>
                </c:pt>
                <c:pt idx="39">
                  <c:v>42005</c:v>
                </c:pt>
                <c:pt idx="40">
                  <c:v>41974</c:v>
                </c:pt>
                <c:pt idx="41">
                  <c:v>41944</c:v>
                </c:pt>
                <c:pt idx="42">
                  <c:v>41913</c:v>
                </c:pt>
                <c:pt idx="43">
                  <c:v>41883</c:v>
                </c:pt>
                <c:pt idx="44">
                  <c:v>41852</c:v>
                </c:pt>
                <c:pt idx="45">
                  <c:v>41821</c:v>
                </c:pt>
                <c:pt idx="46">
                  <c:v>41791</c:v>
                </c:pt>
                <c:pt idx="47">
                  <c:v>41760</c:v>
                </c:pt>
                <c:pt idx="48">
                  <c:v>41730</c:v>
                </c:pt>
                <c:pt idx="49">
                  <c:v>41699</c:v>
                </c:pt>
                <c:pt idx="50">
                  <c:v>41671</c:v>
                </c:pt>
                <c:pt idx="51">
                  <c:v>41640</c:v>
                </c:pt>
                <c:pt idx="52">
                  <c:v>41609</c:v>
                </c:pt>
                <c:pt idx="53">
                  <c:v>41579</c:v>
                </c:pt>
                <c:pt idx="54">
                  <c:v>41548</c:v>
                </c:pt>
                <c:pt idx="55">
                  <c:v>41518</c:v>
                </c:pt>
                <c:pt idx="56">
                  <c:v>41487</c:v>
                </c:pt>
                <c:pt idx="57">
                  <c:v>41456</c:v>
                </c:pt>
                <c:pt idx="58">
                  <c:v>41426</c:v>
                </c:pt>
                <c:pt idx="59">
                  <c:v>41395</c:v>
                </c:pt>
                <c:pt idx="60">
                  <c:v>41365</c:v>
                </c:pt>
                <c:pt idx="61">
                  <c:v>41334</c:v>
                </c:pt>
                <c:pt idx="62">
                  <c:v>41306</c:v>
                </c:pt>
                <c:pt idx="63">
                  <c:v>41275</c:v>
                </c:pt>
                <c:pt idx="64">
                  <c:v>41244</c:v>
                </c:pt>
                <c:pt idx="65">
                  <c:v>41214</c:v>
                </c:pt>
                <c:pt idx="66">
                  <c:v>41183</c:v>
                </c:pt>
                <c:pt idx="67">
                  <c:v>41153</c:v>
                </c:pt>
                <c:pt idx="68">
                  <c:v>41122</c:v>
                </c:pt>
                <c:pt idx="69">
                  <c:v>41091</c:v>
                </c:pt>
                <c:pt idx="70">
                  <c:v>41061</c:v>
                </c:pt>
                <c:pt idx="71">
                  <c:v>41030</c:v>
                </c:pt>
                <c:pt idx="72">
                  <c:v>41000</c:v>
                </c:pt>
                <c:pt idx="73">
                  <c:v>40969</c:v>
                </c:pt>
                <c:pt idx="74">
                  <c:v>40940</c:v>
                </c:pt>
                <c:pt idx="75">
                  <c:v>40909</c:v>
                </c:pt>
                <c:pt idx="76">
                  <c:v>40878</c:v>
                </c:pt>
                <c:pt idx="77">
                  <c:v>40848</c:v>
                </c:pt>
                <c:pt idx="78">
                  <c:v>40817</c:v>
                </c:pt>
                <c:pt idx="79">
                  <c:v>40787</c:v>
                </c:pt>
                <c:pt idx="80">
                  <c:v>40756</c:v>
                </c:pt>
                <c:pt idx="81">
                  <c:v>40725</c:v>
                </c:pt>
                <c:pt idx="82">
                  <c:v>40695</c:v>
                </c:pt>
                <c:pt idx="83">
                  <c:v>40664</c:v>
                </c:pt>
                <c:pt idx="84">
                  <c:v>40634</c:v>
                </c:pt>
                <c:pt idx="85">
                  <c:v>40603</c:v>
                </c:pt>
                <c:pt idx="86">
                  <c:v>40575</c:v>
                </c:pt>
                <c:pt idx="87">
                  <c:v>40544</c:v>
                </c:pt>
                <c:pt idx="88">
                  <c:v>40513</c:v>
                </c:pt>
                <c:pt idx="89">
                  <c:v>40483</c:v>
                </c:pt>
                <c:pt idx="90">
                  <c:v>40452</c:v>
                </c:pt>
                <c:pt idx="91">
                  <c:v>40422</c:v>
                </c:pt>
                <c:pt idx="92">
                  <c:v>40391</c:v>
                </c:pt>
                <c:pt idx="93">
                  <c:v>40360</c:v>
                </c:pt>
                <c:pt idx="94">
                  <c:v>40330</c:v>
                </c:pt>
                <c:pt idx="95">
                  <c:v>40299</c:v>
                </c:pt>
                <c:pt idx="96">
                  <c:v>40269</c:v>
                </c:pt>
                <c:pt idx="97">
                  <c:v>40238</c:v>
                </c:pt>
                <c:pt idx="98">
                  <c:v>40210</c:v>
                </c:pt>
                <c:pt idx="99">
                  <c:v>40179</c:v>
                </c:pt>
                <c:pt idx="100">
                  <c:v>40148</c:v>
                </c:pt>
                <c:pt idx="101">
                  <c:v>40118</c:v>
                </c:pt>
                <c:pt idx="102">
                  <c:v>40087</c:v>
                </c:pt>
                <c:pt idx="103">
                  <c:v>40057</c:v>
                </c:pt>
                <c:pt idx="104">
                  <c:v>40026</c:v>
                </c:pt>
                <c:pt idx="105">
                  <c:v>39995</c:v>
                </c:pt>
                <c:pt idx="106">
                  <c:v>39965</c:v>
                </c:pt>
                <c:pt idx="107">
                  <c:v>39934</c:v>
                </c:pt>
                <c:pt idx="108">
                  <c:v>39904</c:v>
                </c:pt>
                <c:pt idx="109">
                  <c:v>39873</c:v>
                </c:pt>
                <c:pt idx="110">
                  <c:v>39845</c:v>
                </c:pt>
                <c:pt idx="111">
                  <c:v>39814</c:v>
                </c:pt>
                <c:pt idx="112">
                  <c:v>39783</c:v>
                </c:pt>
                <c:pt idx="113">
                  <c:v>39753</c:v>
                </c:pt>
                <c:pt idx="114">
                  <c:v>39722</c:v>
                </c:pt>
                <c:pt idx="115">
                  <c:v>39692</c:v>
                </c:pt>
                <c:pt idx="116">
                  <c:v>39661</c:v>
                </c:pt>
                <c:pt idx="117">
                  <c:v>39630</c:v>
                </c:pt>
                <c:pt idx="118">
                  <c:v>39600</c:v>
                </c:pt>
                <c:pt idx="119">
                  <c:v>39569</c:v>
                </c:pt>
                <c:pt idx="120">
                  <c:v>39539</c:v>
                </c:pt>
                <c:pt idx="121">
                  <c:v>39508</c:v>
                </c:pt>
                <c:pt idx="122">
                  <c:v>39479</c:v>
                </c:pt>
                <c:pt idx="123">
                  <c:v>39448</c:v>
                </c:pt>
                <c:pt idx="124">
                  <c:v>39417</c:v>
                </c:pt>
                <c:pt idx="125">
                  <c:v>39387</c:v>
                </c:pt>
                <c:pt idx="126">
                  <c:v>39356</c:v>
                </c:pt>
                <c:pt idx="127">
                  <c:v>39326</c:v>
                </c:pt>
                <c:pt idx="128">
                  <c:v>39295</c:v>
                </c:pt>
                <c:pt idx="129">
                  <c:v>39264</c:v>
                </c:pt>
                <c:pt idx="130">
                  <c:v>39234</c:v>
                </c:pt>
                <c:pt idx="131">
                  <c:v>39203</c:v>
                </c:pt>
                <c:pt idx="132">
                  <c:v>39173</c:v>
                </c:pt>
                <c:pt idx="133">
                  <c:v>39142</c:v>
                </c:pt>
                <c:pt idx="134">
                  <c:v>39114</c:v>
                </c:pt>
                <c:pt idx="135">
                  <c:v>39083</c:v>
                </c:pt>
                <c:pt idx="136">
                  <c:v>39052</c:v>
                </c:pt>
                <c:pt idx="137">
                  <c:v>39022</c:v>
                </c:pt>
                <c:pt idx="138">
                  <c:v>38991</c:v>
                </c:pt>
                <c:pt idx="139">
                  <c:v>38961</c:v>
                </c:pt>
                <c:pt idx="140">
                  <c:v>38930</c:v>
                </c:pt>
                <c:pt idx="141">
                  <c:v>38899</c:v>
                </c:pt>
                <c:pt idx="142">
                  <c:v>38869</c:v>
                </c:pt>
                <c:pt idx="143">
                  <c:v>38838</c:v>
                </c:pt>
                <c:pt idx="144">
                  <c:v>38808</c:v>
                </c:pt>
                <c:pt idx="145">
                  <c:v>38777</c:v>
                </c:pt>
                <c:pt idx="146">
                  <c:v>38749</c:v>
                </c:pt>
                <c:pt idx="147">
                  <c:v>38718</c:v>
                </c:pt>
                <c:pt idx="148">
                  <c:v>38687</c:v>
                </c:pt>
                <c:pt idx="149">
                  <c:v>38657</c:v>
                </c:pt>
                <c:pt idx="150">
                  <c:v>38626</c:v>
                </c:pt>
                <c:pt idx="151">
                  <c:v>38596</c:v>
                </c:pt>
                <c:pt idx="152">
                  <c:v>38565</c:v>
                </c:pt>
                <c:pt idx="153">
                  <c:v>38534</c:v>
                </c:pt>
                <c:pt idx="154">
                  <c:v>38504</c:v>
                </c:pt>
                <c:pt idx="155">
                  <c:v>38473</c:v>
                </c:pt>
                <c:pt idx="156">
                  <c:v>38443</c:v>
                </c:pt>
                <c:pt idx="157">
                  <c:v>38412</c:v>
                </c:pt>
                <c:pt idx="158">
                  <c:v>38384</c:v>
                </c:pt>
                <c:pt idx="159">
                  <c:v>38353</c:v>
                </c:pt>
                <c:pt idx="160">
                  <c:v>38322</c:v>
                </c:pt>
                <c:pt idx="161">
                  <c:v>38292</c:v>
                </c:pt>
                <c:pt idx="162">
                  <c:v>38261</c:v>
                </c:pt>
                <c:pt idx="163">
                  <c:v>38231</c:v>
                </c:pt>
                <c:pt idx="164">
                  <c:v>38200</c:v>
                </c:pt>
                <c:pt idx="165">
                  <c:v>38169</c:v>
                </c:pt>
                <c:pt idx="166">
                  <c:v>38139</c:v>
                </c:pt>
                <c:pt idx="167">
                  <c:v>38108</c:v>
                </c:pt>
                <c:pt idx="168">
                  <c:v>38078</c:v>
                </c:pt>
                <c:pt idx="169">
                  <c:v>38047</c:v>
                </c:pt>
                <c:pt idx="170">
                  <c:v>38018</c:v>
                </c:pt>
                <c:pt idx="171">
                  <c:v>37987</c:v>
                </c:pt>
                <c:pt idx="172">
                  <c:v>37956</c:v>
                </c:pt>
                <c:pt idx="173">
                  <c:v>37926</c:v>
                </c:pt>
                <c:pt idx="174">
                  <c:v>37895</c:v>
                </c:pt>
                <c:pt idx="175">
                  <c:v>37865</c:v>
                </c:pt>
                <c:pt idx="176">
                  <c:v>37834</c:v>
                </c:pt>
                <c:pt idx="177">
                  <c:v>37803</c:v>
                </c:pt>
                <c:pt idx="178">
                  <c:v>37773</c:v>
                </c:pt>
                <c:pt idx="179">
                  <c:v>37742</c:v>
                </c:pt>
                <c:pt idx="180">
                  <c:v>37712</c:v>
                </c:pt>
                <c:pt idx="181">
                  <c:v>37681</c:v>
                </c:pt>
                <c:pt idx="182">
                  <c:v>37653</c:v>
                </c:pt>
                <c:pt idx="183">
                  <c:v>37622</c:v>
                </c:pt>
                <c:pt idx="184">
                  <c:v>37591</c:v>
                </c:pt>
                <c:pt idx="185">
                  <c:v>37561</c:v>
                </c:pt>
                <c:pt idx="186">
                  <c:v>37530</c:v>
                </c:pt>
                <c:pt idx="187">
                  <c:v>37500</c:v>
                </c:pt>
                <c:pt idx="188">
                  <c:v>37469</c:v>
                </c:pt>
                <c:pt idx="189">
                  <c:v>37438</c:v>
                </c:pt>
                <c:pt idx="190">
                  <c:v>37408</c:v>
                </c:pt>
                <c:pt idx="191">
                  <c:v>37377</c:v>
                </c:pt>
                <c:pt idx="192">
                  <c:v>37347</c:v>
                </c:pt>
                <c:pt idx="193">
                  <c:v>37316</c:v>
                </c:pt>
                <c:pt idx="194">
                  <c:v>37288</c:v>
                </c:pt>
                <c:pt idx="195">
                  <c:v>37257</c:v>
                </c:pt>
                <c:pt idx="196">
                  <c:v>37226</c:v>
                </c:pt>
                <c:pt idx="197">
                  <c:v>37196</c:v>
                </c:pt>
                <c:pt idx="198">
                  <c:v>37165</c:v>
                </c:pt>
                <c:pt idx="199">
                  <c:v>37135</c:v>
                </c:pt>
                <c:pt idx="200">
                  <c:v>37104</c:v>
                </c:pt>
                <c:pt idx="201">
                  <c:v>37073</c:v>
                </c:pt>
                <c:pt idx="202">
                  <c:v>37043</c:v>
                </c:pt>
                <c:pt idx="203">
                  <c:v>37012</c:v>
                </c:pt>
                <c:pt idx="204">
                  <c:v>36982</c:v>
                </c:pt>
                <c:pt idx="205">
                  <c:v>36951</c:v>
                </c:pt>
                <c:pt idx="206">
                  <c:v>36923</c:v>
                </c:pt>
                <c:pt idx="207">
                  <c:v>36892</c:v>
                </c:pt>
                <c:pt idx="208">
                  <c:v>36861</c:v>
                </c:pt>
                <c:pt idx="209">
                  <c:v>36831</c:v>
                </c:pt>
                <c:pt idx="210">
                  <c:v>36800</c:v>
                </c:pt>
                <c:pt idx="211">
                  <c:v>36770</c:v>
                </c:pt>
                <c:pt idx="212">
                  <c:v>36739</c:v>
                </c:pt>
                <c:pt idx="213">
                  <c:v>36708</c:v>
                </c:pt>
                <c:pt idx="214">
                  <c:v>36678</c:v>
                </c:pt>
                <c:pt idx="215">
                  <c:v>36647</c:v>
                </c:pt>
                <c:pt idx="216">
                  <c:v>36617</c:v>
                </c:pt>
                <c:pt idx="217">
                  <c:v>36586</c:v>
                </c:pt>
                <c:pt idx="218">
                  <c:v>36557</c:v>
                </c:pt>
                <c:pt idx="219">
                  <c:v>36526</c:v>
                </c:pt>
                <c:pt idx="220">
                  <c:v>36495</c:v>
                </c:pt>
                <c:pt idx="221">
                  <c:v>36465</c:v>
                </c:pt>
                <c:pt idx="222">
                  <c:v>36434</c:v>
                </c:pt>
                <c:pt idx="223">
                  <c:v>36404</c:v>
                </c:pt>
                <c:pt idx="224">
                  <c:v>36373</c:v>
                </c:pt>
                <c:pt idx="225">
                  <c:v>36342</c:v>
                </c:pt>
                <c:pt idx="226">
                  <c:v>36312</c:v>
                </c:pt>
                <c:pt idx="227">
                  <c:v>36281</c:v>
                </c:pt>
                <c:pt idx="228">
                  <c:v>36251</c:v>
                </c:pt>
                <c:pt idx="229">
                  <c:v>36220</c:v>
                </c:pt>
                <c:pt idx="230">
                  <c:v>36192</c:v>
                </c:pt>
                <c:pt idx="231">
                  <c:v>36161</c:v>
                </c:pt>
                <c:pt idx="232">
                  <c:v>36130</c:v>
                </c:pt>
                <c:pt idx="233">
                  <c:v>36100</c:v>
                </c:pt>
                <c:pt idx="234">
                  <c:v>36069</c:v>
                </c:pt>
                <c:pt idx="235">
                  <c:v>36039</c:v>
                </c:pt>
                <c:pt idx="236">
                  <c:v>36008</c:v>
                </c:pt>
                <c:pt idx="237">
                  <c:v>35977</c:v>
                </c:pt>
                <c:pt idx="238">
                  <c:v>35947</c:v>
                </c:pt>
                <c:pt idx="239">
                  <c:v>35916</c:v>
                </c:pt>
                <c:pt idx="240">
                  <c:v>35886</c:v>
                </c:pt>
                <c:pt idx="241">
                  <c:v>35855</c:v>
                </c:pt>
                <c:pt idx="242">
                  <c:v>35827</c:v>
                </c:pt>
                <c:pt idx="243">
                  <c:v>35796</c:v>
                </c:pt>
                <c:pt idx="244">
                  <c:v>35765</c:v>
                </c:pt>
                <c:pt idx="245">
                  <c:v>35735</c:v>
                </c:pt>
                <c:pt idx="246">
                  <c:v>35704</c:v>
                </c:pt>
                <c:pt idx="247">
                  <c:v>35674</c:v>
                </c:pt>
                <c:pt idx="248">
                  <c:v>35643</c:v>
                </c:pt>
                <c:pt idx="249">
                  <c:v>35612</c:v>
                </c:pt>
                <c:pt idx="250">
                  <c:v>35582</c:v>
                </c:pt>
                <c:pt idx="251">
                  <c:v>35551</c:v>
                </c:pt>
                <c:pt idx="252">
                  <c:v>35521</c:v>
                </c:pt>
                <c:pt idx="253">
                  <c:v>35490</c:v>
                </c:pt>
                <c:pt idx="254">
                  <c:v>35462</c:v>
                </c:pt>
                <c:pt idx="255">
                  <c:v>35431</c:v>
                </c:pt>
                <c:pt idx="256">
                  <c:v>35400</c:v>
                </c:pt>
                <c:pt idx="257">
                  <c:v>35370</c:v>
                </c:pt>
                <c:pt idx="258">
                  <c:v>35339</c:v>
                </c:pt>
                <c:pt idx="259">
                  <c:v>35309</c:v>
                </c:pt>
                <c:pt idx="260">
                  <c:v>35278</c:v>
                </c:pt>
                <c:pt idx="261">
                  <c:v>35247</c:v>
                </c:pt>
                <c:pt idx="262">
                  <c:v>35217</c:v>
                </c:pt>
                <c:pt idx="263">
                  <c:v>35186</c:v>
                </c:pt>
                <c:pt idx="264">
                  <c:v>35156</c:v>
                </c:pt>
                <c:pt idx="265">
                  <c:v>35125</c:v>
                </c:pt>
                <c:pt idx="266">
                  <c:v>35096</c:v>
                </c:pt>
                <c:pt idx="267">
                  <c:v>35065</c:v>
                </c:pt>
                <c:pt idx="268">
                  <c:v>35034</c:v>
                </c:pt>
                <c:pt idx="269">
                  <c:v>35004</c:v>
                </c:pt>
                <c:pt idx="270">
                  <c:v>34973</c:v>
                </c:pt>
                <c:pt idx="271">
                  <c:v>34943</c:v>
                </c:pt>
                <c:pt idx="272">
                  <c:v>34912</c:v>
                </c:pt>
                <c:pt idx="273">
                  <c:v>34881</c:v>
                </c:pt>
                <c:pt idx="274">
                  <c:v>34851</c:v>
                </c:pt>
                <c:pt idx="275">
                  <c:v>34820</c:v>
                </c:pt>
                <c:pt idx="276">
                  <c:v>34790</c:v>
                </c:pt>
                <c:pt idx="277">
                  <c:v>34759</c:v>
                </c:pt>
                <c:pt idx="278">
                  <c:v>34731</c:v>
                </c:pt>
                <c:pt idx="279">
                  <c:v>34700</c:v>
                </c:pt>
                <c:pt idx="280">
                  <c:v>34669</c:v>
                </c:pt>
                <c:pt idx="281">
                  <c:v>34639</c:v>
                </c:pt>
                <c:pt idx="282">
                  <c:v>34608</c:v>
                </c:pt>
                <c:pt idx="283">
                  <c:v>34578</c:v>
                </c:pt>
                <c:pt idx="284">
                  <c:v>34547</c:v>
                </c:pt>
                <c:pt idx="285">
                  <c:v>34516</c:v>
                </c:pt>
                <c:pt idx="286">
                  <c:v>34486</c:v>
                </c:pt>
                <c:pt idx="287">
                  <c:v>34455</c:v>
                </c:pt>
                <c:pt idx="288">
                  <c:v>34425</c:v>
                </c:pt>
                <c:pt idx="289">
                  <c:v>34394</c:v>
                </c:pt>
                <c:pt idx="290">
                  <c:v>34366</c:v>
                </c:pt>
                <c:pt idx="291">
                  <c:v>34335</c:v>
                </c:pt>
                <c:pt idx="292">
                  <c:v>34304</c:v>
                </c:pt>
                <c:pt idx="293">
                  <c:v>34274</c:v>
                </c:pt>
                <c:pt idx="294">
                  <c:v>34243</c:v>
                </c:pt>
                <c:pt idx="295">
                  <c:v>34213</c:v>
                </c:pt>
                <c:pt idx="296">
                  <c:v>34182</c:v>
                </c:pt>
                <c:pt idx="297">
                  <c:v>34151</c:v>
                </c:pt>
                <c:pt idx="298">
                  <c:v>34121</c:v>
                </c:pt>
                <c:pt idx="299">
                  <c:v>34090</c:v>
                </c:pt>
                <c:pt idx="300">
                  <c:v>34060</c:v>
                </c:pt>
                <c:pt idx="301">
                  <c:v>34029</c:v>
                </c:pt>
                <c:pt idx="302">
                  <c:v>34001</c:v>
                </c:pt>
                <c:pt idx="303">
                  <c:v>33970</c:v>
                </c:pt>
                <c:pt idx="304">
                  <c:v>33939</c:v>
                </c:pt>
                <c:pt idx="305">
                  <c:v>33909</c:v>
                </c:pt>
                <c:pt idx="306">
                  <c:v>33878</c:v>
                </c:pt>
                <c:pt idx="307">
                  <c:v>33848</c:v>
                </c:pt>
                <c:pt idx="308">
                  <c:v>33817</c:v>
                </c:pt>
                <c:pt idx="309">
                  <c:v>33786</c:v>
                </c:pt>
                <c:pt idx="310">
                  <c:v>33756</c:v>
                </c:pt>
                <c:pt idx="311">
                  <c:v>33725</c:v>
                </c:pt>
                <c:pt idx="312">
                  <c:v>33695</c:v>
                </c:pt>
                <c:pt idx="313">
                  <c:v>33664</c:v>
                </c:pt>
                <c:pt idx="314">
                  <c:v>33635</c:v>
                </c:pt>
                <c:pt idx="315">
                  <c:v>33604</c:v>
                </c:pt>
                <c:pt idx="316">
                  <c:v>33573</c:v>
                </c:pt>
                <c:pt idx="317">
                  <c:v>33543</c:v>
                </c:pt>
                <c:pt idx="318">
                  <c:v>33512</c:v>
                </c:pt>
                <c:pt idx="319">
                  <c:v>33482</c:v>
                </c:pt>
                <c:pt idx="320">
                  <c:v>33451</c:v>
                </c:pt>
                <c:pt idx="321">
                  <c:v>33420</c:v>
                </c:pt>
                <c:pt idx="322">
                  <c:v>33390</c:v>
                </c:pt>
                <c:pt idx="323">
                  <c:v>33359</c:v>
                </c:pt>
                <c:pt idx="324">
                  <c:v>33329</c:v>
                </c:pt>
                <c:pt idx="325">
                  <c:v>33298</c:v>
                </c:pt>
                <c:pt idx="326">
                  <c:v>33270</c:v>
                </c:pt>
                <c:pt idx="327">
                  <c:v>33239</c:v>
                </c:pt>
                <c:pt idx="328">
                  <c:v>33208</c:v>
                </c:pt>
                <c:pt idx="329">
                  <c:v>33178</c:v>
                </c:pt>
                <c:pt idx="330">
                  <c:v>33147</c:v>
                </c:pt>
                <c:pt idx="331">
                  <c:v>33117</c:v>
                </c:pt>
                <c:pt idx="332">
                  <c:v>33086</c:v>
                </c:pt>
                <c:pt idx="333">
                  <c:v>33055</c:v>
                </c:pt>
                <c:pt idx="334">
                  <c:v>33025</c:v>
                </c:pt>
                <c:pt idx="335">
                  <c:v>32994</c:v>
                </c:pt>
                <c:pt idx="336">
                  <c:v>32964</c:v>
                </c:pt>
                <c:pt idx="337">
                  <c:v>32933</c:v>
                </c:pt>
                <c:pt idx="338">
                  <c:v>32905</c:v>
                </c:pt>
                <c:pt idx="339">
                  <c:v>32874</c:v>
                </c:pt>
              </c:numCache>
            </c:numRef>
          </c:cat>
          <c:val>
            <c:numRef>
              <c:f>'Datos históricos Futuros café C'!$B$2:$B$341</c:f>
              <c:numCache>
                <c:formatCode>General</c:formatCode>
                <c:ptCount val="340"/>
                <c:pt idx="0">
                  <c:v>120.65</c:v>
                </c:pt>
                <c:pt idx="1">
                  <c:v>118.15</c:v>
                </c:pt>
                <c:pt idx="2">
                  <c:v>121.05</c:v>
                </c:pt>
                <c:pt idx="3">
                  <c:v>121.85</c:v>
                </c:pt>
                <c:pt idx="4">
                  <c:v>126.2</c:v>
                </c:pt>
                <c:pt idx="5">
                  <c:v>126.3</c:v>
                </c:pt>
                <c:pt idx="6">
                  <c:v>125.1</c:v>
                </c:pt>
                <c:pt idx="7">
                  <c:v>128.05000000000001</c:v>
                </c:pt>
                <c:pt idx="8">
                  <c:v>128.15</c:v>
                </c:pt>
                <c:pt idx="9">
                  <c:v>139.25</c:v>
                </c:pt>
                <c:pt idx="10">
                  <c:v>124.05</c:v>
                </c:pt>
                <c:pt idx="11">
                  <c:v>129.35</c:v>
                </c:pt>
                <c:pt idx="12">
                  <c:v>131.05000000000001</c:v>
                </c:pt>
                <c:pt idx="13">
                  <c:v>139.30000000000001</c:v>
                </c:pt>
                <c:pt idx="14">
                  <c:v>140.69999999999999</c:v>
                </c:pt>
                <c:pt idx="15">
                  <c:v>149.55000000000001</c:v>
                </c:pt>
                <c:pt idx="16">
                  <c:v>137.05000000000001</c:v>
                </c:pt>
                <c:pt idx="17">
                  <c:v>147.5</c:v>
                </c:pt>
                <c:pt idx="18">
                  <c:v>164.15</c:v>
                </c:pt>
                <c:pt idx="19">
                  <c:v>151.55000000000001</c:v>
                </c:pt>
                <c:pt idx="20">
                  <c:v>145.9</c:v>
                </c:pt>
                <c:pt idx="21">
                  <c:v>146.19999999999999</c:v>
                </c:pt>
                <c:pt idx="22">
                  <c:v>144.1</c:v>
                </c:pt>
                <c:pt idx="23">
                  <c:v>121.55</c:v>
                </c:pt>
                <c:pt idx="24">
                  <c:v>120.85</c:v>
                </c:pt>
                <c:pt idx="25">
                  <c:v>127.45</c:v>
                </c:pt>
                <c:pt idx="26">
                  <c:v>112.65</c:v>
                </c:pt>
                <c:pt idx="27">
                  <c:v>116.35</c:v>
                </c:pt>
                <c:pt idx="28">
                  <c:v>126.7</c:v>
                </c:pt>
                <c:pt idx="29">
                  <c:v>116.9</c:v>
                </c:pt>
                <c:pt idx="30">
                  <c:v>120.95</c:v>
                </c:pt>
                <c:pt idx="31">
                  <c:v>121.35</c:v>
                </c:pt>
                <c:pt idx="32">
                  <c:v>120.55</c:v>
                </c:pt>
                <c:pt idx="33">
                  <c:v>125.25</c:v>
                </c:pt>
                <c:pt idx="34">
                  <c:v>130.65</c:v>
                </c:pt>
                <c:pt idx="35">
                  <c:v>126.15</c:v>
                </c:pt>
                <c:pt idx="36">
                  <c:v>136.55000000000001</c:v>
                </c:pt>
                <c:pt idx="37">
                  <c:v>132.9</c:v>
                </c:pt>
                <c:pt idx="38">
                  <c:v>136.75</c:v>
                </c:pt>
                <c:pt idx="39">
                  <c:v>161.9</c:v>
                </c:pt>
                <c:pt idx="40">
                  <c:v>166.6</c:v>
                </c:pt>
                <c:pt idx="41">
                  <c:v>186.65</c:v>
                </c:pt>
                <c:pt idx="42">
                  <c:v>188</c:v>
                </c:pt>
                <c:pt idx="43">
                  <c:v>193.35</c:v>
                </c:pt>
                <c:pt idx="44">
                  <c:v>195.75</c:v>
                </c:pt>
                <c:pt idx="45">
                  <c:v>195.05</c:v>
                </c:pt>
                <c:pt idx="46">
                  <c:v>173</c:v>
                </c:pt>
                <c:pt idx="47">
                  <c:v>177.5</c:v>
                </c:pt>
                <c:pt idx="48">
                  <c:v>203.05</c:v>
                </c:pt>
                <c:pt idx="49">
                  <c:v>177.9</c:v>
                </c:pt>
                <c:pt idx="50">
                  <c:v>179.8</c:v>
                </c:pt>
                <c:pt idx="51">
                  <c:v>125.2</c:v>
                </c:pt>
                <c:pt idx="52">
                  <c:v>110.7</c:v>
                </c:pt>
                <c:pt idx="53">
                  <c:v>110.25</c:v>
                </c:pt>
                <c:pt idx="54">
                  <c:v>105.4</c:v>
                </c:pt>
                <c:pt idx="55">
                  <c:v>113.7</c:v>
                </c:pt>
                <c:pt idx="56">
                  <c:v>112.1</c:v>
                </c:pt>
                <c:pt idx="57">
                  <c:v>118.6</c:v>
                </c:pt>
                <c:pt idx="58">
                  <c:v>120</c:v>
                </c:pt>
                <c:pt idx="59">
                  <c:v>127.05</c:v>
                </c:pt>
                <c:pt idx="60">
                  <c:v>134.94999999999999</c:v>
                </c:pt>
                <c:pt idx="61">
                  <c:v>137.15</c:v>
                </c:pt>
                <c:pt idx="62">
                  <c:v>142.65</c:v>
                </c:pt>
                <c:pt idx="63">
                  <c:v>146.94999999999999</c:v>
                </c:pt>
                <c:pt idx="64">
                  <c:v>143.80000000000001</c:v>
                </c:pt>
                <c:pt idx="65">
                  <c:v>142.1</c:v>
                </c:pt>
                <c:pt idx="66">
                  <c:v>154.65</c:v>
                </c:pt>
                <c:pt idx="67">
                  <c:v>173.5</c:v>
                </c:pt>
                <c:pt idx="68">
                  <c:v>164.55</c:v>
                </c:pt>
                <c:pt idx="69">
                  <c:v>174.4</c:v>
                </c:pt>
                <c:pt idx="70">
                  <c:v>170.1</c:v>
                </c:pt>
                <c:pt idx="71">
                  <c:v>160.65</c:v>
                </c:pt>
                <c:pt idx="72">
                  <c:v>177.95</c:v>
                </c:pt>
                <c:pt idx="73">
                  <c:v>182.45</c:v>
                </c:pt>
                <c:pt idx="74">
                  <c:v>203.15</c:v>
                </c:pt>
                <c:pt idx="75">
                  <c:v>215.05</c:v>
                </c:pt>
                <c:pt idx="76">
                  <c:v>226.85</c:v>
                </c:pt>
                <c:pt idx="77">
                  <c:v>233.8</c:v>
                </c:pt>
                <c:pt idx="78">
                  <c:v>226.95</c:v>
                </c:pt>
                <c:pt idx="79">
                  <c:v>228.9</c:v>
                </c:pt>
                <c:pt idx="80">
                  <c:v>289.10000000000002</c:v>
                </c:pt>
                <c:pt idx="81">
                  <c:v>239.55</c:v>
                </c:pt>
                <c:pt idx="82">
                  <c:v>265.35000000000002</c:v>
                </c:pt>
                <c:pt idx="83">
                  <c:v>264.60000000000002</c:v>
                </c:pt>
                <c:pt idx="84">
                  <c:v>299.35000000000002</c:v>
                </c:pt>
                <c:pt idx="85">
                  <c:v>264.14999999999998</c:v>
                </c:pt>
                <c:pt idx="86">
                  <c:v>271.7</c:v>
                </c:pt>
                <c:pt idx="87">
                  <c:v>244.8</c:v>
                </c:pt>
                <c:pt idx="88">
                  <c:v>240.5</c:v>
                </c:pt>
                <c:pt idx="89">
                  <c:v>200.95</c:v>
                </c:pt>
                <c:pt idx="90">
                  <c:v>203.45</c:v>
                </c:pt>
                <c:pt idx="91">
                  <c:v>183.05</c:v>
                </c:pt>
                <c:pt idx="92">
                  <c:v>176.8</c:v>
                </c:pt>
                <c:pt idx="93">
                  <c:v>176.3</c:v>
                </c:pt>
                <c:pt idx="94">
                  <c:v>164.2</c:v>
                </c:pt>
                <c:pt idx="95">
                  <c:v>134.25</c:v>
                </c:pt>
                <c:pt idx="96">
                  <c:v>135.19999999999999</c:v>
                </c:pt>
                <c:pt idx="97">
                  <c:v>136.15</c:v>
                </c:pt>
                <c:pt idx="98">
                  <c:v>129.05000000000001</c:v>
                </c:pt>
                <c:pt idx="99">
                  <c:v>131.69999999999999</c:v>
                </c:pt>
                <c:pt idx="100">
                  <c:v>135.94999999999999</c:v>
                </c:pt>
                <c:pt idx="101">
                  <c:v>141.75</c:v>
                </c:pt>
                <c:pt idx="102">
                  <c:v>135.5</c:v>
                </c:pt>
                <c:pt idx="103">
                  <c:v>127.8</c:v>
                </c:pt>
                <c:pt idx="104">
                  <c:v>120.9</c:v>
                </c:pt>
                <c:pt idx="105">
                  <c:v>127.85</c:v>
                </c:pt>
                <c:pt idx="106">
                  <c:v>117.3</c:v>
                </c:pt>
                <c:pt idx="107">
                  <c:v>137.4</c:v>
                </c:pt>
                <c:pt idx="108">
                  <c:v>115</c:v>
                </c:pt>
                <c:pt idx="109">
                  <c:v>115.75</c:v>
                </c:pt>
                <c:pt idx="110">
                  <c:v>109.45</c:v>
                </c:pt>
                <c:pt idx="111">
                  <c:v>118.9</c:v>
                </c:pt>
                <c:pt idx="112">
                  <c:v>112.05</c:v>
                </c:pt>
                <c:pt idx="113">
                  <c:v>114.1</c:v>
                </c:pt>
                <c:pt idx="114">
                  <c:v>113</c:v>
                </c:pt>
                <c:pt idx="115">
                  <c:v>130.44999999999999</c:v>
                </c:pt>
                <c:pt idx="116">
                  <c:v>141.9</c:v>
                </c:pt>
                <c:pt idx="117">
                  <c:v>139.35</c:v>
                </c:pt>
                <c:pt idx="118">
                  <c:v>150.9</c:v>
                </c:pt>
                <c:pt idx="119">
                  <c:v>133.9</c:v>
                </c:pt>
                <c:pt idx="120">
                  <c:v>134.55000000000001</c:v>
                </c:pt>
                <c:pt idx="121">
                  <c:v>127.4</c:v>
                </c:pt>
                <c:pt idx="122">
                  <c:v>164.6</c:v>
                </c:pt>
                <c:pt idx="123">
                  <c:v>138.15</c:v>
                </c:pt>
                <c:pt idx="124">
                  <c:v>136.19999999999999</c:v>
                </c:pt>
                <c:pt idx="125">
                  <c:v>125.95</c:v>
                </c:pt>
                <c:pt idx="126">
                  <c:v>121.35</c:v>
                </c:pt>
                <c:pt idx="127">
                  <c:v>128.65</c:v>
                </c:pt>
                <c:pt idx="128">
                  <c:v>112.65</c:v>
                </c:pt>
                <c:pt idx="129">
                  <c:v>114.3</c:v>
                </c:pt>
                <c:pt idx="130">
                  <c:v>111</c:v>
                </c:pt>
                <c:pt idx="131">
                  <c:v>111.9</c:v>
                </c:pt>
                <c:pt idx="132">
                  <c:v>103.15</c:v>
                </c:pt>
                <c:pt idx="133">
                  <c:v>109.25</c:v>
                </c:pt>
                <c:pt idx="134">
                  <c:v>117.7</c:v>
                </c:pt>
                <c:pt idx="135">
                  <c:v>117.65</c:v>
                </c:pt>
                <c:pt idx="136">
                  <c:v>126.2</c:v>
                </c:pt>
                <c:pt idx="137">
                  <c:v>119.7</c:v>
                </c:pt>
                <c:pt idx="138">
                  <c:v>108.25</c:v>
                </c:pt>
                <c:pt idx="139">
                  <c:v>107.65</c:v>
                </c:pt>
                <c:pt idx="140">
                  <c:v>104</c:v>
                </c:pt>
                <c:pt idx="141">
                  <c:v>99.35</c:v>
                </c:pt>
                <c:pt idx="142">
                  <c:v>99.5</c:v>
                </c:pt>
                <c:pt idx="143">
                  <c:v>98.95</c:v>
                </c:pt>
                <c:pt idx="144">
                  <c:v>107.2</c:v>
                </c:pt>
                <c:pt idx="145">
                  <c:v>107</c:v>
                </c:pt>
                <c:pt idx="146">
                  <c:v>111.8</c:v>
                </c:pt>
                <c:pt idx="147">
                  <c:v>118.2</c:v>
                </c:pt>
                <c:pt idx="148">
                  <c:v>107.1</c:v>
                </c:pt>
                <c:pt idx="149">
                  <c:v>93</c:v>
                </c:pt>
                <c:pt idx="150">
                  <c:v>96.65</c:v>
                </c:pt>
                <c:pt idx="151">
                  <c:v>93.45</c:v>
                </c:pt>
                <c:pt idx="152">
                  <c:v>97.75</c:v>
                </c:pt>
                <c:pt idx="153">
                  <c:v>103.15</c:v>
                </c:pt>
                <c:pt idx="154">
                  <c:v>104.65</c:v>
                </c:pt>
                <c:pt idx="155">
                  <c:v>118.35</c:v>
                </c:pt>
                <c:pt idx="156">
                  <c:v>125.15</c:v>
                </c:pt>
                <c:pt idx="157">
                  <c:v>126.4</c:v>
                </c:pt>
                <c:pt idx="158">
                  <c:v>119.15</c:v>
                </c:pt>
                <c:pt idx="159">
                  <c:v>105.35</c:v>
                </c:pt>
                <c:pt idx="160">
                  <c:v>103.75</c:v>
                </c:pt>
                <c:pt idx="161">
                  <c:v>94.45</c:v>
                </c:pt>
                <c:pt idx="162">
                  <c:v>74.400000000000006</c:v>
                </c:pt>
                <c:pt idx="163">
                  <c:v>82.35</c:v>
                </c:pt>
                <c:pt idx="164">
                  <c:v>69.3</c:v>
                </c:pt>
                <c:pt idx="165">
                  <c:v>66.45</c:v>
                </c:pt>
                <c:pt idx="166">
                  <c:v>73.099999999999994</c:v>
                </c:pt>
                <c:pt idx="167">
                  <c:v>85.55</c:v>
                </c:pt>
                <c:pt idx="168">
                  <c:v>67.150000000000006</c:v>
                </c:pt>
                <c:pt idx="169">
                  <c:v>73.75</c:v>
                </c:pt>
                <c:pt idx="170">
                  <c:v>75.05</c:v>
                </c:pt>
                <c:pt idx="171">
                  <c:v>75.5</c:v>
                </c:pt>
                <c:pt idx="172">
                  <c:v>64.95</c:v>
                </c:pt>
                <c:pt idx="173">
                  <c:v>57.75</c:v>
                </c:pt>
                <c:pt idx="174">
                  <c:v>58.65</c:v>
                </c:pt>
                <c:pt idx="175">
                  <c:v>62.9</c:v>
                </c:pt>
                <c:pt idx="176">
                  <c:v>61.45</c:v>
                </c:pt>
                <c:pt idx="177">
                  <c:v>63.45</c:v>
                </c:pt>
                <c:pt idx="178">
                  <c:v>58.9</c:v>
                </c:pt>
                <c:pt idx="179">
                  <c:v>58.35</c:v>
                </c:pt>
                <c:pt idx="180">
                  <c:v>68.25</c:v>
                </c:pt>
                <c:pt idx="181">
                  <c:v>58.65</c:v>
                </c:pt>
                <c:pt idx="182">
                  <c:v>56.85</c:v>
                </c:pt>
                <c:pt idx="183">
                  <c:v>65.3</c:v>
                </c:pt>
                <c:pt idx="184">
                  <c:v>60.2</c:v>
                </c:pt>
                <c:pt idx="185">
                  <c:v>66.599999999999994</c:v>
                </c:pt>
                <c:pt idx="186">
                  <c:v>65.95</c:v>
                </c:pt>
                <c:pt idx="187">
                  <c:v>54.5</c:v>
                </c:pt>
                <c:pt idx="188">
                  <c:v>51.5</c:v>
                </c:pt>
                <c:pt idx="189">
                  <c:v>46.8</c:v>
                </c:pt>
                <c:pt idx="190">
                  <c:v>46.5</c:v>
                </c:pt>
                <c:pt idx="191">
                  <c:v>51.9</c:v>
                </c:pt>
                <c:pt idx="192">
                  <c:v>50.7</c:v>
                </c:pt>
                <c:pt idx="193">
                  <c:v>57.2</c:v>
                </c:pt>
                <c:pt idx="194">
                  <c:v>44.75</c:v>
                </c:pt>
                <c:pt idx="195">
                  <c:v>45.1</c:v>
                </c:pt>
                <c:pt idx="196">
                  <c:v>46.2</c:v>
                </c:pt>
                <c:pt idx="197">
                  <c:v>42.6</c:v>
                </c:pt>
                <c:pt idx="198">
                  <c:v>43.9</c:v>
                </c:pt>
                <c:pt idx="199">
                  <c:v>48.3</c:v>
                </c:pt>
                <c:pt idx="200">
                  <c:v>50.5</c:v>
                </c:pt>
                <c:pt idx="201">
                  <c:v>51.95</c:v>
                </c:pt>
                <c:pt idx="202">
                  <c:v>56.1</c:v>
                </c:pt>
                <c:pt idx="203">
                  <c:v>57.15</c:v>
                </c:pt>
                <c:pt idx="204">
                  <c:v>61.85</c:v>
                </c:pt>
                <c:pt idx="205">
                  <c:v>60.3</c:v>
                </c:pt>
                <c:pt idx="206">
                  <c:v>63.9</c:v>
                </c:pt>
                <c:pt idx="207">
                  <c:v>63.75</c:v>
                </c:pt>
                <c:pt idx="208">
                  <c:v>65.55</c:v>
                </c:pt>
                <c:pt idx="209">
                  <c:v>67.2</c:v>
                </c:pt>
                <c:pt idx="210">
                  <c:v>74.400000000000006</c:v>
                </c:pt>
                <c:pt idx="211">
                  <c:v>83</c:v>
                </c:pt>
                <c:pt idx="212">
                  <c:v>74.5</c:v>
                </c:pt>
                <c:pt idx="213">
                  <c:v>86.45</c:v>
                </c:pt>
                <c:pt idx="214">
                  <c:v>84.85</c:v>
                </c:pt>
                <c:pt idx="215">
                  <c:v>93</c:v>
                </c:pt>
                <c:pt idx="216">
                  <c:v>95.3</c:v>
                </c:pt>
                <c:pt idx="217">
                  <c:v>103.7</c:v>
                </c:pt>
                <c:pt idx="218">
                  <c:v>99.9</c:v>
                </c:pt>
                <c:pt idx="219">
                  <c:v>111.1</c:v>
                </c:pt>
                <c:pt idx="220">
                  <c:v>125.9</c:v>
                </c:pt>
                <c:pt idx="221">
                  <c:v>130.35</c:v>
                </c:pt>
                <c:pt idx="222">
                  <c:v>100.2</c:v>
                </c:pt>
                <c:pt idx="223">
                  <c:v>82.45</c:v>
                </c:pt>
                <c:pt idx="224">
                  <c:v>86.25</c:v>
                </c:pt>
                <c:pt idx="225">
                  <c:v>91.1</c:v>
                </c:pt>
                <c:pt idx="226">
                  <c:v>101.4</c:v>
                </c:pt>
                <c:pt idx="227">
                  <c:v>121.6</c:v>
                </c:pt>
                <c:pt idx="228">
                  <c:v>103.8</c:v>
                </c:pt>
                <c:pt idx="229">
                  <c:v>109.7</c:v>
                </c:pt>
                <c:pt idx="230">
                  <c:v>102.7</c:v>
                </c:pt>
                <c:pt idx="231">
                  <c:v>103.9</c:v>
                </c:pt>
                <c:pt idx="232">
                  <c:v>117.75</c:v>
                </c:pt>
                <c:pt idx="233">
                  <c:v>112.3</c:v>
                </c:pt>
                <c:pt idx="234">
                  <c:v>110</c:v>
                </c:pt>
                <c:pt idx="235">
                  <c:v>105.15</c:v>
                </c:pt>
                <c:pt idx="236">
                  <c:v>121</c:v>
                </c:pt>
                <c:pt idx="237">
                  <c:v>129.19999999999999</c:v>
                </c:pt>
                <c:pt idx="238">
                  <c:v>111.25</c:v>
                </c:pt>
                <c:pt idx="239">
                  <c:v>132.5</c:v>
                </c:pt>
                <c:pt idx="240">
                  <c:v>134.5</c:v>
                </c:pt>
                <c:pt idx="241">
                  <c:v>146.25</c:v>
                </c:pt>
                <c:pt idx="242">
                  <c:v>165.8</c:v>
                </c:pt>
                <c:pt idx="243">
                  <c:v>174.7</c:v>
                </c:pt>
                <c:pt idx="244">
                  <c:v>162.44999999999999</c:v>
                </c:pt>
                <c:pt idx="245">
                  <c:v>161</c:v>
                </c:pt>
                <c:pt idx="246">
                  <c:v>148.65</c:v>
                </c:pt>
                <c:pt idx="247">
                  <c:v>162.5</c:v>
                </c:pt>
                <c:pt idx="248">
                  <c:v>191.5</c:v>
                </c:pt>
                <c:pt idx="249">
                  <c:v>184.5</c:v>
                </c:pt>
                <c:pt idx="250">
                  <c:v>192.4</c:v>
                </c:pt>
                <c:pt idx="251">
                  <c:v>276.39999999999998</c:v>
                </c:pt>
                <c:pt idx="252">
                  <c:v>239.05</c:v>
                </c:pt>
                <c:pt idx="253">
                  <c:v>191.15</c:v>
                </c:pt>
                <c:pt idx="254">
                  <c:v>190.4</c:v>
                </c:pt>
                <c:pt idx="255">
                  <c:v>139.4</c:v>
                </c:pt>
                <c:pt idx="256">
                  <c:v>116.9</c:v>
                </c:pt>
                <c:pt idx="257">
                  <c:v>116.25</c:v>
                </c:pt>
                <c:pt idx="258">
                  <c:v>117.2</c:v>
                </c:pt>
                <c:pt idx="259">
                  <c:v>102.95</c:v>
                </c:pt>
                <c:pt idx="260">
                  <c:v>128.35</c:v>
                </c:pt>
                <c:pt idx="261">
                  <c:v>106.4</c:v>
                </c:pt>
                <c:pt idx="262">
                  <c:v>126.95</c:v>
                </c:pt>
                <c:pt idx="263">
                  <c:v>116.1</c:v>
                </c:pt>
                <c:pt idx="264">
                  <c:v>125.1</c:v>
                </c:pt>
                <c:pt idx="265">
                  <c:v>115.45</c:v>
                </c:pt>
                <c:pt idx="266">
                  <c:v>117.8</c:v>
                </c:pt>
                <c:pt idx="267">
                  <c:v>128.6</c:v>
                </c:pt>
                <c:pt idx="268">
                  <c:v>94.9</c:v>
                </c:pt>
                <c:pt idx="269">
                  <c:v>107.7</c:v>
                </c:pt>
                <c:pt idx="270">
                  <c:v>121.55</c:v>
                </c:pt>
                <c:pt idx="271">
                  <c:v>117.25</c:v>
                </c:pt>
                <c:pt idx="272">
                  <c:v>146.4</c:v>
                </c:pt>
                <c:pt idx="273">
                  <c:v>145.69999999999999</c:v>
                </c:pt>
                <c:pt idx="274">
                  <c:v>130.5</c:v>
                </c:pt>
                <c:pt idx="275">
                  <c:v>153.85</c:v>
                </c:pt>
                <c:pt idx="276">
                  <c:v>170.25</c:v>
                </c:pt>
                <c:pt idx="277">
                  <c:v>166.3</c:v>
                </c:pt>
                <c:pt idx="278">
                  <c:v>181</c:v>
                </c:pt>
                <c:pt idx="279">
                  <c:v>155.5</c:v>
                </c:pt>
                <c:pt idx="280">
                  <c:v>168.85</c:v>
                </c:pt>
                <c:pt idx="281">
                  <c:v>157.15</c:v>
                </c:pt>
                <c:pt idx="282">
                  <c:v>187.4</c:v>
                </c:pt>
                <c:pt idx="283">
                  <c:v>208.85</c:v>
                </c:pt>
                <c:pt idx="284">
                  <c:v>205.75</c:v>
                </c:pt>
                <c:pt idx="285">
                  <c:v>202.75</c:v>
                </c:pt>
                <c:pt idx="286">
                  <c:v>189.75</c:v>
                </c:pt>
                <c:pt idx="287">
                  <c:v>126</c:v>
                </c:pt>
                <c:pt idx="288">
                  <c:v>89.15</c:v>
                </c:pt>
                <c:pt idx="289">
                  <c:v>82.2</c:v>
                </c:pt>
                <c:pt idx="290">
                  <c:v>74.599999999999994</c:v>
                </c:pt>
                <c:pt idx="291">
                  <c:v>72.349999999999994</c:v>
                </c:pt>
                <c:pt idx="292">
                  <c:v>71.55</c:v>
                </c:pt>
                <c:pt idx="293">
                  <c:v>74.95</c:v>
                </c:pt>
                <c:pt idx="294">
                  <c:v>79.3</c:v>
                </c:pt>
                <c:pt idx="295">
                  <c:v>74.5</c:v>
                </c:pt>
                <c:pt idx="296">
                  <c:v>75.349999999999994</c:v>
                </c:pt>
                <c:pt idx="297">
                  <c:v>76.55</c:v>
                </c:pt>
                <c:pt idx="298">
                  <c:v>59.9</c:v>
                </c:pt>
                <c:pt idx="299">
                  <c:v>63.55</c:v>
                </c:pt>
                <c:pt idx="300">
                  <c:v>63.5</c:v>
                </c:pt>
                <c:pt idx="301">
                  <c:v>58.6</c:v>
                </c:pt>
                <c:pt idx="302">
                  <c:v>61</c:v>
                </c:pt>
                <c:pt idx="303">
                  <c:v>58.3</c:v>
                </c:pt>
                <c:pt idx="304">
                  <c:v>77.55</c:v>
                </c:pt>
                <c:pt idx="305">
                  <c:v>71.900000000000006</c:v>
                </c:pt>
                <c:pt idx="306">
                  <c:v>68.45</c:v>
                </c:pt>
                <c:pt idx="307">
                  <c:v>55.7</c:v>
                </c:pt>
                <c:pt idx="308">
                  <c:v>52.9</c:v>
                </c:pt>
                <c:pt idx="309">
                  <c:v>56.25</c:v>
                </c:pt>
                <c:pt idx="310">
                  <c:v>55.6</c:v>
                </c:pt>
                <c:pt idx="311">
                  <c:v>63.3</c:v>
                </c:pt>
                <c:pt idx="312">
                  <c:v>61.85</c:v>
                </c:pt>
                <c:pt idx="313">
                  <c:v>68.5</c:v>
                </c:pt>
                <c:pt idx="314">
                  <c:v>69.7</c:v>
                </c:pt>
                <c:pt idx="315">
                  <c:v>72.150000000000006</c:v>
                </c:pt>
                <c:pt idx="316">
                  <c:v>77.7</c:v>
                </c:pt>
                <c:pt idx="317">
                  <c:v>79</c:v>
                </c:pt>
                <c:pt idx="318">
                  <c:v>80.55</c:v>
                </c:pt>
                <c:pt idx="319">
                  <c:v>82.9</c:v>
                </c:pt>
                <c:pt idx="320">
                  <c:v>85.65</c:v>
                </c:pt>
                <c:pt idx="321">
                  <c:v>81.400000000000006</c:v>
                </c:pt>
                <c:pt idx="322">
                  <c:v>84.2</c:v>
                </c:pt>
                <c:pt idx="323">
                  <c:v>86.7</c:v>
                </c:pt>
                <c:pt idx="324">
                  <c:v>87.2</c:v>
                </c:pt>
                <c:pt idx="325">
                  <c:v>94.7</c:v>
                </c:pt>
                <c:pt idx="326">
                  <c:v>90.15</c:v>
                </c:pt>
                <c:pt idx="327">
                  <c:v>83</c:v>
                </c:pt>
                <c:pt idx="328">
                  <c:v>88.65</c:v>
                </c:pt>
                <c:pt idx="329">
                  <c:v>84</c:v>
                </c:pt>
                <c:pt idx="330">
                  <c:v>90.5</c:v>
                </c:pt>
                <c:pt idx="331">
                  <c:v>93</c:v>
                </c:pt>
                <c:pt idx="332">
                  <c:v>99.65</c:v>
                </c:pt>
                <c:pt idx="333">
                  <c:v>93.8</c:v>
                </c:pt>
                <c:pt idx="334">
                  <c:v>82.9</c:v>
                </c:pt>
                <c:pt idx="335">
                  <c:v>94.05</c:v>
                </c:pt>
                <c:pt idx="336">
                  <c:v>92.25</c:v>
                </c:pt>
                <c:pt idx="337">
                  <c:v>92.14</c:v>
                </c:pt>
                <c:pt idx="338">
                  <c:v>92.81</c:v>
                </c:pt>
                <c:pt idx="339">
                  <c:v>79.989999999999995</c:v>
                </c:pt>
              </c:numCache>
            </c:numRef>
          </c:val>
          <c:smooth val="0"/>
          <c:extLst>
            <c:ext xmlns:c16="http://schemas.microsoft.com/office/drawing/2014/chart" uri="{C3380CC4-5D6E-409C-BE32-E72D297353CC}">
              <c16:uniqueId val="{00000000-B673-4864-ABF5-EBCEAFE5460D}"/>
            </c:ext>
          </c:extLst>
        </c:ser>
        <c:dLbls>
          <c:showLegendKey val="0"/>
          <c:showVal val="0"/>
          <c:showCatName val="0"/>
          <c:showSerName val="0"/>
          <c:showPercent val="0"/>
          <c:showBubbleSize val="0"/>
        </c:dLbls>
        <c:smooth val="0"/>
        <c:axId val="555901112"/>
        <c:axId val="555901432"/>
      </c:lineChart>
      <c:dateAx>
        <c:axId val="555901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Fecha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55901432"/>
        <c:crosses val="autoZero"/>
        <c:auto val="1"/>
        <c:lblOffset val="100"/>
        <c:baseTimeUnit val="months"/>
      </c:dateAx>
      <c:valAx>
        <c:axId val="55590143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Valor</a:t>
                </a:r>
                <a:r>
                  <a:rPr lang="es-CR" baseline="0"/>
                  <a:t> en Dólares </a:t>
                </a:r>
                <a:endParaRPr lang="es-C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555901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7E1-4740-844F-BD3AF984273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7E1-4740-844F-BD3AF984273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7E1-4740-844F-BD3AF984273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7E1-4740-844F-BD3AF984273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47E1-4740-844F-BD3AF984273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Hoja1!$P$17:$P$21</c:f>
              <c:strCache>
                <c:ptCount val="5"/>
                <c:pt idx="0">
                  <c:v>3</c:v>
                </c:pt>
                <c:pt idx="1">
                  <c:v>2</c:v>
                </c:pt>
                <c:pt idx="2">
                  <c:v>1</c:v>
                </c:pt>
                <c:pt idx="3">
                  <c:v>4</c:v>
                </c:pt>
                <c:pt idx="4">
                  <c:v>5</c:v>
                </c:pt>
              </c:strCache>
            </c:strRef>
          </c:cat>
          <c:val>
            <c:numRef>
              <c:f>Hoja1!$R$17:$R$21</c:f>
              <c:numCache>
                <c:formatCode>0.0%</c:formatCode>
                <c:ptCount val="5"/>
                <c:pt idx="0">
                  <c:v>0.76315789473684204</c:v>
                </c:pt>
                <c:pt idx="1">
                  <c:v>8.1578947368421029E-2</c:v>
                </c:pt>
                <c:pt idx="2">
                  <c:v>5.2631578947368404E-2</c:v>
                </c:pt>
                <c:pt idx="3">
                  <c:v>5.2631578947368404E-2</c:v>
                </c:pt>
                <c:pt idx="4">
                  <c:v>0.05</c:v>
                </c:pt>
              </c:numCache>
            </c:numRef>
          </c:val>
          <c:extLst>
            <c:ext xmlns:c16="http://schemas.microsoft.com/office/drawing/2014/chart" uri="{C3380CC4-5D6E-409C-BE32-E72D297353CC}">
              <c16:uniqueId val="{0000000A-47E1-4740-844F-BD3AF9842732}"/>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zero"/>
    <c:showDLblsOverMax val="0"/>
  </c:chart>
  <c:spPr>
    <a:solidFill>
      <a:schemeClr val="bg1"/>
    </a:solidFill>
    <a:ln w="9525" cap="flat" cmpd="sng" algn="ctr">
      <a:noFill/>
      <a:round/>
    </a:ln>
    <a:effectLst/>
  </c:spPr>
  <c:txPr>
    <a:bodyPr/>
    <a:lstStyle/>
    <a:p>
      <a:pPr algn="just">
        <a:defRPr/>
      </a:pPr>
      <a:endParaRPr lang="es-C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DA7-40F0-9E91-E828F64B6D6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DA7-40F0-9E91-E828F64B6D63}"/>
              </c:ext>
            </c:extLst>
          </c:dPt>
          <c:dLbls>
            <c:spPr>
              <a:noFill/>
              <a:ln>
                <a:noFill/>
              </a:ln>
              <a:effectLst/>
            </c:spPr>
            <c:dLblPos val="inEnd"/>
            <c:showLegendKey val="0"/>
            <c:showVal val="1"/>
            <c:showCatName val="0"/>
            <c:showSerName val="0"/>
            <c:showPercent val="0"/>
            <c:showBubbleSize val="0"/>
            <c:showLeaderLines val="1"/>
            <c:extLst>
              <c:ext xmlns:c15="http://schemas.microsoft.com/office/drawing/2012/chart" uri="{CE6537A1-D6FC-4f65-9D91-7224C49458BB}"/>
            </c:extLst>
          </c:dLbls>
          <c:cat>
            <c:strRef>
              <c:f>Hoja1!$J$5:$J$6</c:f>
              <c:strCache>
                <c:ptCount val="2"/>
                <c:pt idx="0">
                  <c:v>Si</c:v>
                </c:pt>
                <c:pt idx="1">
                  <c:v>No</c:v>
                </c:pt>
              </c:strCache>
            </c:strRef>
          </c:cat>
          <c:val>
            <c:numRef>
              <c:f>Hoja1!$M$5:$M$6</c:f>
              <c:numCache>
                <c:formatCode>0%</c:formatCode>
                <c:ptCount val="2"/>
                <c:pt idx="0">
                  <c:v>0.76049999999999995</c:v>
                </c:pt>
                <c:pt idx="1">
                  <c:v>0.23947368421052601</c:v>
                </c:pt>
              </c:numCache>
            </c:numRef>
          </c:val>
          <c:extLst>
            <c:ext xmlns:c16="http://schemas.microsoft.com/office/drawing/2014/chart" uri="{C3380CC4-5D6E-409C-BE32-E72D297353CC}">
              <c16:uniqueId val="{00000004-DDA7-40F0-9E91-E828F64B6D63}"/>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zero"/>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899-4405-B1B3-24677500D46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899-4405-B1B3-24677500D46F}"/>
              </c:ext>
            </c:extLst>
          </c:dPt>
          <c:dLbls>
            <c:spPr>
              <a:noFill/>
              <a:ln>
                <a:noFill/>
              </a:ln>
              <a:effectLst/>
            </c:spPr>
            <c:dLblPos val="ctr"/>
            <c:showLegendKey val="0"/>
            <c:showVal val="1"/>
            <c:showCatName val="0"/>
            <c:showSerName val="0"/>
            <c:showPercent val="0"/>
            <c:showBubbleSize val="0"/>
            <c:showLeaderLines val="1"/>
            <c:extLst>
              <c:ext xmlns:c15="http://schemas.microsoft.com/office/drawing/2012/chart" uri="{CE6537A1-D6FC-4f65-9D91-7224C49458BB}"/>
            </c:extLst>
          </c:dLbls>
          <c:cat>
            <c:strRef>
              <c:f>Hoja2!$I$10:$I$11</c:f>
              <c:strCache>
                <c:ptCount val="2"/>
                <c:pt idx="0">
                  <c:v>Cooperativas</c:v>
                </c:pt>
                <c:pt idx="1">
                  <c:v>Beneficios de Café</c:v>
                </c:pt>
              </c:strCache>
            </c:strRef>
          </c:cat>
          <c:val>
            <c:numRef>
              <c:f>Hoja2!$L$10:$L$11</c:f>
              <c:numCache>
                <c:formatCode>0%</c:formatCode>
                <c:ptCount val="2"/>
                <c:pt idx="0">
                  <c:v>0.72894736842105301</c:v>
                </c:pt>
                <c:pt idx="1">
                  <c:v>0.2710526315789471</c:v>
                </c:pt>
              </c:numCache>
            </c:numRef>
          </c:val>
          <c:extLst>
            <c:ext xmlns:c16="http://schemas.microsoft.com/office/drawing/2014/chart" uri="{C3380CC4-5D6E-409C-BE32-E72D297353CC}">
              <c16:uniqueId val="{00000004-0899-4405-B1B3-24677500D46F}"/>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zero"/>
    <c:showDLblsOverMax val="0"/>
  </c:chart>
  <c:spPr>
    <a:solidFill>
      <a:schemeClr val="bg1"/>
    </a:solidFill>
    <a:ln w="9525" cap="flat" cmpd="sng" algn="ctr">
      <a:noFill/>
      <a:round/>
    </a:ln>
    <a:effectLst/>
  </c:spPr>
  <c:txPr>
    <a:bodyPr/>
    <a:lstStyle/>
    <a:p>
      <a:pPr>
        <a:defRPr/>
      </a:pPr>
      <a:endParaRPr lang="es-C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Lor12</b:Tag>
    <b:SourceType>Book</b:SourceType>
    <b:Guid>{F447A54B-676B-4D93-B3CA-F5D8FA025A38}</b:Guid>
    <b:Author>
      <b:Author>
        <b:NameList>
          <b:Person>
            <b:Last>Lora</b:Last>
            <b:First>Eduardo</b:First>
          </b:Person>
        </b:NameList>
      </b:Author>
    </b:Author>
    <b:Title>Las reformas estructurales en América Latina</b:Title>
    <b:Year>2012</b:Year>
    <b:City>Santiago</b:City>
    <b:Publisher>Banco Interamericano de Desarrollo</b:Publisher>
    <b:RefOrder>5</b:RefOrder>
  </b:Source>
  <b:Source>
    <b:Tag>Jea07</b:Tag>
    <b:SourceType>Book</b:SourceType>
    <b:Guid>{920EB830-23B3-4B83-AFCC-71321C5B16E1}</b:Guid>
    <b:Author>
      <b:Author>
        <b:NameList>
          <b:Person>
            <b:Last>Jeanneau</b:Last>
            <b:First>Serge</b:First>
          </b:Person>
        </b:NameList>
      </b:Author>
    </b:Author>
    <b:Title>Evolucipon de los sistemas bancarios en América Latina y el Caribe: retos e implicaciones para la política monetaria y la estabilidad financiera</b:Title>
    <b:Year>2007</b:Year>
    <b:City>Basilea</b:City>
    <b:Publisher>Bank for International Settlements</b:Publisher>
    <b:RefOrder>41</b:RefOrder>
  </b:Source>
  <b:Source>
    <b:Tag>Cor02</b:Tag>
    <b:SourceType>JournalArticle</b:SourceType>
    <b:Guid>{798DA373-418C-4150-A8F5-E6436088B87C}</b:Guid>
    <b:Author>
      <b:Author>
        <b:NameList>
          <b:Person>
            <b:Last>Correa</b:Last>
            <b:First>Eugenia</b:First>
          </b:Person>
        </b:NameList>
      </b:Author>
    </b:Author>
    <b:Title>Los Sistemas Financieros en América Latina: Algunas Transformaciones</b:Title>
    <b:Year>2002</b:Year>
    <b:JournalName>Crédito y Moneda: Estructuras Financieras en Transformación </b:JournalName>
    <b:Pages>1-29</b:Pages>
    <b:RefOrder>42</b:RefOrder>
  </b:Source>
  <b:Source>
    <b:Tag>Gal05</b:Tag>
    <b:SourceType>Book</b:SourceType>
    <b:Guid>{479FE968-33BE-44FA-A1D0-E74210DCBE47}</b:Guid>
    <b:Title>El Estado de las reformas del Estado en América Latina </b:Title>
    <b:JournalName>El estado de las reformas del Estado en América Latina </b:JournalName>
    <b:Year>2005</b:Year>
    <b:Author>
      <b:Author>
        <b:NameList>
          <b:Person>
            <b:Last>Galindo</b:Last>
            <b:First>Arturo</b:First>
          </b:Person>
          <b:Person>
            <b:Last>Micco</b:Last>
            <b:First>Alejandro</b:First>
          </b:Person>
          <b:Person>
            <b:Last>Panizza</b:Last>
            <b:First>Ugo</b:First>
          </b:Person>
        </b:NameList>
      </b:Author>
    </b:Author>
    <b:Publisher>Banco Interamericano de Desarrollo </b:Publisher>
    <b:RefOrder>43</b:RefOrder>
  </b:Source>
  <b:Source>
    <b:Tag>Man10</b:Tag>
    <b:SourceType>Book</b:SourceType>
    <b:Guid>{71B76BD3-FE7D-4E4C-AACF-88253C075D53}</b:Guid>
    <b:Author>
      <b:Author>
        <b:NameList>
          <b:Person>
            <b:Last>Manuelito</b:Last>
            <b:First>Sandra</b:First>
          </b:Person>
          <b:Person>
            <b:Last>Jiménez</b:Last>
            <b:First>Luis</b:First>
            <b:Middle>Felipe</b:Middle>
          </b:Person>
        </b:NameList>
      </b:Author>
    </b:Author>
    <b:Title>Los mercados financieros en América Latina y el Financiamiento de la inversión: hechos estilizados y propuestas para una estrategia de desarrollo</b:Title>
    <b:Year>2010</b:Year>
    <b:City>Santiago</b:City>
    <b:Publisher>Comisión Económica para América Latina </b:Publisher>
    <b:RefOrder>44</b:RefOrder>
  </b:Source>
  <b:Source>
    <b:Tag>Sup15</b:Tag>
    <b:SourceType>InternetSite</b:SourceType>
    <b:Guid>{E7078E18-96CB-4841-ADD9-051D194ECD4A}</b:Guid>
    <b:Title>SUGEF</b:Title>
    <b:Year>2015</b:Year>
    <b:Author>
      <b:Author>
        <b:NameList>
          <b:Person>
            <b:Last>Financieras</b:Last>
            <b:First>Superintendencia</b:First>
            <b:Middle>General de Entidades</b:Middle>
          </b:Person>
        </b:NameList>
      </b:Author>
    </b:Author>
    <b:InternetSiteTitle>SUGEF</b:InternetSiteTitle>
    <b:Month>Enero</b:Month>
    <b:Day>1</b:Day>
    <b:URL>http://www.sugef.fi.cr</b:URL>
    <b:RefOrder>45</b:RefOrder>
  </b:Source>
  <b:Source>
    <b:Tag>Dur09</b:Tag>
    <b:SourceType>Book</b:SourceType>
    <b:Guid>{B0355487-885A-4B5C-A6CD-B9205F5BEACD}</b:Guid>
    <b:Author>
      <b:Author>
        <b:NameList>
          <b:Person>
            <b:Last>Durán Víquez</b:Last>
            <b:First>Rodolfo</b:First>
          </b:Person>
          <b:Person>
            <b:Last>Quirós Solano</b:Last>
            <b:First>Juan</b:First>
          </b:Person>
          <b:Person>
            <b:Last>Rojas Sánchez</b:Last>
            <b:First>Mario</b:First>
          </b:Person>
        </b:NameList>
      </b:Author>
    </b:Author>
    <b:Title>Análisis de la competitividad del sistema financiero costarricense </b:Title>
    <b:Year>2009</b:Year>
    <b:City>San José </b:City>
    <b:Publisher>Banco Central  de Costa Rica </b:Publisher>
    <b:RefOrder>46</b:RefOrder>
  </b:Source>
  <b:Source>
    <b:Tag>Arc06</b:Tag>
    <b:SourceType>Report</b:SourceType>
    <b:Guid>{78ACABEA-2DA8-41B4-A705-73FD304D4B04}</b:Guid>
    <b:Title>Reformas Financieras en Costa Rica para una banca competitiva y Solidad </b:Title>
    <b:Year>2006</b:Year>
    <b:City>San José</b:City>
    <b:Publisher>Universidad Estatal a Distancia </b:Publisher>
    <b:Author>
      <b:Author>
        <b:NameList>
          <b:Person>
            <b:Last>Arce</b:Last>
            <b:First>Alexander</b:First>
          </b:Person>
        </b:NameList>
      </b:Author>
    </b:Author>
    <b:RefOrder>47</b:RefOrder>
  </b:Source>
  <b:Source>
    <b:Tag>Lor13</b:Tag>
    <b:SourceType>Report</b:SourceType>
    <b:Guid>{AFF8236A-D2A1-45D1-BED7-6553EBE72710}</b:Guid>
    <b:Author>
      <b:Author>
        <b:NameList>
          <b:Person>
            <b:Last>Loría Sagot</b:Last>
            <b:First>Miguel</b:First>
          </b:Person>
        </b:NameList>
      </b:Author>
    </b:Author>
    <b:Title>El sistema fianciero costarricense en los últimos 25 años: Estructura y Desempeño </b:Title>
    <b:Year>2013</b:Year>
    <b:Publisher>Acádemia de Centroamérica </b:Publisher>
    <b:City>San José</b:City>
    <b:RefOrder>48</b:RefOrder>
  </b:Source>
  <b:Source>
    <b:Tag>Alf12</b:Tag>
    <b:SourceType>Book</b:SourceType>
    <b:Guid>{8F9CB52C-C92E-42AF-80DE-4654CA346CCC}</b:Guid>
    <b:Title>Analisis del sector vivienda en Costa Rica</b:Title>
    <b:Year>2012</b:Year>
    <b:Publisher>SCRiesgo</b:Publisher>
    <b:City>San José</b:City>
    <b:Author>
      <b:Author>
        <b:NameList>
          <b:Person>
            <b:Last>Alfaro Azofeifa</b:Last>
            <b:First>Cindy</b:First>
          </b:Person>
        </b:NameList>
      </b:Author>
    </b:Author>
    <b:RefOrder>49</b:RefOrder>
  </b:Source>
  <b:Source>
    <b:Tag>Car021</b:Tag>
    <b:SourceType>JournalArticle</b:SourceType>
    <b:Guid>{3277B4C3-C703-49D2-B20B-42343B642F1B}</b:Guid>
    <b:Author>
      <b:Author>
        <b:NameList>
          <b:Person>
            <b:Last>Cartagena</b:Last>
            <b:First>Edgar</b:First>
          </b:Person>
          <b:Person>
            <b:Last>Morales</b:Last>
            <b:First>Desiree</b:First>
          </b:Person>
        </b:NameList>
      </b:Author>
    </b:Author>
    <b:Title>El sistema Financiro de El Salvador y Costa Rica: Un enfoque Real</b:Title>
    <b:JournalName>Boletin Económico </b:JournalName>
    <b:Year>2002</b:Year>
    <b:Pages>12-31</b:Pages>
    <b:RefOrder>50</b:RefOrder>
  </b:Source>
  <b:Source>
    <b:Tag>Ban89</b:Tag>
    <b:SourceType>JournalArticle</b:SourceType>
    <b:Guid>{E83207BD-CE2D-4DAE-8666-1D1CAC8859CF}</b:Guid>
    <b:Author>
      <b:Author>
        <b:Corporate>Banco Mundial</b:Corporate>
      </b:Author>
    </b:Author>
    <b:Title>Financial Liberalization in Developing Countries </b:Title>
    <b:JournalName>Banco Mundial </b:JournalName>
    <b:Year>1989</b:Year>
    <b:Pages>1-21</b:Pages>
    <b:RefOrder>51</b:RefOrder>
  </b:Source>
  <b:Source>
    <b:Tag>Jac12</b:Tag>
    <b:SourceType>JournalArticle</b:SourceType>
    <b:Guid>{D242CBB7-29E0-4307-9A84-F61F8C840CBF}</b:Guid>
    <b:Title>Jacome, Luis; Nier, Erlend</b:Title>
    <b:JournalName>Finanzas y Desarrollo</b:JournalName>
    <b:Year>2012</b:Year>
    <b:Pages>30-34</b:Pages>
    <b:RefOrder>52</b:RefOrder>
  </b:Source>
  <b:Source>
    <b:Tag>Rol13</b:Tag>
    <b:SourceType>JournalArticle</b:SourceType>
    <b:Guid>{3B621CD3-C3BD-40F9-AF30-3F0C572184B3}</b:Guid>
    <b:Author>
      <b:Author>
        <b:NameList>
          <b:Person>
            <b:Last>Roldán</b:Last>
            <b:First>José</b:First>
          </b:Person>
          <b:Person>
            <b:Last>Saurina</b:Last>
            <b:First>Jesús</b:First>
          </b:Person>
        </b:NameList>
      </b:Author>
    </b:Author>
    <b:Title>Regulación Macroprudencial </b:Title>
    <b:JournalName>Crisis y Reforma Regulatoria del Sistema Financiero de la Unión Europea </b:JournalName>
    <b:Year>2013</b:Year>
    <b:Pages>92-100</b:Pages>
    <b:RefOrder>53</b:RefOrder>
  </b:Source>
  <b:Source>
    <b:Tag>Car001</b:Tag>
    <b:SourceType>Book</b:SourceType>
    <b:Guid>{4C64269F-E845-4E73-B078-F469BA811CDA}</b:Guid>
    <b:Author>
      <b:Author>
        <b:NameList>
          <b:Person>
            <b:Last>Carpio</b:Last>
            <b:First>José</b:First>
          </b:Person>
        </b:NameList>
      </b:Author>
    </b:Author>
    <b:Title>Desarrollo local para un nuevo desarrollo rural </b:Title>
    <b:Year>2000</b:Year>
    <b:Publisher>Anales de Geografía </b:Publisher>
    <b:RefOrder>54</b:RefOrder>
  </b:Source>
  <b:Source>
    <b:Tag>Pit15</b:Tag>
    <b:SourceType>Book</b:SourceType>
    <b:Guid>{9007DF45-36F6-4CAA-AB56-09BC573BAFBA}</b:Guid>
    <b:Author>
      <b:Author>
        <b:NameList>
          <b:Person>
            <b:Last>Pita</b:Last>
            <b:First>Adriana</b:First>
          </b:Person>
          <b:Person>
            <b:Last>Gonzales</b:Last>
            <b:First>Wilson</b:First>
          </b:Person>
          <b:Person>
            <b:Last>Elnar</b:Last>
            <b:First>Segura</b:First>
          </b:Person>
        </b:NameList>
      </b:Author>
    </b:Author>
    <b:Title>The rural devolopment: An approach from the New rurality</b:Title>
    <b:Year>2015</b:Year>
    <b:City>Bogota</b:City>
    <b:Publisher>Ciencia y Agricultura </b:Publisher>
    <b:RefOrder>8</b:RefOrder>
  </b:Source>
  <b:Source>
    <b:Tag>Mar10</b:Tag>
    <b:SourceType>JournalArticle</b:SourceType>
    <b:Guid>{7C011C81-A4ED-45C0-9D44-DC05F708738A}</b:Guid>
    <b:Author>
      <b:Author>
        <b:NameList>
          <b:Person>
            <b:Last>Martinez</b:Last>
            <b:First>Maria</b:First>
            <b:Middle>José</b:Middle>
          </b:Person>
        </b:NameList>
      </b:Author>
    </b:Author>
    <b:Title>Nueva Ruralidad, la "remake" del termino pluriactividad</b:Title>
    <b:Year>2010</b:Year>
    <b:City>Madrid</b:City>
    <b:Pages>1-16</b:Pages>
    <b:JournalName>Nomadas, Critica de Ciencias Sociales y Juridicas</b:JournalName>
    <b:RefOrder>55</b:RefOrder>
  </b:Source>
  <b:Source>
    <b:Tag>Riv02</b:Tag>
    <b:SourceType>JournalArticle</b:SourceType>
    <b:Guid>{4B5ADE7B-0B6B-4754-86F5-C699724D73F6}</b:Guid>
    <b:Author>
      <b:Author>
        <b:NameList>
          <b:Person>
            <b:Last>Rivera</b:Last>
            <b:First>Fernando</b:First>
          </b:Person>
        </b:NameList>
      </b:Author>
    </b:Author>
    <b:Title>Una aproximación al desarrollo rural de Costa Rica.  La extensión Agricola, breve síntisis de su evolución y tendencias hacia su democratización</b:Title>
    <b:JournalName>Educare </b:JournalName>
    <b:Year>2002</b:Year>
    <b:Pages>29-43</b:Pages>
    <b:RefOrder>56</b:RefOrder>
  </b:Source>
  <b:Source>
    <b:Tag>Qui13</b:Tag>
    <b:SourceType>JournalArticle</b:SourceType>
    <b:Guid>{29FC46A1-2C36-4D05-AF0F-5482101369E6}</b:Guid>
    <b:Author>
      <b:Author>
        <b:NameList>
          <b:Person>
            <b:Last>Quispe</b:Last>
            <b:First>Gabith</b:First>
          </b:Person>
          <b:Person>
            <b:Last>Ayaviri</b:Last>
            <b:First>Victor</b:First>
          </b:Person>
        </b:NameList>
      </b:Author>
    </b:Author>
    <b:Title>Políticas de Desarrollo en los Procesos de Desarrollo Endógeno</b:Title>
    <b:JournalName>Revista Lider </b:JournalName>
    <b:Year>2013</b:Year>
    <b:Pages>151-187</b:Pages>
    <b:RefOrder>9</b:RefOrder>
  </b:Source>
  <b:Source>
    <b:Tag>Her02</b:Tag>
    <b:SourceType>JournalArticle</b:SourceType>
    <b:Guid>{926D494F-DA7C-4C61-AD7B-3734B739E5F5}</b:Guid>
    <b:Author>
      <b:Author>
        <b:NameList>
          <b:Person>
            <b:Last>Hernádez</b:Last>
            <b:First>Carolina</b:First>
          </b:Person>
        </b:NameList>
      </b:Author>
    </b:Author>
    <b:Title>La teoría del crecimiento endógeno y el comercio internacional </b:Title>
    <b:JournalName>Cuadernos de Estudios Empresariales </b:JournalName>
    <b:Year>2002</b:Year>
    <b:Pages>95-112</b:Pages>
    <b:RefOrder>57</b:RefOrder>
  </b:Source>
  <b:Source>
    <b:Tag>Viv10</b:Tag>
    <b:SourceType>Book</b:SourceType>
    <b:Guid>{1A0B5C16-974F-41F0-8339-4A41E6AC6794}</b:Guid>
    <b:Title>La crisis financiera y la regulación</b:Title>
    <b:Year>2010</b:Year>
    <b:Author>
      <b:Author>
        <b:NameList>
          <b:Person>
            <b:Last>Vives</b:Last>
            <b:First>Xavier</b:First>
          </b:Person>
        </b:NameList>
      </b:Author>
    </b:Author>
    <b:City>España</b:City>
    <b:Publisher>Universidad de Navarra</b:Publisher>
    <b:RefOrder>58</b:RefOrder>
  </b:Source>
  <b:Source>
    <b:Tag>Ara09</b:Tag>
    <b:SourceType>JournalArticle</b:SourceType>
    <b:Guid>{19FFDE49-CB88-4298-A288-EB6C5CF24254}</b:Guid>
    <b:Author>
      <b:Author>
        <b:NameList>
          <b:Person>
            <b:Last>Araújo</b:Last>
            <b:First>Ana</b:First>
            <b:Middle>Micaela</b:Middle>
          </b:Person>
        </b:NameList>
      </b:Author>
    </b:Author>
    <b:Title>Nuevos apuntes para el desarrollo local. </b:Title>
    <b:Year>2009</b:Year>
    <b:JournalName>Cuadernos del Claeh</b:JournalName>
    <b:Pages>109-142</b:Pages>
    <b:RefOrder>59</b:RefOrder>
  </b:Source>
  <b:Source>
    <b:Tag>Ban08</b:Tag>
    <b:SourceType>JournalArticle</b:SourceType>
    <b:Guid>{A71FC576-25FF-417E-B504-BB0E5E159109}</b:Guid>
    <b:Author>
      <b:Author>
        <b:NameList>
          <b:Person>
            <b:Last>Bonilla</b:Last>
            <b:First>Erika</b:First>
          </b:Person>
        </b:NameList>
      </b:Author>
    </b:Author>
    <b:Title>Realidad de las comunidades rurales de Costa Rica</b:Title>
    <b:JournalName>Revista Educare</b:JournalName>
    <b:Year>2008</b:Year>
    <b:Pages>47-59</b:Pages>
    <b:RefOrder>60</b:RefOrder>
  </b:Source>
  <b:Source>
    <b:Tag>Rod08</b:Tag>
    <b:SourceType>Book</b:SourceType>
    <b:Guid>{6566A659-573C-4412-920B-36A414A3EAEB}</b:Guid>
    <b:Author>
      <b:Author>
        <b:NameList>
          <b:Person>
            <b:Last>Rodríguez</b:Last>
            <b:First>Adrian</b:First>
          </b:Person>
          <b:Person>
            <b:Last>Saborío</b:Last>
            <b:First>Milagro</b:First>
          </b:Person>
        </b:NameList>
      </b:Author>
    </b:Author>
    <b:Title>Lo rural es diverso: Evidencia para el caso de Costa Rica</b:Title>
    <b:Year>2008</b:Year>
    <b:City>San José</b:City>
    <b:Publisher>Instituto Interamericano de Cooperación para la Agricultura </b:Publisher>
    <b:RefOrder>10</b:RefOrder>
  </b:Source>
  <b:Source>
    <b:Tag>Gra12</b:Tag>
    <b:SourceType>JournalArticle</b:SourceType>
    <b:Guid>{240EE529-7972-45B3-A899-48E7839B172D}</b:Guid>
    <b:Author>
      <b:Author>
        <b:NameList>
          <b:Person>
            <b:Last>Granados</b:Last>
            <b:First>Juan</b:First>
            <b:Middle>Ignacio</b:Middle>
          </b:Person>
        </b:NameList>
      </b:Author>
    </b:Author>
    <b:Title>Las denomiaciones de origen en la industria agrícola: Una herramienta de distinción y competitividad</b:Title>
    <b:Year>2012</b:Year>
    <b:JournalName>Producción Limpia</b:JournalName>
    <b:Pages>95-105</b:Pages>
    <b:RefOrder>21</b:RefOrder>
  </b:Source>
  <b:Source>
    <b:Tag>Cas13</b:Tag>
    <b:SourceType>Report</b:SourceType>
    <b:Guid>{16BC7B6F-898C-4CD2-B9F9-59637DA23757}</b:Guid>
    <b:Title>Denominaciones de Origen</b:Title>
    <b:Year>2013</b:Year>
    <b:City>Madrid</b:City>
    <b:Publisher>Universidad Complutense de Madrid</b:Publisher>
    <b:Author>
      <b:Author>
        <b:NameList>
          <b:Person>
            <b:Last>Casares</b:Last>
            <b:First>Javier</b:First>
          </b:Person>
        </b:NameList>
      </b:Author>
    </b:Author>
    <b:JournalName>Denominaciones de Or</b:JournalName>
    <b:RefOrder>25</b:RefOrder>
  </b:Source>
  <b:Source>
    <b:Tag>Ber09</b:Tag>
    <b:SourceType>JournalArticle</b:SourceType>
    <b:Guid>{589DAFF8-308B-470E-8904-906584B6E1F6}</b:Guid>
    <b:Title>Confianza en las certificaciones y disposición a pagar por la calidad de los alimentos</b:Title>
    <b:Year>2009</b:Year>
    <b:Author>
      <b:Author>
        <b:NameList>
          <b:Person>
            <b:Last>Berges</b:Last>
            <b:First>M</b:First>
          </b:Person>
          <b:Person>
            <b:Last>Casellas</b:Last>
            <b:First>K</b:First>
          </b:Person>
        </b:NameList>
      </b:Author>
    </b:Author>
    <b:JournalName>FACES</b:JournalName>
    <b:Pages>32-33</b:Pages>
    <b:RefOrder>24</b:RefOrder>
  </b:Source>
  <b:Source>
    <b:Tag>Gil14</b:Tag>
    <b:SourceType>Book</b:SourceType>
    <b:Guid>{270BE61D-3770-4AB7-9239-2167A726FC1B}</b:Guid>
    <b:Title>La Trascendencia de la Denominación de Origen en México</b:Title>
    <b:Year>2014</b:Year>
    <b:Author>
      <b:Author>
        <b:NameList>
          <b:Person>
            <b:Last>Gilbon</b:Last>
            <b:First>Karina</b:First>
          </b:Person>
        </b:NameList>
      </b:Author>
    </b:Author>
    <b:City>México DF</b:City>
    <b:Publisher>Universidad Veracruzana</b:Publisher>
    <b:RefOrder>2</b:RefOrder>
  </b:Source>
  <b:Source>
    <b:Tag>Pus08</b:Tag>
    <b:SourceType>JournalArticle</b:SourceType>
    <b:Guid>{BAFBF384-1927-499F-B8CE-7C1ADFA89298}</b:Guid>
    <b:Author>
      <b:Author>
        <b:NameList>
          <b:Person>
            <b:Last>Pussetto</b:Last>
            <b:First>Lucas</b:First>
          </b:Person>
        </b:NameList>
      </b:Author>
    </b:Author>
    <b:Title>Sistema financiero y crecimiento económico: Un misterio sin resolver</b:Title>
    <b:JournalName>Palermo Business Review</b:JournalName>
    <b:Year>2008</b:Year>
    <b:Pages>47-68</b:Pages>
    <b:RefOrder>17</b:RefOrder>
  </b:Source>
  <b:Source>
    <b:Tag>Ten95</b:Tag>
    <b:SourceType>JournalArticle</b:SourceType>
    <b:Guid>{611B6C07-0D43-4F27-9446-C8457B02E955}</b:Guid>
    <b:Author>
      <b:Author>
        <b:NameList>
          <b:Person>
            <b:Last>Tenjo</b:Last>
            <b:First>Fernando</b:First>
          </b:Person>
          <b:Person>
            <b:Last>Garda</b:Last>
            <b:First>Guillermo</b:First>
          </b:Person>
        </b:NameList>
      </b:Author>
    </b:Author>
    <b:Title>Intermedación Financiera y Crecimiento Económico</b:Title>
    <b:JournalName>Cuadernos de Economía</b:JournalName>
    <b:Year>1995</b:Year>
    <b:Pages>179-196</b:Pages>
    <b:RefOrder>18</b:RefOrder>
  </b:Source>
  <b:Source>
    <b:Tag>Fit07</b:Tag>
    <b:SourceType>JournalArticle</b:SourceType>
    <b:Guid>{C0C2E638-A63A-4D3A-A289-612DF487B538}</b:Guid>
    <b:Author>
      <b:Author>
        <b:NameList>
          <b:Person>
            <b:Last>FitzGerald</b:Last>
            <b:First>Valpy</b:First>
          </b:Person>
        </b:NameList>
      </b:Author>
    </b:Author>
    <b:Title>Desarrollo financiero y crecimiento económico: una visión crítica</b:Title>
    <b:JournalName>World Economic and Social Survey</b:JournalName>
    <b:Year>2007</b:Year>
    <b:Pages>5-28</b:Pages>
    <b:RefOrder>20</b:RefOrder>
  </b:Source>
  <b:Source>
    <b:Tag>Ayo11</b:Tag>
    <b:SourceType>JournalArticle</b:SourceType>
    <b:Guid>{ACF9D957-D86D-451A-A79C-B2BD4A416931}</b:Guid>
    <b:Author>
      <b:Author>
        <b:NameList>
          <b:Person>
            <b:Last>Levine</b:Last>
            <b:First>Ross</b:First>
          </b:Person>
        </b:NameList>
      </b:Author>
    </b:Author>
    <b:Year>1997</b:Year>
    <b:City>Virginia </b:City>
    <b:Title>Desarrollo financiero y crecimiento económico: Enfoques y temario</b:Title>
    <b:Pages>688-726</b:Pages>
    <b:JournalName>Journal of Economic Literature</b:JournalName>
    <b:Volume>XXXV</b:Volume>
    <b:RefOrder>61</b:RefOrder>
  </b:Source>
  <b:Source>
    <b:Tag>Buc12</b:Tag>
    <b:SourceType>JournalArticle</b:SourceType>
    <b:Guid>{E143EE07-3A51-4C68-8C14-8ACBDB4E98BD}</b:Guid>
    <b:Author>
      <b:Author>
        <b:NameList>
          <b:Person>
            <b:Last>Buchieri</b:Last>
            <b:First>Flavio</b:First>
          </b:Person>
          <b:Person>
            <b:Last>Pereyra</b:Last>
            <b:First>Alejandro</b:First>
          </b:Person>
          <b:Person>
            <b:Last>Mancha</b:Last>
            <b:First>Tomás</b:First>
          </b:Person>
        </b:NameList>
      </b:Author>
    </b:Author>
    <b:Title>Contribuciones del Desarrollo Financiero al Crecimiento Económico: Aspectos Teóricos y Empíricos de Largo Plazo </b:Title>
    <b:JournalName>IAES</b:JournalName>
    <b:Year>2012</b:Year>
    <b:Pages>4-53</b:Pages>
    <b:RefOrder>62</b:RefOrder>
  </b:Source>
  <b:Source>
    <b:Tag>Cer13</b:Tag>
    <b:SourceType>Book</b:SourceType>
    <b:Guid>{C2C465CE-9195-4ABC-A090-977AEC17257E}</b:Guid>
    <b:Author>
      <b:Author>
        <b:NameList>
          <b:Person>
            <b:Last>Cermeño</b:Last>
            <b:First>Rodolfo</b:First>
          </b:Person>
          <b:Person>
            <b:Last>Roa</b:Last>
            <b:First>Maria</b:First>
          </b:Person>
        </b:NameList>
      </b:Author>
    </b:Author>
    <b:Title>Desarrollo financiero, crecimiento y volatalidad:  Revisión de la literatura reciente</b:Title>
    <b:JournalName>Centro de Estudios Monetarios Latinoamericanos </b:JournalName>
    <b:Year>2013</b:Year>
    <b:City>México </b:City>
    <b:Publisher>Centro de Estudios Monetarios  Latinoamericanos </b:Publisher>
    <b:RefOrder>63</b:RefOrder>
  </b:Source>
  <b:Source>
    <b:Tag>ICA17</b:Tag>
    <b:SourceType>InternetSite</b:SourceType>
    <b:Guid>{B66B8232-917B-49E2-8A7C-F878F40AB094}</b:Guid>
    <b:Title>ICAFE</b:Title>
    <b:Year>2017</b:Year>
    <b:Author>
      <b:Author>
        <b:NameList>
          <b:Person>
            <b:Last>ICAFE</b:Last>
          </b:Person>
        </b:NameList>
      </b:Author>
    </b:Author>
    <b:InternetSiteTitle>ICAFE</b:InternetSiteTitle>
    <b:Month>Mayo</b:Month>
    <b:Day>28</b:Day>
    <b:URL>http://www.icafe.cr/informacion-geografica-cafetalera/</b:URL>
    <b:RefOrder>3</b:RefOrder>
  </b:Source>
  <b:Source>
    <b:Tag>Cor06</b:Tag>
    <b:SourceType>Book</b:SourceType>
    <b:Guid>{E86170AB-5D98-45C9-B19B-68A66033885F}</b:Guid>
    <b:Author>
      <b:Author>
        <b:NameList>
          <b:Person>
            <b:Last>Correa</b:Last>
            <b:First>Eugenia</b:First>
          </b:Person>
          <b:Person>
            <b:Last>Alicia</b:Last>
            <b:First>Girón</b:First>
          </b:Person>
        </b:NameList>
      </b:Author>
    </b:Author>
    <b:Title>Reforma Financieras en América Latina</b:Title>
    <b:Year>2006</b:Year>
    <b:City>Buenos Aires</b:City>
    <b:Publisher>CLACSO</b:Publisher>
    <b:RefOrder>64</b:RefOrder>
  </b:Source>
  <b:Source>
    <b:Tag>Cas131</b:Tag>
    <b:SourceType>JournalArticle</b:SourceType>
    <b:Guid>{BA2F235C-A9C9-468B-8FE4-62887E6CAEB7}</b:Guid>
    <b:Title>Las denominaciones de origen. Bienes de confianza, supermarcas y reputación</b:Title>
    <b:Year>2013</b:Year>
    <b:Author>
      <b:Author>
        <b:NameList>
          <b:Person>
            <b:Last>Casares Ripol</b:Last>
            <b:First>Javier </b:First>
          </b:Person>
        </b:NameList>
      </b:Author>
    </b:Author>
    <b:JournalName>Universidad Complutense de Madrid</b:JournalName>
    <b:Pages>1-2</b:Pages>
    <b:RefOrder>23</b:RefOrder>
  </b:Source>
  <b:Source>
    <b:Tag>Org17</b:Tag>
    <b:SourceType>InternetSite</b:SourceType>
    <b:Guid>{D457A588-9D06-4DBC-BEE0-8749269FCA08}</b:Guid>
    <b:Title>Organización de las Naciones Unidas para la Alimentación y la Agricultura</b:Title>
    <b:Year>2017</b:Year>
    <b:Author>
      <b:Author>
        <b:Corporate>Organización de las Naciones Unidas para la Alimentación y la Agricultura </b:Corporate>
      </b:Author>
    </b:Author>
    <b:InternetSiteTitle>Organización de las Naciones Unidas para la Alimentación y la Agricultura</b:InternetSiteTitle>
    <b:Month>Agosto </b:Month>
    <b:Day>27</b:Day>
    <b:URL>www.fao.org</b:URL>
    <b:RefOrder>65</b:RefOrder>
  </b:Source>
  <b:Source>
    <b:Tag>Val</b:Tag>
    <b:SourceType>BookSection</b:SourceType>
    <b:Guid>{3A687D46-D9A9-4E01-A7BD-0EC6234D4691}</b:Guid>
    <b:Author>
      <b:Author>
        <b:NameList>
          <b:Person>
            <b:Last>Valenti</b:Last>
            <b:First>Giovanna</b:First>
          </b:Person>
        </b:NameList>
      </b:Author>
      <b:BookAuthor>
        <b:NameList>
          <b:Person>
            <b:Last>Valenti</b:Last>
            <b:First>Giovanna</b:First>
          </b:Person>
        </b:NameList>
      </b:BookAuthor>
    </b:Author>
    <b:Title>El capital humano y los sistemas nacionales de innovación (SNI) en elcontexto actual</b:Title>
    <b:JournalName>Flacso</b:JournalName>
    <b:Year>2011</b:Year>
    <b:Pages>27-58</b:Pages>
    <b:BookTitle>Construyendo puentes entre el capital humano y el sistema de innovación</b:BookTitle>
    <b:City>Distrito Federal </b:City>
    <b:Publisher>Flacso</b:Publisher>
    <b:RefOrder>27</b:RefOrder>
  </b:Source>
  <b:Source>
    <b:Tag>Hag13</b:Tag>
    <b:SourceType>JournalArticle</b:SourceType>
    <b:Guid>{05DC6050-9819-48BC-AF36-20D88512BB0B}</b:Guid>
    <b:Author>
      <b:Author>
        <b:NameList>
          <b:Person>
            <b:Last>Hage</b:Last>
            <b:First>Jerald</b:First>
          </b:Person>
          <b:Person>
            <b:Last>Mote</b:Last>
            <b:First>Jonathon,</b:First>
            <b:Middle>Mote</b:Middle>
          </b:Person>
          <b:Person>
            <b:Last>Jordan</b:Last>
            <b:First>Gretchen</b:First>
          </b:Person>
        </b:NameList>
      </b:Author>
    </b:Author>
    <b:Title>Ideas, Innovations, and Networks: A new policy model base on the evolution of knwoledge</b:Title>
    <b:JournalName>Policy Sciencies</b:JournalName>
    <b:Year>2013</b:Year>
    <b:Pages>199-216</b:Pages>
    <b:Volume>46</b:Volume>
    <b:Issue>2</b:Issue>
    <b:URL>http://www.jstor.org/stable/42636469</b:URL>
    <b:RefOrder>28</b:RefOrder>
  </b:Source>
  <b:Source>
    <b:Tag>Jia16</b:Tag>
    <b:SourceType>JournalArticle</b:SourceType>
    <b:Guid>{815FA715-2603-49BD-8D1F-309FD54AE52B}</b:Guid>
    <b:Author>
      <b:Author>
        <b:NameList>
          <b:Person>
            <b:Last>Jiao</b:Last>
            <b:First>Hao</b:First>
          </b:Person>
          <b:Person>
            <b:Last>Zhou</b:Last>
            <b:First>Jianghua</b:First>
          </b:Person>
          <b:Person>
            <b:Last>Gao</b:Last>
            <b:First>Taishan</b:First>
          </b:Person>
          <b:Person>
            <b:Last>Liu</b:Last>
            <b:First>Xielin</b:First>
          </b:Person>
        </b:NameList>
      </b:Author>
    </b:Author>
    <b:Title>The more interactions the better?  The moderating effect of the interatión between local producers and users of knowledge on the relationship between R&amp;D investment and regional innovation systems</b:Title>
    <b:Year>2016</b:Year>
    <b:JournalName>Tecnologic Forecastinf and Social Change</b:JournalName>
    <b:Pages>13-20</b:Pages>
    <b:Volume>1</b:Volume>
    <b:Issue>110</b:Issue>
    <b:RefOrder>29</b:RefOrder>
  </b:Source>
  <b:Source>
    <b:Tag>Yog09</b:Tag>
    <b:SourceType>JournalArticle</b:SourceType>
    <b:Guid>{4AF15688-F38A-4902-9522-62C5DEBFAC68}</b:Guid>
    <b:Author>
      <b:Author>
        <b:NameList>
          <b:Person>
            <b:Last>Yoguel</b:Last>
            <b:First>Gabriel</b:First>
          </b:Person>
          <b:Person>
            <b:Last>Borello</b:Last>
            <b:First>José</b:First>
          </b:Person>
          <b:Person>
            <b:Last>Erbes</b:Last>
            <b:First>Analía</b:First>
          </b:Person>
        </b:NameList>
      </b:Author>
    </b:Author>
    <b:Title>Como estudiar y actuar sobre los sistemas locales de Innovación</b:Title>
    <b:JournalName>Revista Cepal</b:JournalName>
    <b:Year>2009</b:Year>
    <b:Pages>65-81</b:Pages>
    <b:Volume>1</b:Volume>
    <b:Issue>99</b:Issue>
    <b:RefOrder>30</b:RefOrder>
  </b:Source>
  <b:Source>
    <b:Tag>Wal15</b:Tag>
    <b:SourceType>JournalArticle</b:SourceType>
    <b:Guid>{00EE1BED-C6EF-4876-BE13-BB0E005070F3}</b:Guid>
    <b:Author>
      <b:Author>
        <b:NameList>
          <b:Person>
            <b:Last>Walker</b:Last>
            <b:First>Richard</b:First>
          </b:Person>
          <b:Person>
            <b:Last>Berry</b:Last>
            <b:First>Frances</b:First>
          </b:Person>
          <b:Person>
            <b:Last>Avellaneda</b:Last>
            <b:First>Claudia</b:First>
          </b:Person>
        </b:NameList>
      </b:Author>
    </b:Author>
    <b:Title>Limits on Innovativeness in local government:  Examining capacity, complexity, and dynamisn in organizational task enviorements</b:Title>
    <b:JournalName>Public Administration</b:JournalName>
    <b:Year>2015</b:Year>
    <b:Pages>663-683</b:Pages>
    <b:Volume>93</b:Volume>
    <b:Issue>3</b:Issue>
    <b:DOI>10.1111/padm.12159</b:DOI>
    <b:RefOrder>31</b:RefOrder>
  </b:Source>
  <b:Source>
    <b:Tag>Cha09</b:Tag>
    <b:SourceType>Report</b:SourceType>
    <b:Guid>{690F30CF-A2D5-453F-8225-A862141ECCE1}</b:Guid>
    <b:Author>
      <b:Author>
        <b:NameList>
          <b:Person>
            <b:Last>Chaminade</b:Last>
            <b:First>Cristina</b:First>
          </b:Person>
          <b:Person>
            <b:Last>Lundvall</b:Last>
            <b:First>Bengt-Ake</b:First>
          </b:Person>
          <b:Person>
            <b:Last>Lauridsen</b:Last>
            <b:First>Jan</b:First>
            <b:Middle>Vang</b:Middle>
          </b:Person>
          <b:Person>
            <b:Last>KJ</b:Last>
            <b:First>Joseph</b:First>
          </b:Person>
        </b:NameList>
      </b:Author>
    </b:Author>
    <b:Title>Innovation Policies for Development: Towards a Systemic Experimentation base Aproach</b:Title>
    <b:Year>2009</b:Year>
    <b:City>Dakar</b:City>
    <b:Publisher>Globelics Conference </b:Publisher>
    <b:RefOrder>32</b:RefOrder>
  </b:Source>
  <b:Source>
    <b:Tag>Zub17</b:Tag>
    <b:SourceType>JournalArticle</b:SourceType>
    <b:Guid>{8AD54AA6-CE5C-4A3C-9AE3-A002D9BBB3F4}</b:Guid>
    <b:Author>
      <b:Author>
        <b:NameList>
          <b:Person>
            <b:Last>Zubizarreta</b:Last>
            <b:First>Mikel</b:First>
          </b:Person>
          <b:Person>
            <b:Last>Cuadrado</b:Last>
            <b:First>Jesús</b:First>
          </b:Person>
          <b:Person>
            <b:Last>Iradi</b:Last>
            <b:First>Jon</b:First>
          </b:Person>
          <b:Person>
            <b:Last>García</b:Last>
            <b:First>Harkaits</b:First>
          </b:Person>
          <b:Person>
            <b:Last>Orbe</b:Last>
            <b:First>Animar</b:First>
          </b:Person>
        </b:NameList>
      </b:Author>
    </b:Author>
    <b:Title>Innovation evaluation model for macro.constrution sector companies: A study in Spain</b:Title>
    <b:JournalName>Evaluation and Program Planning</b:JournalName>
    <b:Year>2017</b:Year>
    <b:Pages>22-37</b:Pages>
    <b:Volume>1</b:Volume>
    <b:Issue>61</b:Issue>
    <b:URL>www.elsevier.com/locat e/e valprogplan</b:URL>
    <b:RefOrder>33</b:RefOrder>
  </b:Source>
  <b:Source>
    <b:Tag>Gar09</b:Tag>
    <b:SourceType>JournalArticle</b:SourceType>
    <b:Guid>{E0F72096-E224-4A27-A4A1-616F9A95B620}</b:Guid>
    <b:Author>
      <b:Author>
        <b:NameList>
          <b:Person>
            <b:Last>García</b:Last>
            <b:First>Adolfo</b:First>
          </b:Person>
        </b:NameList>
      </b:Author>
    </b:Author>
    <b:Title>La estructura lógica de la teoría de los juegos</b:Title>
    <b:Year>2009</b:Year>
    <b:JournalName>Revista Hispanoamericana de Filosofía</b:JournalName>
    <b:Pages>3-27</b:Pages>
    <b:Volume>41</b:Volume>
    <b:Issue>122</b:Issue>
    <b:URL>ttp://www.jstor.org/stable/20618085</b:URL>
    <b:RefOrder>34</b:RefOrder>
  </b:Source>
  <b:Source>
    <b:Tag>Osb94</b:Tag>
    <b:SourceType>Book</b:SourceType>
    <b:Guid>{2B30D321-DD80-4051-B519-0E8A1F370F65}</b:Guid>
    <b:Author>
      <b:Author>
        <b:NameList>
          <b:Person>
            <b:Last>Osborne</b:Last>
            <b:First>Martin</b:First>
          </b:Person>
          <b:Person>
            <b:Last>Rubinstein</b:Last>
            <b:First>Ariel</b:First>
          </b:Person>
        </b:NameList>
      </b:Author>
    </b:Author>
    <b:Title>A Course in Game Theory</b:Title>
    <b:Year>1994</b:Year>
    <b:City>England</b:City>
    <b:Publisher>Massachusetts Institute of Technology</b:Publisher>
    <b:Volume>1</b:Volume>
    <b:RefOrder>35</b:RefOrder>
  </b:Source>
  <b:Source>
    <b:Tag>Cer04</b:Tag>
    <b:SourceType>Book</b:SourceType>
    <b:Guid>{D38C895B-B748-44E9-A8E0-53AC1A42CE87}</b:Guid>
    <b:Author>
      <b:Author>
        <b:NameList>
          <b:Person>
            <b:Last>Cerda</b:Last>
            <b:First>Emilio</b:First>
          </b:Person>
          <b:Person>
            <b:Last>Pérez</b:Last>
            <b:First>Joaquín</b:First>
          </b:Person>
          <b:Person>
            <b:Last>Jimeno</b:Last>
            <b:First>José</b:First>
            <b:Middle>Luis</b:Middle>
          </b:Person>
        </b:NameList>
      </b:Author>
      <b:Editor>
        <b:NameList>
          <b:Person>
            <b:Last>Aragón</b:Last>
            <b:First>David</b:First>
            <b:Middle>Fayerman</b:Middle>
          </b:Person>
        </b:NameList>
      </b:Editor>
    </b:Author>
    <b:Title>Teoría de Juegos</b:Title>
    <b:Year>2004</b:Year>
    <b:City>Madrid</b:City>
    <b:Publisher>Pearson Prentice Hall</b:Publisher>
    <b:Pages>528</b:Pages>
    <b:RefOrder>36</b:RefOrder>
  </b:Source>
  <b:Source>
    <b:Tag>Rom97</b:Tag>
    <b:SourceType>Book</b:SourceType>
    <b:Guid>{7C31F427-3FF6-4B00-B5DB-09A7700EF441}</b:Guid>
    <b:Author>
      <b:Author>
        <b:NameList>
          <b:Person>
            <b:Last>Romp</b:Last>
            <b:First>Graham</b:First>
          </b:Person>
        </b:NameList>
      </b:Author>
    </b:Author>
    <b:Title>Game Theory:  Introduction and Applications</b:Title>
    <b:Year>1997</b:Year>
    <b:City>Londres</b:City>
    <b:Publisher>Oxford</b:Publisher>
    <b:Volume>1</b:Volume>
    <b:Pages>1-295</b:Pages>
    <b:Edition>1</b:Edition>
    <b:RefOrder>37</b:RefOrder>
  </b:Source>
  <b:Source>
    <b:Tag>Gib93</b:Tag>
    <b:SourceType>Book</b:SourceType>
    <b:Guid>{4BB9EB4B-9F29-4E1C-B24D-0F8934D845E8}</b:Guid>
    <b:Author>
      <b:Author>
        <b:NameList>
          <b:Person>
            <b:Last>Gibbons</b:Last>
            <b:First>Robert</b:First>
          </b:Person>
        </b:NameList>
      </b:Author>
    </b:Author>
    <b:Title>Un Primer curso de Teoría de Juegos</b:Title>
    <b:Year>1993</b:Year>
    <b:City>Califormia</b:City>
    <b:Publisher>Antoni Bosch</b:Publisher>
    <b:Volume>1</b:Volume>
    <b:RefOrder>38</b:RefOrder>
  </b:Source>
  <b:Source>
    <b:Tag>Fer15</b:Tag>
    <b:SourceType>JournalArticle</b:SourceType>
    <b:Guid>{B3F7E972-6AF9-4827-ABFF-2A85D079BFB9}</b:Guid>
    <b:Author>
      <b:Author>
        <b:NameList>
          <b:Person>
            <b:Last>Fernández</b:Last>
            <b:First>Víctor</b:First>
          </b:Person>
        </b:NameList>
      </b:Author>
    </b:Author>
    <b:Title>Global Chains in Global Political Networks</b:Title>
    <b:JournalName>Review of radical Political Economics</b:JournalName>
    <b:Year>2015</b:Year>
    <b:Pages>209-230</b:Pages>
    <b:RefOrder>11</b:RefOrder>
  </b:Source>
  <b:Source>
    <b:Tag>Hop77</b:Tag>
    <b:SourceType>JournalArticle</b:SourceType>
    <b:Guid>{B28C0861-E94F-4150-A0B7-F4F10894F766}</b:Guid>
    <b:Author>
      <b:Author>
        <b:NameList>
          <b:Person>
            <b:Last>Hopkins</b:Last>
            <b:First>Terence</b:First>
          </b:Person>
          <b:Person>
            <b:Last>Wallerstein</b:Last>
            <b:First>Inmanuel</b:First>
          </b:Person>
        </b:NameList>
      </b:Author>
    </b:Author>
    <b:Title>Patterns of Development of the Modern World-System</b:Title>
    <b:JournalName>Review</b:JournalName>
    <b:Year>1977</b:Year>
    <b:Pages>111-145</b:Pages>
    <b:RefOrder>66</b:RefOrder>
  </b:Source>
  <b:Source>
    <b:Tag>Wal74</b:Tag>
    <b:SourceType>JournalArticle</b:SourceType>
    <b:Guid>{48265C0E-73A6-4B7C-9A0E-065AD8F7BA3E}</b:Guid>
    <b:Author>
      <b:Author>
        <b:NameList>
          <b:Person>
            <b:Last>Wallerstein</b:Last>
            <b:First>Inmanuel</b:First>
          </b:Person>
        </b:NameList>
      </b:Author>
    </b:Author>
    <b:Title>The Rise and Future Demise of the World Capitalist System</b:Title>
    <b:JournalName>Comparative Studies in Society and History</b:JournalName>
    <b:Year>1974</b:Year>
    <b:Pages>387-415</b:Pages>
    <b:RefOrder>67</b:RefOrder>
  </b:Source>
  <b:Source>
    <b:Tag>Arr86</b:Tag>
    <b:SourceType>JournalArticle</b:SourceType>
    <b:Guid>{8D52ECCC-AA29-46E1-8B34-1894584DE008}</b:Guid>
    <b:Author>
      <b:Author>
        <b:NameList>
          <b:Person>
            <b:Last>Arrighi</b:Last>
            <b:First>Giovanni</b:First>
          </b:Person>
          <b:Person>
            <b:Last>Grangel</b:Last>
            <b:First>Jessica</b:First>
          </b:Person>
        </b:NameList>
      </b:Author>
    </b:Author>
    <b:Title>The Stratification of the World-economy: An Exploration of the Semiperipheral Zone</b:Title>
    <b:JournalName>Review</b:JournalName>
    <b:Year>1986</b:Year>
    <b:Pages>9-74</b:Pages>
    <b:RefOrder>12</b:RefOrder>
  </b:Source>
  <b:Source>
    <b:Tag>Ger13</b:Tag>
    <b:SourceType>JournalArticle</b:SourceType>
    <b:Guid>{677F3226-36A7-489D-9701-21576B65C449}</b:Guid>
    <b:Author>
      <b:Author>
        <b:NameList>
          <b:Person>
            <b:Last>Gereffi</b:Last>
            <b:First>Gary</b:First>
          </b:Person>
        </b:NameList>
      </b:Author>
    </b:Author>
    <b:Title>Global Value Chains in a post-Washington Consensus World</b:Title>
    <b:JournalName>Review of International Political Economy</b:JournalName>
    <b:Year>2013</b:Year>
    <b:Pages>9-37</b:Pages>
    <b:RefOrder>14</b:RefOrder>
  </b:Source>
  <b:Source>
    <b:Tag>Joh12</b:Tag>
    <b:SourceType>JournalArticle</b:SourceType>
    <b:Guid>{1CDB02F1-95CC-4670-811C-0FA1984141DC}</b:Guid>
    <b:Author>
      <b:Author>
        <b:NameList>
          <b:Person>
            <b:Last>Johnson</b:Last>
            <b:First>R</b:First>
          </b:Person>
        </b:NameList>
      </b:Author>
    </b:Author>
    <b:Title>Accounting for intermediates</b:Title>
    <b:JournalName>Journal of International Economics</b:JournalName>
    <b:Year>2012</b:Year>
    <b:Pages>224-236</b:Pages>
    <b:RefOrder>68</b:RefOrder>
  </b:Source>
  <b:Source>
    <b:Tag>OEC12</b:Tag>
    <b:SourceType>JournalArticle</b:SourceType>
    <b:Guid>{7F1B8883-16AF-4374-908D-51A53FD2CB52}</b:Guid>
    <b:Author>
      <b:Author>
        <b:NameList>
          <b:Person>
            <b:Last>OECD-WTO</b:Last>
          </b:Person>
        </b:NameList>
      </b:Author>
    </b:Author>
    <b:Title>Trade in Value Added</b:Title>
    <b:JournalName>OECD</b:JournalName>
    <b:Year>2012</b:Year>
    <b:RefOrder>69</b:RefOrder>
  </b:Source>
  <b:Source>
    <b:Tag>Rod06</b:Tag>
    <b:SourceType>JournalArticle</b:SourceType>
    <b:Guid>{31ADCC71-4D08-4BA7-A2A5-82817C83BE84}</b:Guid>
    <b:Author>
      <b:Author>
        <b:NameList>
          <b:Person>
            <b:Last>Rodríguez</b:Last>
          </b:Person>
        </b:NameList>
      </b:Author>
    </b:Author>
    <b:Title>Modelo para la Valoración Financiera de Activos Intangibles y Competencias</b:Title>
    <b:JournalName>IAFI</b:JournalName>
    <b:Year>2006</b:Year>
    <b:RefOrder>70</b:RefOrder>
  </b:Source>
  <b:Source>
    <b:Tag>Car17</b:Tag>
    <b:SourceType>JournalArticle</b:SourceType>
    <b:Guid>{56264C1B-941E-4BC7-983A-A62EC43D8F15}</b:Guid>
    <b:Author>
      <b:Author>
        <b:NameList>
          <b:Person>
            <b:Last>Cardona</b:Last>
            <b:First>Daniel</b:First>
          </b:Person>
        </b:NameList>
      </b:Author>
    </b:Author>
    <b:Title>Variables macroeconómica y microeconómicas que influyen en la estimación del costo de capital</b:Title>
    <b:Year>2017</b:Year>
    <b:RefOrder>71</b:RefOrder>
  </b:Source>
  <b:Source>
    <b:Tag>Lev02</b:Tag>
    <b:SourceType>JournalArticle</b:SourceType>
    <b:Guid>{8EF60B21-8773-4E07-AD85-5A4B71A98E7E}</b:Guid>
    <b:Author>
      <b:Author>
        <b:NameList>
          <b:Person>
            <b:Last>Levine</b:Last>
          </b:Person>
        </b:NameList>
      </b:Author>
    </b:Author>
    <b:Title>Bank-Based Financial Systems</b:Title>
    <b:JournalName>Journal of Financial Intermediation</b:JournalName>
    <b:Year>2002</b:Year>
    <b:Pages>398-428</b:Pages>
    <b:RefOrder>16</b:RefOrder>
  </b:Source>
  <b:Source>
    <b:Tag>Gra04</b:Tag>
    <b:SourceType>Report</b:SourceType>
    <b:Guid>{E3234B94-AD14-4A4C-86EB-41C7D2DE62B7}</b:Guid>
    <b:Author>
      <b:Author>
        <b:NameList>
          <b:Person>
            <b:Last>Granados</b:Last>
            <b:First>Leonardo</b:First>
          </b:Person>
        </b:NameList>
      </b:Author>
    </b:Author>
    <b:Title>Indicaciones Geográficas y Denominaciones de Origen</b:Title>
    <b:Year>2004</b:Year>
    <b:Publisher>Ministerio de Agricultura y Ganadería</b:Publisher>
    <b:City>San José</b:City>
    <b:RefOrder>1</b:RefOrder>
  </b:Source>
  <b:Source>
    <b:Tag>Correa</b:Tag>
    <b:SourceType>Report</b:SourceType>
    <b:Guid>{1D29E4B4-4960-4FC3-9691-4F04E2852E1A}</b:Guid>
    <b:Title>Reforma financiera en América Latina</b:Title>
    <b:Year>2006</b:Year>
    <b:Author>
      <b:Author>
        <b:NameList>
          <b:Person>
            <b:Last>Correa</b:Last>
            <b:First>Eugenia</b:First>
          </b:Person>
        </b:NameList>
      </b:Author>
    </b:Author>
    <b:Publisher>CLACSO</b:Publisher>
    <b:City>Buenos Aires</b:City>
    <b:RefOrder>6</b:RefOrder>
  </b:Source>
  <b:Source>
    <b:Tag>Cor006</b:Tag>
    <b:SourceType>Report</b:SourceType>
    <b:Guid>{A6194D75-D439-468A-926D-9E38CDE34EE3}</b:Guid>
    <b:Author>
      <b:Author>
        <b:NameList>
          <b:Person>
            <b:Last>Correa</b:Last>
            <b:First>Eugenia</b:First>
          </b:Person>
        </b:NameList>
      </b:Author>
    </b:Author>
    <b:Title>Reformas Financieras en América Latina</b:Title>
    <b:Year>2006</b:Year>
    <b:Publisher>Clacso</b:Publisher>
    <b:City>Buenos Aires</b:City>
    <b:RefOrder>4</b:RefOrder>
  </b:Source>
  <b:Source>
    <b:Tag>Cam14</b:Tag>
    <b:SourceType>Report</b:SourceType>
    <b:Guid>{99F2E205-59EF-464F-A7F7-9F077BAA8E5B}</b:Guid>
    <b:Author>
      <b:Author>
        <b:NameList>
          <b:Person>
            <b:Last>Camacho</b:Last>
            <b:First>Arnoldo</b:First>
          </b:Person>
        </b:NameList>
      </b:Author>
    </b:Author>
    <b:Title>El Sistema Financiero Costarricense</b:Title>
    <b:Year>2014</b:Year>
    <b:Publisher>Academia de Centroamérica</b:Publisher>
    <b:City>San José</b:City>
    <b:RefOrder>7</b:RefOrder>
  </b:Source>
  <b:Source>
    <b:Tag>Lun021</b:Tag>
    <b:SourceType>JournalArticle</b:SourceType>
    <b:Guid>{74AF217D-1C74-407C-8B9A-30E7A2195D80}</b:Guid>
    <b:Author>
      <b:Author>
        <b:NameList>
          <b:Person>
            <b:Last>Lunvall</b:Last>
            <b:First>Beng</b:First>
          </b:Person>
          <b:Person>
            <b:Last>Johnson</b:Last>
            <b:First>Bjorn</b:First>
          </b:Person>
          <b:Person>
            <b:Last>Sloth</b:Last>
            <b:First>Esben</b:First>
          </b:Person>
          <b:Person>
            <b:Last>Dalum</b:Last>
            <b:First>Bent</b:First>
          </b:Person>
        </b:NameList>
      </b:Author>
    </b:Author>
    <b:Title>National systems of prodution, innovaion and competence building</b:Title>
    <b:JournalName>Research Policy</b:JournalName>
    <b:Year>2002</b:Year>
    <b:Pages>213-231</b:Pages>
    <b:Volume>1</b:Volume>
    <b:Issue>31</b:Issue>
    <b:RefOrder>26</b:RefOrder>
  </b:Source>
  <b:Source>
    <b:Tag>Ger94</b:Tag>
    <b:SourceType>JournalArticle</b:SourceType>
    <b:Guid>{81FCDEE9-09E3-44EB-956B-0072C4CC5192}</b:Guid>
    <b:Author>
      <b:Author>
        <b:NameList>
          <b:Person>
            <b:Last>Gereffi</b:Last>
            <b:First>Gary</b:First>
          </b:Person>
        </b:NameList>
      </b:Author>
    </b:Author>
    <b:Title>The Organization of Buyer-driven Global Commodity Chains: How US Retailers Shape Overseas Production Networks</b:Title>
    <b:JournalName>Commodity Chains and Global Capitalism</b:JournalName>
    <b:Year>1994</b:Year>
    <b:Pages>95-122</b:Pages>
    <b:RefOrder>72</b:RefOrder>
  </b:Source>
  <b:Source>
    <b:Tag>Cor07</b:Tag>
    <b:SourceType>JournalArticle</b:SourceType>
    <b:Guid>{B5F6CC86-CCF7-4A42-88D7-D3FA15DACAFD}</b:Guid>
    <b:Title>Territorio, identidades y consumo: reflexiones en torno a la construcción de nuevos paradigmas </b:Title>
    <b:Year>2007</b:Year>
    <b:Author>
      <b:Author>
        <b:NameList>
          <b:Person>
            <b:Last>Corenzo</b:Last>
            <b:First>Sebastián</b:First>
          </b:Person>
        </b:NameList>
      </b:Author>
    </b:Author>
    <b:JournalName>Cuadernos de Antropología Social</b:JournalName>
    <b:Pages>125-143</b:Pages>
    <b:RefOrder>39</b:RefOrder>
  </b:Source>
  <b:Source>
    <b:Tag>Cas08</b:Tag>
    <b:SourceType>JournalArticle</b:SourceType>
    <b:Guid>{02E2BF10-997D-492E-A2B2-B8D7F63EE166}</b:Guid>
    <b:Author>
      <b:Author>
        <b:NameList>
          <b:Person>
            <b:Last>Casalis</b:Last>
            <b:First>Alejandro</b:First>
          </b:Person>
        </b:NameList>
      </b:Author>
    </b:Author>
    <b:Title>El Desarrollo Territorial, un desafío para la construcción de un nuevo modelo de desarrollo </b:Title>
    <b:JournalName>Jornadas Nacionales </b:JournalName>
    <b:Year>2008</b:Year>
    <b:Pages>1-92</b:Pages>
    <b:RefOrder>40</b:RefOrder>
  </b:Source>
  <b:Source>
    <b:Tag>Boi04</b:Tag>
    <b:SourceType>JournalArticle</b:SourceType>
    <b:Guid>{9600423A-29F4-4E7F-9A6A-DDA6067E8D3E}</b:Guid>
    <b:Author>
      <b:Author>
        <b:NameList>
          <b:Person>
            <b:Last>Boisier</b:Last>
            <b:First>Sergio</b:First>
          </b:Person>
        </b:NameList>
      </b:Author>
    </b:Author>
    <b:Title>Desarrollo Territorial y Descentralización.  El desarrollo en el lugar y en las manos de la gente </b:Title>
    <b:JournalName>Eure</b:JournalName>
    <b:Year>2004</b:Year>
    <b:Pages>27-40</b:Pages>
    <b:RefOrder>73</b:RefOrder>
  </b:Source>
  <b:Source>
    <b:Tag>Mad08</b:Tag>
    <b:SourceType>JournalArticle</b:SourceType>
    <b:Guid>{FB12A0EC-79CA-4F63-9EB6-A962F572C08F}</b:Guid>
    <b:Author>
      <b:Author>
        <b:NameList>
          <b:Person>
            <b:Last>Madoery</b:Last>
            <b:First>Oscar</b:First>
          </b:Person>
        </b:NameList>
      </b:Author>
    </b:Author>
    <b:Title>Cinco interrogantes fundamentales del Desarrollo Endógeno </b:Title>
    <b:JournalName>Prisma</b:JournalName>
    <b:Year>2008</b:Year>
    <b:Pages>59-82</b:Pages>
    <b:RefOrder>74</b:RefOrder>
  </b:Source>
  <b:Source>
    <b:Tag>Bue14</b:Tag>
    <b:SourceType>JournalArticle</b:SourceType>
    <b:Guid>{E5A54851-51B4-4BFB-934B-36081A9EA448}</b:Guid>
    <b:Author>
      <b:Author>
        <b:NameList>
          <b:Person>
            <b:Last>Buendía</b:Last>
            <b:First>Inmaculada</b:First>
          </b:Person>
        </b:NameList>
      </b:Author>
    </b:Author>
    <b:Title>Desarrollo territorial rural y cooperativas: Un análisis desde las políticas públicas </b:Title>
    <b:JournalName>Cuadernos de Desarrollo Rural </b:JournalName>
    <b:Year>2014</b:Year>
    <b:Pages>35-54</b:Pages>
    <b:RefOrder>75</b:RefOrder>
  </b:Source>
  <b:Source>
    <b:Tag>Ger012</b:Tag>
    <b:SourceType>JournalArticle</b:SourceType>
    <b:Guid>{9610243A-0B02-4A1C-84D3-B9CBF0EF16CB}</b:Guid>
    <b:Author>
      <b:Author>
        <b:NameList>
          <b:Person>
            <b:Last>Geraffi</b:Last>
            <b:First>Gary </b:First>
          </b:Person>
          <b:Person>
            <b:Last>Humphrey</b:Last>
            <b:First>John</b:First>
          </b:Person>
          <b:Person>
            <b:Last>Kaplinsky</b:Last>
            <b:First>Raphael</b:First>
          </b:Person>
          <b:Person>
            <b:Last>Sturgeon</b:Last>
            <b:First>Timothy</b:First>
          </b:Person>
        </b:NameList>
      </b:Author>
    </b:Author>
    <b:JournalName>IDS Bulletin</b:JournalName>
    <b:Year>2001</b:Year>
    <b:Pages>30-40</b:Pages>
    <b:Title>Introduction: Globalisation, Value, Chains and Devolopment</b:Title>
    <b:Volume>32</b:Volume>
    <b:Issue>3</b:Issue>
    <b:URL>https://www.ids.ac.uk/files/dmfile/gereffietal323.pdf</b:URL>
    <b:RefOrder>13</b:RefOrder>
  </b:Source>
  <b:Source>
    <b:Tag>Val09</b:Tag>
    <b:SourceType>JournalArticle</b:SourceType>
    <b:Guid>{7500773B-2CDB-4705-B0CF-0D39B96D8E57}</b:Guid>
    <b:Author>
      <b:Author>
        <b:NameList>
          <b:Person>
            <b:Last>Valenciano</b:Last>
            <b:First>Jorge</b:First>
          </b:Person>
        </b:NameList>
      </b:Author>
    </b:Author>
    <b:Title>La Actividad Cafetalera en los Santos: Diagnostico para un análisis de los medios de vida en la agrocadena</b:Title>
    <b:JournalName>Centro Internacional de Política Económica</b:JournalName>
    <b:Year>2009</b:Year>
    <b:Pages>16-19</b:Pages>
    <b:Volume>1</b:Volume>
    <b:Issue>1</b:Issue>
    <b:URL>http://www.repositorio.una.ac.cr/bitstream/handle/11056/8626/sdt_002_2009.pdf?sequence=1&amp;isAllowed=y</b:URL>
    <b:RefOrder>15</b:RefOrder>
  </b:Source>
  <b:Source>
    <b:Tag>Hui12</b:Tag>
    <b:SourceType>JournalArticle</b:SourceType>
    <b:Guid>{D473C2F2-E17A-460C-A485-E33523CCDDA2}</b:Guid>
    <b:Author>
      <b:Author>
        <b:NameList>
          <b:Person>
            <b:Last>Huidobro</b:Last>
            <b:First>Alberto</b:First>
          </b:Person>
        </b:NameList>
      </b:Author>
    </b:Author>
    <b:Title>Diferencias entre la Banca Comercial y la Banca de Desarrollo</b:Title>
    <b:Year>2012</b:Year>
    <b:JournalName>Gestión y Política Pública</b:JournalName>
    <b:Pages>515-564</b:Pages>
    <b:Volume>XXI</b:Volume>
    <b:Issue>2</b:Issue>
    <b:URL>http://www.scielo.org.mx/pdf/gpp/v21n2/v21n2a7.pdf</b:URL>
    <b:RefOrder>19</b:RefOrder>
  </b:Source>
  <b:Source>
    <b:Tag>Riz12</b:Tag>
    <b:SourceType>Book</b:SourceType>
    <b:Guid>{B94F3FEE-1079-4584-AF81-9EE744FC871F}</b:Guid>
    <b:Title>Las Indicaciones Geográficas</b:Title>
    <b:Year>2012</b:Year>
    <b:City>Ginebra</b:City>
    <b:Publisher>Organización Mundial de la Propiedad Intelectual</b:Publisher>
    <b:Author>
      <b:Author>
        <b:NameList>
          <b:Person>
            <b:Last>Rizo</b:Last>
            <b:Middle>Paola</b:Middle>
            <b:First>María</b:First>
          </b:Person>
          <b:Person>
            <b:Last>Frigant</b:Last>
            <b:First>Nathalie </b:First>
          </b:Person>
          <b:Person>
            <b:Last>Ghetu</b:Last>
            <b:First>Violeta</b:First>
          </b:Person>
          <b:Person>
            <b:Last>Höpperger</b:Last>
            <b:First> Marcus </b:First>
          </b:Person>
        </b:NameList>
      </b:Author>
    </b:Author>
    <b:URL>http://www.wipo.int/edocs/pubdocs/es/geographical/952/wipo_pub_952.pdf</b:URL>
    <b:RefOrder>22</b:RefOrder>
  </b:Source>
</b:Sources>
</file>

<file path=customXml/itemProps1.xml><?xml version="1.0" encoding="utf-8"?>
<ds:datastoreItem xmlns:ds="http://schemas.openxmlformats.org/officeDocument/2006/customXml" ds:itemID="{43B35723-DBD7-424B-89BB-DD1F319C6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89</Pages>
  <Words>30392</Words>
  <Characters>167162</Characters>
  <Application>Microsoft Office Word</Application>
  <DocSecurity>0</DocSecurity>
  <Lines>1393</Lines>
  <Paragraphs>394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197160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Osvaldo Mora Mora</dc:creator>
  <cp:keywords/>
  <dc:description/>
  <cp:lastModifiedBy>Osvaldo Mora Mora</cp:lastModifiedBy>
  <cp:revision>15</cp:revision>
  <dcterms:created xsi:type="dcterms:W3CDTF">2018-10-13T22:53:00Z</dcterms:created>
  <dcterms:modified xsi:type="dcterms:W3CDTF">2021-01-26T18:31:00Z</dcterms:modified>
</cp:coreProperties>
</file>