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1178" w:rsidRDefault="00101178" w:rsidP="00101178">
      <w:pPr>
        <w:pStyle w:val="Encabezado1"/>
      </w:pPr>
    </w:p>
    <w:p w:rsidR="0063029A" w:rsidRDefault="0063029A" w:rsidP="006E507D">
      <w:pPr>
        <w:pStyle w:val="TtuloTDC"/>
        <w:spacing w:before="0"/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sectPr w:rsidR="0063029A">
          <w:headerReference w:type="default" r:id="rId8"/>
          <w:footerReference w:type="default" r:id="rId9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sdt>
      <w:sdtPr>
        <w:rPr>
          <w:rFonts w:ascii="Gill Sans MT" w:eastAsiaTheme="minorHAnsi" w:hAnsi="Gill Sans MT" w:cstheme="minorBidi"/>
          <w:color w:val="auto"/>
          <w:sz w:val="22"/>
          <w:szCs w:val="22"/>
          <w:lang w:val="es-ES" w:eastAsia="en-US"/>
        </w:rPr>
        <w:id w:val="-170346388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45017D" w:rsidRPr="00D62DDA" w:rsidRDefault="00C55084" w:rsidP="006E507D">
          <w:pPr>
            <w:pStyle w:val="TtuloTDC"/>
            <w:spacing w:before="0"/>
            <w:rPr>
              <w:rFonts w:ascii="Gill Sans MT" w:hAnsi="Gill Sans MT"/>
              <w:b/>
              <w:sz w:val="24"/>
            </w:rPr>
          </w:pPr>
          <w:r>
            <w:rPr>
              <w:rFonts w:ascii="Gill Sans MT" w:hAnsi="Gill Sans MT"/>
              <w:b/>
              <w:sz w:val="24"/>
              <w:lang w:val="es-ES"/>
            </w:rPr>
            <w:t>Tabla de c</w:t>
          </w:r>
          <w:r w:rsidR="0045017D" w:rsidRPr="00D62DDA">
            <w:rPr>
              <w:rFonts w:ascii="Gill Sans MT" w:hAnsi="Gill Sans MT"/>
              <w:b/>
              <w:sz w:val="24"/>
              <w:lang w:val="es-ES"/>
            </w:rPr>
            <w:t>ontenido</w:t>
          </w:r>
        </w:p>
        <w:p w:rsidR="0063029A" w:rsidRDefault="006E507D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3309940" w:history="1">
            <w:r w:rsidR="0063029A" w:rsidRPr="00C14417">
              <w:rPr>
                <w:rStyle w:val="Hipervnculo"/>
                <w:noProof/>
              </w:rPr>
              <w:t>1.</w:t>
            </w:r>
            <w:r w:rsidR="0063029A">
              <w:rPr>
                <w:rFonts w:asciiTheme="minorHAnsi" w:hAnsiTheme="minorHAnsi" w:cstheme="minorBidi"/>
                <w:noProof/>
              </w:rPr>
              <w:tab/>
            </w:r>
            <w:r w:rsidR="0063029A" w:rsidRPr="00C14417">
              <w:rPr>
                <w:rStyle w:val="Hipervnculo"/>
                <w:noProof/>
              </w:rPr>
              <w:t>Objeto y alcance</w:t>
            </w:r>
            <w:r w:rsidR="0063029A">
              <w:rPr>
                <w:noProof/>
                <w:webHidden/>
              </w:rPr>
              <w:tab/>
            </w:r>
            <w:bookmarkStart w:id="0" w:name="_GoBack"/>
            <w:bookmarkEnd w:id="0"/>
            <w:r w:rsidR="0063029A">
              <w:rPr>
                <w:noProof/>
                <w:webHidden/>
              </w:rPr>
              <w:fldChar w:fldCharType="begin"/>
            </w:r>
            <w:r w:rsidR="0063029A">
              <w:rPr>
                <w:noProof/>
                <w:webHidden/>
              </w:rPr>
              <w:instrText xml:space="preserve"> PAGEREF _Toc43309940 \h </w:instrText>
            </w:r>
            <w:r w:rsidR="0063029A">
              <w:rPr>
                <w:noProof/>
                <w:webHidden/>
              </w:rPr>
            </w:r>
            <w:r w:rsidR="0063029A"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1</w:t>
            </w:r>
            <w:r w:rsidR="0063029A"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41" w:history="1">
            <w:r w:rsidRPr="00C14417">
              <w:rPr>
                <w:rStyle w:val="Hipervnculo"/>
                <w:noProof/>
              </w:rPr>
              <w:t>2.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Definiciones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2" w:history="1">
            <w:r w:rsidRPr="00C14417">
              <w:rPr>
                <w:rStyle w:val="Hipervnculo"/>
                <w:noProof/>
              </w:rPr>
              <w:t>2.1.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Contexto externo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3" w:history="1">
            <w:r w:rsidRPr="00C14417">
              <w:rPr>
                <w:rStyle w:val="Hipervnculo"/>
                <w:noProof/>
              </w:rPr>
              <w:t>2.2.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Contexto interno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4" w:history="1">
            <w:r w:rsidRPr="00C14417">
              <w:rPr>
                <w:rStyle w:val="Hipervnculo"/>
                <w:noProof/>
              </w:rPr>
              <w:t>2.3.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Fuente de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5" w:history="1">
            <w:r w:rsidRPr="00C14417">
              <w:rPr>
                <w:rStyle w:val="Hipervnculo"/>
                <w:noProof/>
              </w:rPr>
              <w:t>2.4.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Gestión del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6" w:history="1">
            <w:r w:rsidRPr="00C14417">
              <w:rPr>
                <w:rStyle w:val="Hipervnculo"/>
                <w:noProof/>
              </w:rPr>
              <w:t>2.5.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Imparcialidad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7" w:history="1">
            <w:r w:rsidRPr="00C14417">
              <w:rPr>
                <w:rStyle w:val="Hipervnculo"/>
                <w:noProof/>
              </w:rPr>
              <w:t>2.6.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8" w:history="1">
            <w:r w:rsidRPr="00C14417">
              <w:rPr>
                <w:rStyle w:val="Hipervnculo"/>
                <w:noProof/>
              </w:rPr>
              <w:t>2.7.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Marco de gestión del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49" w:history="1">
            <w:r w:rsidRPr="00C14417">
              <w:rPr>
                <w:rStyle w:val="Hipervnculo"/>
                <w:noProof/>
              </w:rPr>
              <w:t>2.8.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Valoración del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50" w:history="1">
            <w:r w:rsidRPr="00C14417">
              <w:rPr>
                <w:rStyle w:val="Hipervnculo"/>
                <w:noProof/>
              </w:rPr>
              <w:t>2.9.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Perfil del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1100"/>
              <w:tab w:val="right" w:leader="dot" w:pos="4055"/>
            </w:tabs>
            <w:rPr>
              <w:rFonts w:cstheme="minorBidi"/>
              <w:noProof/>
            </w:rPr>
          </w:pPr>
          <w:hyperlink w:anchor="_Toc43309951" w:history="1">
            <w:r w:rsidRPr="00C14417">
              <w:rPr>
                <w:rStyle w:val="Hipervnculo"/>
                <w:noProof/>
              </w:rPr>
              <w:t>2.10.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Tratamiento del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52" w:history="1">
            <w:r w:rsidRPr="00C14417">
              <w:rPr>
                <w:rStyle w:val="Hipervnculo"/>
                <w:noProof/>
              </w:rPr>
              <w:t>3.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Personal del procedimiento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53" w:history="1">
            <w:r w:rsidRPr="00C14417">
              <w:rPr>
                <w:rStyle w:val="Hipervnculo"/>
                <w:noProof/>
              </w:rPr>
              <w:t>4.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Documentación relacionada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54" w:history="1">
            <w:r w:rsidRPr="00C14417">
              <w:rPr>
                <w:rStyle w:val="Hipervnculo"/>
                <w:noProof/>
              </w:rPr>
              <w:t>5.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Módulo relacionado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55" w:history="1">
            <w:r w:rsidRPr="00C14417">
              <w:rPr>
                <w:rStyle w:val="Hipervnculo"/>
                <w:noProof/>
              </w:rPr>
              <w:t>6.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Procedimiento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56" w:history="1">
            <w:r w:rsidRPr="00C14417">
              <w:rPr>
                <w:rStyle w:val="Hipervnculo"/>
                <w:noProof/>
              </w:rPr>
              <w:t>6.1.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Generalidades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57" w:history="1">
            <w:r w:rsidRPr="00C14417">
              <w:rPr>
                <w:rStyle w:val="Hipervnculo"/>
                <w:noProof/>
              </w:rPr>
              <w:t>6.2.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Identificación y análisis de riesgos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58" w:history="1">
            <w:r w:rsidRPr="00C14417">
              <w:rPr>
                <w:rStyle w:val="Hipervnculo"/>
                <w:noProof/>
              </w:rPr>
              <w:t>6.3.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Valoración y tratamiento del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59" w:history="1">
            <w:r w:rsidRPr="00C14417">
              <w:rPr>
                <w:rStyle w:val="Hipervnculo"/>
                <w:noProof/>
              </w:rPr>
              <w:t>6.4.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Seguimiento y revisión del riesgo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2"/>
            <w:tabs>
              <w:tab w:val="left" w:pos="880"/>
              <w:tab w:val="right" w:leader="dot" w:pos="4055"/>
            </w:tabs>
            <w:rPr>
              <w:rFonts w:cstheme="minorBidi"/>
              <w:noProof/>
            </w:rPr>
          </w:pPr>
          <w:hyperlink w:anchor="_Toc43309960" w:history="1">
            <w:r w:rsidRPr="00C14417">
              <w:rPr>
                <w:rStyle w:val="Hipervnculo"/>
                <w:noProof/>
              </w:rPr>
              <w:t>6.5.</w:t>
            </w:r>
            <w:r>
              <w:rPr>
                <w:rFonts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Compromiso del personal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61" w:history="1">
            <w:r w:rsidRPr="00C14417">
              <w:rPr>
                <w:rStyle w:val="Hipervnculo"/>
                <w:noProof/>
              </w:rPr>
              <w:t>7.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Formularios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62" w:history="1">
            <w:r w:rsidRPr="00C14417">
              <w:rPr>
                <w:rStyle w:val="Hipervnculo"/>
                <w:noProof/>
              </w:rPr>
              <w:t>8.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Bibliografía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63029A" w:rsidRDefault="0063029A">
          <w:pPr>
            <w:pStyle w:val="TDC1"/>
            <w:tabs>
              <w:tab w:val="left" w:pos="440"/>
              <w:tab w:val="right" w:leader="dot" w:pos="4055"/>
            </w:tabs>
            <w:rPr>
              <w:rFonts w:asciiTheme="minorHAnsi" w:hAnsiTheme="minorHAnsi" w:cstheme="minorBidi"/>
              <w:noProof/>
            </w:rPr>
          </w:pPr>
          <w:hyperlink w:anchor="_Toc43309963" w:history="1">
            <w:r w:rsidRPr="00C14417">
              <w:rPr>
                <w:rStyle w:val="Hipervnculo"/>
                <w:noProof/>
              </w:rPr>
              <w:t>9.</w:t>
            </w:r>
            <w:r>
              <w:rPr>
                <w:rFonts w:asciiTheme="minorHAnsi" w:hAnsiTheme="minorHAnsi" w:cstheme="minorBidi"/>
                <w:noProof/>
              </w:rPr>
              <w:tab/>
            </w:r>
            <w:r w:rsidRPr="00C14417">
              <w:rPr>
                <w:rStyle w:val="Hipervnculo"/>
                <w:noProof/>
              </w:rPr>
              <w:t>Anexos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_Toc43309963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390DFB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5017D" w:rsidRDefault="006E507D">
          <w:pPr>
            <w:rPr>
              <w:b/>
              <w:bCs/>
              <w:lang w:val="es-ES"/>
            </w:rPr>
          </w:pPr>
          <w:r>
            <w:rPr>
              <w:rFonts w:eastAsiaTheme="minorEastAsia" w:cs="Times New Roman"/>
              <w:lang w:eastAsia="es-CR"/>
            </w:rPr>
            <w:fldChar w:fldCharType="end"/>
          </w:r>
        </w:p>
      </w:sdtContent>
    </w:sdt>
    <w:p w:rsidR="00D31D14" w:rsidRPr="00D62DDA" w:rsidRDefault="00D62DDA" w:rsidP="00D31D14">
      <w:pPr>
        <w:pStyle w:val="Tabladeilustraciones"/>
        <w:tabs>
          <w:tab w:val="right" w:leader="dot" w:pos="8828"/>
        </w:tabs>
        <w:spacing w:line="360" w:lineRule="auto"/>
        <w:rPr>
          <w:b/>
        </w:rPr>
      </w:pPr>
      <w:r w:rsidRPr="00D62DDA">
        <w:rPr>
          <w:rFonts w:eastAsiaTheme="majorEastAsia" w:cstheme="majorBidi"/>
          <w:b/>
          <w:color w:val="2E74B5" w:themeColor="accent1" w:themeShade="BF"/>
          <w:sz w:val="24"/>
          <w:szCs w:val="32"/>
          <w:lang w:val="es-ES" w:eastAsia="es-CR"/>
        </w:rPr>
        <w:t>Tabla de anexos</w:t>
      </w:r>
    </w:p>
    <w:p w:rsidR="00DC158B" w:rsidRDefault="00D31D14">
      <w:pPr>
        <w:pStyle w:val="Tabladeilustraciones"/>
        <w:tabs>
          <w:tab w:val="right" w:leader="dot" w:pos="8828"/>
        </w:tabs>
        <w:rPr>
          <w:rFonts w:asciiTheme="minorHAnsi" w:eastAsiaTheme="minorEastAsia" w:hAnsiTheme="minorHAnsi"/>
          <w:noProof/>
          <w:lang w:eastAsia="es-CR"/>
        </w:rPr>
      </w:pPr>
      <w:r>
        <w:fldChar w:fldCharType="begin"/>
      </w:r>
      <w:r>
        <w:instrText xml:space="preserve"> TOC \h \z \c "Anexo" </w:instrText>
      </w:r>
      <w:r>
        <w:fldChar w:fldCharType="separate"/>
      </w:r>
      <w:hyperlink w:anchor="_Toc37798353" w:history="1">
        <w:r w:rsidR="00DC158B" w:rsidRPr="00416D6A">
          <w:rPr>
            <w:rStyle w:val="Hipervnculo"/>
            <w:noProof/>
          </w:rPr>
          <w:t>Anexo 1. Pictograma PGC-11 P-01 Gestión de riesgos.</w:t>
        </w:r>
        <w:r w:rsidR="00DC158B">
          <w:rPr>
            <w:noProof/>
            <w:webHidden/>
          </w:rPr>
          <w:tab/>
        </w:r>
        <w:r w:rsidR="00DC158B">
          <w:rPr>
            <w:noProof/>
            <w:webHidden/>
          </w:rPr>
          <w:fldChar w:fldCharType="begin"/>
        </w:r>
        <w:r w:rsidR="00DC158B">
          <w:rPr>
            <w:noProof/>
            <w:webHidden/>
          </w:rPr>
          <w:instrText xml:space="preserve"> PAGEREF _Toc37798353 \h </w:instrText>
        </w:r>
        <w:r w:rsidR="00DC158B">
          <w:rPr>
            <w:noProof/>
            <w:webHidden/>
          </w:rPr>
        </w:r>
        <w:r w:rsidR="00DC158B">
          <w:rPr>
            <w:noProof/>
            <w:webHidden/>
          </w:rPr>
          <w:fldChar w:fldCharType="separate"/>
        </w:r>
        <w:r w:rsidR="00DC158B">
          <w:rPr>
            <w:noProof/>
            <w:webHidden/>
          </w:rPr>
          <w:t>7</w:t>
        </w:r>
        <w:r w:rsidR="00DC158B">
          <w:rPr>
            <w:noProof/>
            <w:webHidden/>
          </w:rPr>
          <w:fldChar w:fldCharType="end"/>
        </w:r>
      </w:hyperlink>
    </w:p>
    <w:p w:rsidR="0045017D" w:rsidRDefault="00D31D14" w:rsidP="00945DC8">
      <w:pPr>
        <w:spacing w:line="360" w:lineRule="auto"/>
        <w:jc w:val="left"/>
        <w:rPr>
          <w:rFonts w:eastAsiaTheme="majorEastAsia" w:cstheme="majorBidi"/>
          <w:b/>
          <w:color w:val="2F5496" w:themeColor="accent5" w:themeShade="BF"/>
          <w:szCs w:val="32"/>
        </w:rPr>
      </w:pPr>
      <w:r>
        <w:fldChar w:fldCharType="end"/>
      </w:r>
    </w:p>
    <w:p w:rsidR="0063029A" w:rsidRDefault="0063029A" w:rsidP="0088348D">
      <w:pPr>
        <w:pStyle w:val="Ttulo1"/>
        <w:numPr>
          <w:ilvl w:val="0"/>
          <w:numId w:val="1"/>
        </w:numPr>
        <w:ind w:left="360"/>
        <w:sectPr w:rsidR="0063029A" w:rsidSect="0063029A">
          <w:type w:val="continuous"/>
          <w:pgSz w:w="12240" w:h="15840"/>
          <w:pgMar w:top="1417" w:right="1701" w:bottom="1417" w:left="1701" w:header="708" w:footer="708" w:gutter="0"/>
          <w:cols w:num="2" w:space="708"/>
          <w:docGrid w:linePitch="360"/>
        </w:sectPr>
      </w:pPr>
    </w:p>
    <w:p w:rsidR="004E52C8" w:rsidRDefault="0088348D" w:rsidP="0088348D">
      <w:pPr>
        <w:pStyle w:val="Ttulo1"/>
        <w:numPr>
          <w:ilvl w:val="0"/>
          <w:numId w:val="1"/>
        </w:numPr>
        <w:ind w:left="360"/>
      </w:pPr>
      <w:bookmarkStart w:id="1" w:name="_Toc43309940"/>
      <w:r>
        <w:lastRenderedPageBreak/>
        <w:t>Objeto y alcance</w:t>
      </w:r>
      <w:bookmarkEnd w:id="1"/>
    </w:p>
    <w:p w:rsidR="00565112" w:rsidRDefault="00565112" w:rsidP="00565112">
      <w:r>
        <w:t xml:space="preserve">Establecer </w:t>
      </w:r>
      <w:r w:rsidR="00BE5D23">
        <w:t xml:space="preserve">mecanismos para la </w:t>
      </w:r>
      <w:r>
        <w:t>identificación, valoración y control de riesgos y oportunidades asociadas a la imparcialidad</w:t>
      </w:r>
      <w:r w:rsidR="00BE5D23">
        <w:t xml:space="preserve"> de los servicios calibración, ensayos, inspección, formación académica, certificación de personas, verificación y validación de gases de efecto invernadero,</w:t>
      </w:r>
      <w:r w:rsidR="000E4E2F">
        <w:t xml:space="preserve"> proyectos y asesorías del</w:t>
      </w:r>
      <w:r>
        <w:t xml:space="preserve"> Programa de Estudios en Calidad, Ambiente y Metrologí</w:t>
      </w:r>
      <w:r w:rsidR="000E4E2F">
        <w:t xml:space="preserve">a, </w:t>
      </w:r>
      <w:r w:rsidR="00BE5D23">
        <w:t xml:space="preserve">en adelante </w:t>
      </w:r>
      <w:r w:rsidR="000E4E2F">
        <w:t>el PROCAME.</w:t>
      </w:r>
    </w:p>
    <w:p w:rsidR="000E4E2F" w:rsidRDefault="000E4E2F" w:rsidP="000E4E2F">
      <w:r>
        <w:t>E</w:t>
      </w:r>
      <w:r w:rsidR="000423CD">
        <w:t>s aplicable a todos los procedimientos</w:t>
      </w:r>
      <w:r>
        <w:t xml:space="preserve"> del PROCAME como parte de la prestación de servicios.</w:t>
      </w:r>
    </w:p>
    <w:p w:rsidR="00843420" w:rsidRDefault="00843420" w:rsidP="000E4E2F">
      <w:pPr>
        <w:pStyle w:val="Ttulo1"/>
        <w:numPr>
          <w:ilvl w:val="0"/>
          <w:numId w:val="1"/>
        </w:numPr>
        <w:ind w:left="360"/>
      </w:pPr>
      <w:bookmarkStart w:id="2" w:name="_Toc43309941"/>
      <w:r>
        <w:t>Definiciones</w:t>
      </w:r>
      <w:bookmarkEnd w:id="2"/>
    </w:p>
    <w:p w:rsidR="00F85BD2" w:rsidRDefault="00F85BD2" w:rsidP="00F85BD2">
      <w:pPr>
        <w:pStyle w:val="Ttulo2"/>
        <w:numPr>
          <w:ilvl w:val="1"/>
          <w:numId w:val="1"/>
        </w:numPr>
      </w:pPr>
      <w:bookmarkStart w:id="3" w:name="_Toc43309942"/>
      <w:r>
        <w:t>Contexto externo</w:t>
      </w:r>
      <w:bookmarkEnd w:id="3"/>
    </w:p>
    <w:p w:rsidR="00F85BD2" w:rsidRDefault="00F85BD2" w:rsidP="00F85BD2">
      <w:r>
        <w:t>Entorno externo en el cual la organización busca alcanzar sus objetivos.</w:t>
      </w:r>
    </w:p>
    <w:p w:rsidR="00F85BD2" w:rsidRDefault="00F85BD2" w:rsidP="00F85BD2">
      <w:r>
        <w:t>Nota: puede incluir: el entorno cultural, social, político, legal, reglamentario, financiero, tecnológico, económico, natural y competitivo, ya sea a nivel internacional, nacional, regional o local; los factores claves y las tendencias que impactan sobre los objetivos de la organización y las relaciones con las partes interesadas externas y sus percepciones y valores.</w:t>
      </w:r>
    </w:p>
    <w:p w:rsidR="00F85BD2" w:rsidRDefault="00F85BD2" w:rsidP="00F85BD2">
      <w:pPr>
        <w:pStyle w:val="Ttulo2"/>
        <w:numPr>
          <w:ilvl w:val="1"/>
          <w:numId w:val="1"/>
        </w:numPr>
      </w:pPr>
      <w:bookmarkStart w:id="4" w:name="_Toc43309943"/>
      <w:r>
        <w:t>Contexto interno</w:t>
      </w:r>
      <w:bookmarkEnd w:id="4"/>
    </w:p>
    <w:p w:rsidR="00F85BD2" w:rsidRPr="00522DFD" w:rsidRDefault="00F85BD2" w:rsidP="00F85BD2">
      <w:pPr>
        <w:rPr>
          <w:shd w:val="clear" w:color="auto" w:fill="FFFFFF"/>
        </w:rPr>
      </w:pPr>
      <w:r w:rsidRPr="00522DFD">
        <w:rPr>
          <w:shd w:val="clear" w:color="auto" w:fill="FFFFFF"/>
        </w:rPr>
        <w:t>Entorno interno en el cual la organización busca alcanzar sus objetivos</w:t>
      </w:r>
    </w:p>
    <w:p w:rsidR="00F85BD2" w:rsidRPr="00522DFD" w:rsidRDefault="00F85BD2" w:rsidP="00F85BD2">
      <w:pPr>
        <w:rPr>
          <w:shd w:val="clear" w:color="auto" w:fill="FFFFFF"/>
        </w:rPr>
      </w:pPr>
      <w:r w:rsidRPr="00522DFD">
        <w:rPr>
          <w:shd w:val="clear" w:color="auto" w:fill="FFFFFF"/>
        </w:rPr>
        <w:lastRenderedPageBreak/>
        <w:t>Nota: el contexto interno puede incluir: la gobernanza, la estructura de la organización, los roles y las responsabilidades; las políticas, los objetivos y las estrategias que se establecen</w:t>
      </w:r>
      <w:r w:rsidR="00522DFD" w:rsidRPr="00522DFD">
        <w:rPr>
          <w:shd w:val="clear" w:color="auto" w:fill="FFFFFF"/>
        </w:rPr>
        <w:t xml:space="preserve"> para alcanzar los objetivos;</w:t>
      </w:r>
      <w:r w:rsidRPr="00522DFD">
        <w:rPr>
          <w:shd w:val="clear" w:color="auto" w:fill="FFFFFF"/>
        </w:rPr>
        <w:t xml:space="preserve"> las capacidades, concebidas en términos de recursos y</w:t>
      </w:r>
      <w:r w:rsidR="00522DFD" w:rsidRPr="00522DFD">
        <w:rPr>
          <w:shd w:val="clear" w:color="auto" w:fill="FFFFFF"/>
        </w:rPr>
        <w:t xml:space="preserve"> </w:t>
      </w:r>
      <w:r w:rsidRPr="00522DFD">
        <w:rPr>
          <w:shd w:val="clear" w:color="auto" w:fill="FFFFFF"/>
        </w:rPr>
        <w:t xml:space="preserve">conocimientos (por ejemplo, </w:t>
      </w:r>
      <w:r w:rsidR="000423CD">
        <w:rPr>
          <w:shd w:val="clear" w:color="auto" w:fill="FFFFFF"/>
        </w:rPr>
        <w:t>capital, tiempo, gente, procedimientos</w:t>
      </w:r>
      <w:r w:rsidRPr="00522DFD">
        <w:rPr>
          <w:shd w:val="clear" w:color="auto" w:fill="FFFFFF"/>
        </w:rPr>
        <w:t>,</w:t>
      </w:r>
      <w:r w:rsidR="00522DFD" w:rsidRPr="00522DFD">
        <w:rPr>
          <w:shd w:val="clear" w:color="auto" w:fill="FFFFFF"/>
        </w:rPr>
        <w:t xml:space="preserve"> </w:t>
      </w:r>
      <w:r w:rsidRPr="00522DFD">
        <w:rPr>
          <w:shd w:val="clear" w:color="auto" w:fill="FFFFFF"/>
        </w:rPr>
        <w:t>s</w:t>
      </w:r>
      <w:r w:rsidR="00522DFD" w:rsidRPr="00522DFD">
        <w:rPr>
          <w:shd w:val="clear" w:color="auto" w:fill="FFFFFF"/>
        </w:rPr>
        <w:t>istemas y tecnologías);</w:t>
      </w:r>
      <w:r w:rsidRPr="00522DFD">
        <w:rPr>
          <w:shd w:val="clear" w:color="auto" w:fill="FFFFFF"/>
        </w:rPr>
        <w:t xml:space="preserve"> los sistemas de información, los flujos de informació</w:t>
      </w:r>
      <w:r w:rsidR="00522DFD" w:rsidRPr="00522DFD">
        <w:rPr>
          <w:shd w:val="clear" w:color="auto" w:fill="FFFFFF"/>
        </w:rPr>
        <w:t>n.</w:t>
      </w:r>
    </w:p>
    <w:p w:rsidR="004E31F6" w:rsidRDefault="00565112" w:rsidP="00565112">
      <w:pPr>
        <w:pStyle w:val="Ttulo2"/>
        <w:numPr>
          <w:ilvl w:val="1"/>
          <w:numId w:val="1"/>
        </w:numPr>
      </w:pPr>
      <w:bookmarkStart w:id="5" w:name="_Toc43309944"/>
      <w:r w:rsidRPr="00565112">
        <w:t>Fuente de riesgo</w:t>
      </w:r>
      <w:bookmarkEnd w:id="5"/>
    </w:p>
    <w:p w:rsidR="00E551AD" w:rsidRDefault="00E551AD" w:rsidP="00E551AD">
      <w:pPr>
        <w:rPr>
          <w:shd w:val="clear" w:color="auto" w:fill="FFFFFF"/>
        </w:rPr>
      </w:pPr>
      <w:r>
        <w:rPr>
          <w:shd w:val="clear" w:color="auto" w:fill="FFFFFF"/>
        </w:rPr>
        <w:t>Elemento que solo o combinado, posee potencial intrínseco para originar el riesgo</w:t>
      </w:r>
    </w:p>
    <w:p w:rsidR="00E551AD" w:rsidRPr="00E551AD" w:rsidRDefault="00E551AD" w:rsidP="00E551AD">
      <w:pPr>
        <w:rPr>
          <w:shd w:val="clear" w:color="auto" w:fill="FFFFFF"/>
        </w:rPr>
      </w:pPr>
      <w:r>
        <w:rPr>
          <w:shd w:val="clear" w:color="auto" w:fill="FFFFFF"/>
        </w:rPr>
        <w:t>Nota: una fuente de riesgo puede ser tangible o intangible.</w:t>
      </w:r>
      <w:r w:rsidRPr="00565112">
        <w:t xml:space="preserve"> </w:t>
      </w:r>
    </w:p>
    <w:p w:rsidR="00E551AD" w:rsidRDefault="00E551AD" w:rsidP="00974BA5">
      <w:pPr>
        <w:pStyle w:val="Ttulo2"/>
        <w:numPr>
          <w:ilvl w:val="1"/>
          <w:numId w:val="1"/>
        </w:numPr>
      </w:pPr>
      <w:bookmarkStart w:id="6" w:name="_Toc43309945"/>
      <w:r>
        <w:t>Gestión del riesgo</w:t>
      </w:r>
      <w:bookmarkEnd w:id="6"/>
    </w:p>
    <w:p w:rsidR="00E551AD" w:rsidRPr="00E551AD" w:rsidRDefault="00E551AD" w:rsidP="00E551AD">
      <w:r>
        <w:t>Actividades coordinadas para dirigir y controlar una organización con respecto al riesgo.</w:t>
      </w:r>
    </w:p>
    <w:p w:rsidR="004E31F6" w:rsidRDefault="00565112" w:rsidP="00974BA5">
      <w:pPr>
        <w:pStyle w:val="Ttulo2"/>
        <w:numPr>
          <w:ilvl w:val="1"/>
          <w:numId w:val="1"/>
        </w:numPr>
      </w:pPr>
      <w:bookmarkStart w:id="7" w:name="_Toc43309946"/>
      <w:r w:rsidRPr="00565112">
        <w:t>Imparcialidad</w:t>
      </w:r>
      <w:bookmarkEnd w:id="7"/>
    </w:p>
    <w:p w:rsidR="004E31F6" w:rsidRDefault="000E4E2F" w:rsidP="004E31F6">
      <w:r>
        <w:t>P</w:t>
      </w:r>
      <w:r w:rsidR="00974BA5">
        <w:t xml:space="preserve">resencia </w:t>
      </w:r>
      <w:r w:rsidR="00E75745" w:rsidRPr="00E75745">
        <w:t>de objetividad</w:t>
      </w:r>
      <w:r w:rsidR="00974BA5">
        <w:t>.</w:t>
      </w:r>
    </w:p>
    <w:p w:rsidR="00974BA5" w:rsidRDefault="00974BA5" w:rsidP="004E31F6">
      <w:r>
        <w:t>Nota: o</w:t>
      </w:r>
      <w:r w:rsidRPr="00974BA5">
        <w:t>bjetividad significa que no existen conflictos de intereses o que son resueltos de manera que no influyan negativamente en las posteriores actividades del organismo de certificación.</w:t>
      </w:r>
    </w:p>
    <w:p w:rsidR="00812F56" w:rsidRDefault="00E75745" w:rsidP="00E75745">
      <w:pPr>
        <w:pStyle w:val="Ttulo2"/>
        <w:numPr>
          <w:ilvl w:val="1"/>
          <w:numId w:val="1"/>
        </w:numPr>
      </w:pPr>
      <w:bookmarkStart w:id="8" w:name="_Toc43309947"/>
      <w:r w:rsidRPr="00E75745">
        <w:t>Riesgo</w:t>
      </w:r>
      <w:bookmarkEnd w:id="8"/>
    </w:p>
    <w:p w:rsidR="007D2458" w:rsidRDefault="00E551AD" w:rsidP="000E4E2F">
      <w:r>
        <w:t>E</w:t>
      </w:r>
      <w:r w:rsidR="00E75745">
        <w:t>fe</w:t>
      </w:r>
      <w:r>
        <w:t>cto de la incertidumbre sobre el logro de los</w:t>
      </w:r>
      <w:r w:rsidR="00E75745">
        <w:t xml:space="preserve"> objetivos</w:t>
      </w:r>
      <w:r>
        <w:t>.</w:t>
      </w:r>
    </w:p>
    <w:p w:rsidR="00E551AD" w:rsidRDefault="00E551AD" w:rsidP="00E551AD">
      <w:r>
        <w:t>Nota 1: u</w:t>
      </w:r>
      <w:r w:rsidRPr="00E551AD">
        <w:t>n efecto es un desvío respecto a lo previsto, ya sea</w:t>
      </w:r>
      <w:r>
        <w:t xml:space="preserve"> positivo y/o negativo.</w:t>
      </w:r>
    </w:p>
    <w:p w:rsidR="00E551AD" w:rsidRPr="00E551AD" w:rsidRDefault="00E551AD" w:rsidP="00E551AD">
      <w:r>
        <w:t>Nota 2: l</w:t>
      </w:r>
      <w:r w:rsidRPr="00E551AD">
        <w:t>a incertidumbre es el estado, incluso parcial, de</w:t>
      </w:r>
      <w:r>
        <w:t xml:space="preserve"> deficiencia de información</w:t>
      </w:r>
      <w:r w:rsidRPr="00E551AD">
        <w:t>, entendimiento o conocimiento de</w:t>
      </w:r>
      <w:r>
        <w:t xml:space="preserve"> </w:t>
      </w:r>
      <w:r w:rsidRPr="00E551AD">
        <w:t>un evento, su consecuencia o su probabilidad.</w:t>
      </w:r>
    </w:p>
    <w:p w:rsidR="00E551AD" w:rsidRDefault="00E551AD" w:rsidP="00E551AD">
      <w:pPr>
        <w:pStyle w:val="Ttulo2"/>
        <w:numPr>
          <w:ilvl w:val="1"/>
          <w:numId w:val="1"/>
        </w:numPr>
      </w:pPr>
      <w:bookmarkStart w:id="9" w:name="_Toc43309948"/>
      <w:r>
        <w:t>Marco de gestión del riesgo</w:t>
      </w:r>
      <w:bookmarkEnd w:id="9"/>
    </w:p>
    <w:p w:rsidR="00E75745" w:rsidRPr="00E75745" w:rsidRDefault="00E551AD" w:rsidP="000E4E2F">
      <w:r>
        <w:t>C</w:t>
      </w:r>
      <w:r w:rsidR="00E75745" w:rsidRPr="00E75745">
        <w:t>onjunto de elementos que proporcionan los fundamentos y los acuerdos de una organización para el diseño, la implementación, el seguimiento, la revisión y la mejora continua de la gestión del riesgo en toda la organización.</w:t>
      </w:r>
    </w:p>
    <w:p w:rsidR="00E551AD" w:rsidRDefault="00E75745" w:rsidP="00E551AD">
      <w:pPr>
        <w:pStyle w:val="Ttulo2"/>
        <w:numPr>
          <w:ilvl w:val="1"/>
          <w:numId w:val="1"/>
        </w:numPr>
      </w:pPr>
      <w:bookmarkStart w:id="10" w:name="_Toc43309949"/>
      <w:r w:rsidRPr="00E551AD">
        <w:t>Valoración del riesgo</w:t>
      </w:r>
      <w:bookmarkEnd w:id="10"/>
    </w:p>
    <w:p w:rsidR="00E551AD" w:rsidRDefault="000423CD" w:rsidP="00E551AD">
      <w:pPr>
        <w:rPr>
          <w:shd w:val="clear" w:color="auto" w:fill="FFFFFF"/>
        </w:rPr>
      </w:pPr>
      <w:r>
        <w:rPr>
          <w:shd w:val="clear" w:color="auto" w:fill="FFFFFF"/>
        </w:rPr>
        <w:t>Procedimiento</w:t>
      </w:r>
      <w:r w:rsidR="00E551AD">
        <w:rPr>
          <w:shd w:val="clear" w:color="auto" w:fill="FFFFFF"/>
        </w:rPr>
        <w:t xml:space="preserve"> que consiste en comparar los resultados del análisis del riesgo con los criterios de riesgo con el fin de determinar si el riesgo y/o su magnitud son aceptables o tolerables.</w:t>
      </w:r>
    </w:p>
    <w:p w:rsidR="00E75745" w:rsidRPr="00E75745" w:rsidRDefault="00E551AD" w:rsidP="00E551AD">
      <w:r>
        <w:rPr>
          <w:shd w:val="clear" w:color="auto" w:fill="FFFFFF"/>
        </w:rPr>
        <w:t>Nota: la valoración del riesgo contribuye al momento de decidir acerca del tratamiento del riesgo</w:t>
      </w:r>
      <w:r w:rsidR="00E75745" w:rsidRPr="00E75745">
        <w:t>.</w:t>
      </w:r>
    </w:p>
    <w:p w:rsidR="00E551AD" w:rsidRDefault="00E551AD" w:rsidP="00E551AD">
      <w:pPr>
        <w:pStyle w:val="Ttulo2"/>
        <w:numPr>
          <w:ilvl w:val="1"/>
          <w:numId w:val="1"/>
        </w:numPr>
      </w:pPr>
      <w:bookmarkStart w:id="11" w:name="_Toc43309950"/>
      <w:r>
        <w:t>Perfil del riesgo</w:t>
      </w:r>
      <w:bookmarkEnd w:id="11"/>
    </w:p>
    <w:p w:rsidR="00E75745" w:rsidRDefault="00F85BD2" w:rsidP="00F85BD2">
      <w:r>
        <w:t>Descripción de cualquier conjunto de riesgos.</w:t>
      </w:r>
    </w:p>
    <w:p w:rsidR="00F85BD2" w:rsidRPr="00E75745" w:rsidRDefault="00F85BD2" w:rsidP="00F85BD2">
      <w:r>
        <w:t>Nota: e</w:t>
      </w:r>
      <w:r w:rsidRPr="00F85BD2">
        <w:t>l conjunto de riesgos puede incluir aquellos riesgos</w:t>
      </w:r>
      <w:r>
        <w:t xml:space="preserve"> </w:t>
      </w:r>
      <w:r w:rsidRPr="00F85BD2">
        <w:t xml:space="preserve">relacionados con toda la organización, o con una </w:t>
      </w:r>
      <w:r>
        <w:t xml:space="preserve">parte de ella </w:t>
      </w:r>
      <w:r w:rsidRPr="00F85BD2">
        <w:t>o</w:t>
      </w:r>
      <w:r>
        <w:t xml:space="preserve"> </w:t>
      </w:r>
      <w:r w:rsidRPr="00F85BD2">
        <w:t>como se lo haya definido.</w:t>
      </w:r>
    </w:p>
    <w:p w:rsidR="00E551AD" w:rsidRDefault="00E75745" w:rsidP="00E551AD">
      <w:pPr>
        <w:pStyle w:val="Ttulo2"/>
        <w:numPr>
          <w:ilvl w:val="1"/>
          <w:numId w:val="1"/>
        </w:numPr>
      </w:pPr>
      <w:bookmarkStart w:id="12" w:name="_Toc43309951"/>
      <w:r w:rsidRPr="00E551AD">
        <w:lastRenderedPageBreak/>
        <w:t>Tratamiento del rie</w:t>
      </w:r>
      <w:r w:rsidR="00E551AD">
        <w:t>sgo</w:t>
      </w:r>
      <w:bookmarkEnd w:id="12"/>
    </w:p>
    <w:p w:rsidR="00E75745" w:rsidRDefault="000423CD" w:rsidP="004E31F6">
      <w:r>
        <w:t>Procedimiento</w:t>
      </w:r>
      <w:r w:rsidR="00E551AD">
        <w:t xml:space="preserve"> para modificar el riesgo</w:t>
      </w:r>
      <w:r w:rsidR="00F85BD2">
        <w:t>.</w:t>
      </w:r>
    </w:p>
    <w:p w:rsidR="00E75745" w:rsidRDefault="00F85BD2" w:rsidP="004E31F6">
      <w:r>
        <w:t>Nota: el tratamiento del riesgo puede implicar: evitar el riesgo al decidir no comenzar o no continuar con la actividad que da origen al riesgo; aceptar el riesgo o aumentarlo en búsqueda de una oportunidad; eliminar la fuente de riesgo; modificar la probabilidad; modificar las consecuencias; compartir el riesgo con otra parte o partes (lo que incluye contratos y el financiamiento del riesgo); y retener el riesgo mediante una decisión.</w:t>
      </w:r>
    </w:p>
    <w:p w:rsidR="00843420" w:rsidRDefault="002866AD" w:rsidP="00843420">
      <w:pPr>
        <w:pStyle w:val="Ttulo1"/>
        <w:numPr>
          <w:ilvl w:val="0"/>
          <w:numId w:val="1"/>
        </w:numPr>
        <w:ind w:left="360"/>
      </w:pPr>
      <w:bookmarkStart w:id="13" w:name="_Toc43309952"/>
      <w:r>
        <w:t>Personal</w:t>
      </w:r>
      <w:r w:rsidR="00843420">
        <w:t xml:space="preserve"> de</w:t>
      </w:r>
      <w:r>
        <w:t>l</w:t>
      </w:r>
      <w:r w:rsidR="00843420">
        <w:t xml:space="preserve"> proce</w:t>
      </w:r>
      <w:r w:rsidR="000423CD">
        <w:t>dimiento</w:t>
      </w:r>
      <w:bookmarkEnd w:id="13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2548"/>
        <w:gridCol w:w="6280"/>
      </w:tblGrid>
      <w:tr w:rsidR="002866AD" w:rsidTr="00D547B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866AD" w:rsidRDefault="002866AD" w:rsidP="002866AD">
            <w:r>
              <w:t>Puesto</w:t>
            </w:r>
          </w:p>
        </w:tc>
        <w:tc>
          <w:tcPr>
            <w:tcW w:w="3557" w:type="pct"/>
          </w:tcPr>
          <w:p w:rsidR="002866AD" w:rsidRDefault="002866AD" w:rsidP="002866AD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Responsabilidades</w:t>
            </w: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2F1D59" w:rsidP="002866AD">
            <w:r>
              <w:t>Persona Coordinadora</w:t>
            </w:r>
          </w:p>
        </w:tc>
        <w:tc>
          <w:tcPr>
            <w:tcW w:w="3557" w:type="pct"/>
          </w:tcPr>
          <w:p w:rsidR="002F1D59" w:rsidRDefault="002F1D59" w:rsidP="00060A0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Velar por el cumplimiento de</w:t>
            </w:r>
            <w:r w:rsidRPr="00516ADC">
              <w:t xml:space="preserve"> lo establecido en el presente procedimiento.</w:t>
            </w:r>
          </w:p>
          <w:p w:rsidR="00E75745" w:rsidRDefault="00F85BD2" w:rsidP="00F85BD2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Aprobar </w:t>
            </w:r>
            <w:r w:rsidR="00E75745">
              <w:t>la matriz de riesgos</w:t>
            </w:r>
            <w:r>
              <w:t xml:space="preserve"> verificando la inclusión de todos los puestos </w:t>
            </w:r>
            <w:r w:rsidR="00522DFD">
              <w:t xml:space="preserve">del personal. </w:t>
            </w:r>
          </w:p>
          <w:p w:rsidR="00060A0C" w:rsidRDefault="00E75745" w:rsidP="00522DFD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Establecer las actividades necesarias para la definición del contexto interno y externo</w:t>
            </w:r>
            <w:r w:rsidR="00522DFD">
              <w:t>.</w:t>
            </w:r>
          </w:p>
        </w:tc>
      </w:tr>
      <w:tr w:rsidR="00516ADC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516ADC" w:rsidRDefault="00060A0C" w:rsidP="002866AD">
            <w:r>
              <w:t>Persona Responsable del SIG</w:t>
            </w:r>
          </w:p>
        </w:tc>
        <w:tc>
          <w:tcPr>
            <w:tcW w:w="3557" w:type="pct"/>
          </w:tcPr>
          <w:p w:rsidR="00487789" w:rsidRDefault="00487789" w:rsidP="00060A0C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Supervisar y controlar el cumplimiento de</w:t>
            </w:r>
            <w:r w:rsidRPr="00516ADC">
              <w:t xml:space="preserve"> lo establecido en el presente procedimiento.</w:t>
            </w:r>
          </w:p>
          <w:p w:rsidR="00E75745" w:rsidRDefault="00E75745" w:rsidP="00522DFD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Coordinar las actividades de identificación, análisis, valoración y tratamiento del riesgo</w:t>
            </w:r>
          </w:p>
          <w:p w:rsidR="00516ADC" w:rsidRPr="00516ADC" w:rsidRDefault="00E75745" w:rsidP="00522DFD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Asegurar la eficacia de los planes de tratamiento de riesgo.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Técnica</w:t>
            </w:r>
          </w:p>
        </w:tc>
        <w:tc>
          <w:tcPr>
            <w:tcW w:w="3557" w:type="pct"/>
            <w:vMerge w:val="restart"/>
          </w:tcPr>
          <w:p w:rsidR="00522DFD" w:rsidRDefault="009A0951" w:rsidP="00522DFD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Velar por el cumplimiento de lo establecido en el presente procedimiento en el área bajo su responsabilidad. </w:t>
            </w:r>
          </w:p>
          <w:p w:rsidR="009A0951" w:rsidRPr="00516ADC" w:rsidRDefault="00522DFD" w:rsidP="00522DFD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Identificar, analizar, valorar y tratar los riesgos relacionados al área bajo su responsabilidad.</w:t>
            </w: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Inspección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Formación Académica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A0951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9A0951" w:rsidRDefault="009A0951" w:rsidP="002866AD">
            <w:r>
              <w:t>Persona Responsable de Proyectos y Asesorías</w:t>
            </w:r>
          </w:p>
        </w:tc>
        <w:tc>
          <w:tcPr>
            <w:tcW w:w="3557" w:type="pct"/>
            <w:vMerge/>
          </w:tcPr>
          <w:p w:rsidR="009A0951" w:rsidRPr="00516ADC" w:rsidRDefault="009A0951" w:rsidP="002866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2F1D59" w:rsidTr="00560CD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3" w:type="pct"/>
          </w:tcPr>
          <w:p w:rsidR="002F1D59" w:rsidRDefault="00560CD1" w:rsidP="002866AD">
            <w:r>
              <w:t>Todo el personal</w:t>
            </w:r>
          </w:p>
        </w:tc>
        <w:tc>
          <w:tcPr>
            <w:tcW w:w="3557" w:type="pct"/>
          </w:tcPr>
          <w:p w:rsidR="002F1D59" w:rsidRPr="00516ADC" w:rsidRDefault="00522DFD" w:rsidP="00522DFD">
            <w:pPr>
              <w:pStyle w:val="Prrafodelista"/>
              <w:numPr>
                <w:ilvl w:val="0"/>
                <w:numId w:val="5"/>
              </w:numPr>
              <w:ind w:left="36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Cumplir con las acciones de gestión del riesgo que se le sean asignadas.</w:t>
            </w:r>
          </w:p>
        </w:tc>
      </w:tr>
    </w:tbl>
    <w:p w:rsidR="00843420" w:rsidRDefault="00843420" w:rsidP="00843420">
      <w:pPr>
        <w:pStyle w:val="Ttulo1"/>
        <w:numPr>
          <w:ilvl w:val="0"/>
          <w:numId w:val="1"/>
        </w:numPr>
        <w:ind w:left="360"/>
      </w:pPr>
      <w:bookmarkStart w:id="14" w:name="_Toc43309953"/>
      <w:r>
        <w:t>Documentación relacionada</w:t>
      </w:r>
      <w:bookmarkEnd w:id="14"/>
    </w:p>
    <w:p w:rsidR="00E75745" w:rsidRPr="0063029A" w:rsidRDefault="00E75745" w:rsidP="0063029A">
      <w:pPr>
        <w:pStyle w:val="Prrafodelista"/>
        <w:numPr>
          <w:ilvl w:val="0"/>
          <w:numId w:val="7"/>
        </w:numPr>
        <w:jc w:val="left"/>
      </w:pPr>
      <w:r w:rsidRPr="0063029A">
        <w:t>MC-01 Manual de</w:t>
      </w:r>
      <w:r w:rsidR="00522DFD" w:rsidRPr="0063029A">
        <w:t xml:space="preserve"> calidad</w:t>
      </w:r>
    </w:p>
    <w:p w:rsidR="006523EE" w:rsidRPr="0063029A" w:rsidRDefault="00522DFD" w:rsidP="0063029A">
      <w:pPr>
        <w:pStyle w:val="Prrafodelista"/>
        <w:numPr>
          <w:ilvl w:val="0"/>
          <w:numId w:val="7"/>
        </w:numPr>
        <w:jc w:val="left"/>
      </w:pPr>
      <w:r w:rsidRPr="0063029A">
        <w:t>PT-01 Personal</w:t>
      </w:r>
    </w:p>
    <w:p w:rsidR="006F27C7" w:rsidRDefault="006F27C7" w:rsidP="004E4CB1">
      <w:pPr>
        <w:pStyle w:val="Ttulo1"/>
        <w:numPr>
          <w:ilvl w:val="0"/>
          <w:numId w:val="1"/>
        </w:numPr>
        <w:ind w:left="360"/>
      </w:pPr>
      <w:bookmarkStart w:id="15" w:name="_Toc43309954"/>
      <w:r>
        <w:t>Módulo relacionado</w:t>
      </w:r>
      <w:bookmarkEnd w:id="15"/>
    </w:p>
    <w:p w:rsidR="006F27C7" w:rsidRPr="006F27C7" w:rsidRDefault="00522DFD" w:rsidP="006F27C7">
      <w:pPr>
        <w:pStyle w:val="Prrafodelista"/>
        <w:numPr>
          <w:ilvl w:val="0"/>
          <w:numId w:val="7"/>
        </w:numPr>
      </w:pPr>
      <w:r>
        <w:t>Cortez amarillo</w:t>
      </w:r>
    </w:p>
    <w:p w:rsidR="004E4CB1" w:rsidRPr="004E4CB1" w:rsidRDefault="00D16BDB" w:rsidP="004E4CB1">
      <w:pPr>
        <w:pStyle w:val="Ttulo1"/>
        <w:numPr>
          <w:ilvl w:val="0"/>
          <w:numId w:val="1"/>
        </w:numPr>
        <w:ind w:left="360"/>
      </w:pPr>
      <w:bookmarkStart w:id="16" w:name="_Toc43309955"/>
      <w:r>
        <w:lastRenderedPageBreak/>
        <w:t>Proce</w:t>
      </w:r>
      <w:r w:rsidR="000423CD">
        <w:t>dimiento</w:t>
      </w:r>
      <w:bookmarkEnd w:id="16"/>
    </w:p>
    <w:tbl>
      <w:tblPr>
        <w:tblStyle w:val="Tabladecuadrcula1clara-nfasis5"/>
        <w:tblW w:w="5000" w:type="pct"/>
        <w:tblLook w:val="04A0" w:firstRow="1" w:lastRow="0" w:firstColumn="1" w:lastColumn="0" w:noHBand="0" w:noVBand="1"/>
      </w:tblPr>
      <w:tblGrid>
        <w:gridCol w:w="6374"/>
        <w:gridCol w:w="2454"/>
      </w:tblGrid>
      <w:tr w:rsidR="00B0609A" w:rsidTr="004D0DF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Default="00B0609A" w:rsidP="007B5CFE">
            <w:r>
              <w:t>Actividad</w:t>
            </w:r>
          </w:p>
        </w:tc>
        <w:tc>
          <w:tcPr>
            <w:tcW w:w="1390" w:type="pct"/>
          </w:tcPr>
          <w:p w:rsidR="00B0609A" w:rsidRDefault="00B0609A" w:rsidP="007B5CF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Responsable</w:t>
            </w: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0609A" w:rsidRPr="00580A2A" w:rsidRDefault="00E75745" w:rsidP="003B5470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7" w:name="_Toc43309956"/>
            <w:r>
              <w:t>Generalidades</w:t>
            </w:r>
            <w:bookmarkEnd w:id="17"/>
          </w:p>
        </w:tc>
        <w:tc>
          <w:tcPr>
            <w:tcW w:w="1390" w:type="pct"/>
          </w:tcPr>
          <w:p w:rsidR="00B0609A" w:rsidRPr="00580A2A" w:rsidRDefault="00B0609A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0609A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2F5489" w:rsidRPr="004D0DF4" w:rsidRDefault="002F5489" w:rsidP="002F5489">
            <w:r>
              <w:t xml:space="preserve">La persona Coordinadora asegura que todo el </w:t>
            </w:r>
            <w:r w:rsidR="00E75745" w:rsidRPr="00E75745">
              <w:t xml:space="preserve">personal </w:t>
            </w:r>
            <w:r>
              <w:t>está</w:t>
            </w:r>
            <w:r w:rsidR="00E75745" w:rsidRPr="00E75745">
              <w:t xml:space="preserve"> libre de cualquier presión o influencia indebida de origen externo o interno, o a nivel comercial, financiera o de otro tipo, que pueda perjudicar la calidad y validez de los resultados de los</w:t>
            </w:r>
            <w:r>
              <w:t xml:space="preserve"> servicios de calibración, ensayos, inspección, formación académica, certificación de personas, verificación y validación de gases de efecto invernadero, proyectos y asesorías. </w:t>
            </w:r>
          </w:p>
        </w:tc>
        <w:tc>
          <w:tcPr>
            <w:tcW w:w="1390" w:type="pct"/>
          </w:tcPr>
          <w:p w:rsidR="00B0609A" w:rsidRPr="00516ADC" w:rsidRDefault="002F5489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2F5489" w:rsidRPr="002F5489" w:rsidRDefault="00F37BD0" w:rsidP="002F5489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18" w:name="_Toc43309957"/>
            <w:r>
              <w:t>Identificación</w:t>
            </w:r>
            <w:r w:rsidR="00A13DFA">
              <w:t xml:space="preserve"> y análisis</w:t>
            </w:r>
            <w:r>
              <w:t xml:space="preserve"> de riesgos</w:t>
            </w:r>
            <w:bookmarkEnd w:id="18"/>
          </w:p>
        </w:tc>
        <w:tc>
          <w:tcPr>
            <w:tcW w:w="1390" w:type="pct"/>
          </w:tcPr>
          <w:p w:rsidR="00F84A58" w:rsidRPr="00FD1276" w:rsidRDefault="00F84A58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84A58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F37BD0" w:rsidRPr="0063029A" w:rsidRDefault="00F37BD0" w:rsidP="00F37BD0">
            <w:r w:rsidRPr="0063029A">
              <w:t xml:space="preserve">La persona Responsable del SIG junto con las personas Responsables de cada área identifican </w:t>
            </w:r>
            <w:r w:rsidR="00A13DFA" w:rsidRPr="0063029A">
              <w:t xml:space="preserve">y analizan </w:t>
            </w:r>
            <w:r w:rsidRPr="0063029A">
              <w:t xml:space="preserve">los riesgos asociados a cada servicio, mediante el formulario </w:t>
            </w:r>
            <w:r w:rsidRPr="0063029A">
              <w:rPr>
                <w:i/>
              </w:rPr>
              <w:t>PGC-11 R-01 Matriz de riesgos</w:t>
            </w:r>
            <w:r w:rsidRPr="0063029A">
              <w:t>.</w:t>
            </w:r>
            <w:r w:rsidR="00A13DFA" w:rsidRPr="0063029A">
              <w:t xml:space="preserve"> Lo anterior </w:t>
            </w:r>
            <w:r w:rsidR="00B80207" w:rsidRPr="0063029A">
              <w:t xml:space="preserve">debe considerar </w:t>
            </w:r>
            <w:r w:rsidRPr="0063029A">
              <w:t xml:space="preserve">las fuentes de riesgos, </w:t>
            </w:r>
            <w:r w:rsidR="00B80207" w:rsidRPr="0063029A">
              <w:t>sus causas y sus</w:t>
            </w:r>
            <w:r w:rsidRPr="0063029A">
              <w:t xml:space="preserve"> consecuencias </w:t>
            </w:r>
            <w:r w:rsidR="00B80207" w:rsidRPr="0063029A">
              <w:t>potenciales,</w:t>
            </w:r>
            <w:r w:rsidR="00A13DFA" w:rsidRPr="0063029A">
              <w:t xml:space="preserve"> para cada uno de los escenarios planteados </w:t>
            </w:r>
            <w:r w:rsidR="00B80207" w:rsidRPr="0063029A">
              <w:t>a continuación: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>Con la organización mayor a la que pertenece.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 xml:space="preserve">Con miembros de juntas directivas y/o accionistas 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>Con los accionistas de la organización.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 xml:space="preserve">Entre los diferentes departamentos de una misma organización. 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>Con organismos relacionados.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 xml:space="preserve">Con reguladores o dueños de esquemas. 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 xml:space="preserve">Con sus </w:t>
            </w:r>
            <w:r w:rsidR="0026414C" w:rsidRPr="0063029A">
              <w:t xml:space="preserve">personas </w:t>
            </w:r>
            <w:r w:rsidRPr="0063029A">
              <w:t>clientes según el</w:t>
            </w:r>
            <w:r w:rsidR="00D502A6" w:rsidRPr="0063029A">
              <w:t xml:space="preserve"> </w:t>
            </w:r>
            <w:r w:rsidR="00D502A6" w:rsidRPr="0063029A">
              <w:rPr>
                <w:i/>
              </w:rPr>
              <w:t xml:space="preserve">PGC-02 Revisión de solicitud, ofertas y contratos </w:t>
            </w:r>
            <w:r w:rsidR="00D502A6" w:rsidRPr="0063029A">
              <w:t>y el</w:t>
            </w:r>
            <w:r w:rsidRPr="0063029A">
              <w:t xml:space="preserve"> </w:t>
            </w:r>
            <w:r w:rsidRPr="0063029A">
              <w:rPr>
                <w:i/>
              </w:rPr>
              <w:t>PGC-04 Servicio al cliente.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 xml:space="preserve">Con sus proveedores según el </w:t>
            </w:r>
            <w:r w:rsidRPr="0063029A">
              <w:rPr>
                <w:i/>
              </w:rPr>
              <w:t>PGC-03 Compras y subcontrataciones.</w:t>
            </w:r>
          </w:p>
          <w:p w:rsidR="00B80207" w:rsidRPr="0063029A" w:rsidRDefault="00B80207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>Con organizaciones de diseño, manufactura, suministro, instalación, adquisición, posesión, uso o mantenimiento de los ítems a ensayar, ca</w:t>
            </w:r>
            <w:r w:rsidR="00D502A6" w:rsidRPr="0063029A">
              <w:t xml:space="preserve">librar o muestrear según el </w:t>
            </w:r>
            <w:r w:rsidR="00D502A6" w:rsidRPr="0063029A">
              <w:rPr>
                <w:i/>
              </w:rPr>
              <w:t>PGC-03 Compras y subcontrataciones.</w:t>
            </w:r>
          </w:p>
          <w:p w:rsidR="00B80207" w:rsidRPr="0063029A" w:rsidRDefault="00D502A6" w:rsidP="00D502A6">
            <w:pPr>
              <w:pStyle w:val="Prrafodelista"/>
              <w:numPr>
                <w:ilvl w:val="0"/>
                <w:numId w:val="7"/>
              </w:numPr>
            </w:pPr>
            <w:r w:rsidRPr="0063029A">
              <w:t xml:space="preserve">Del personal según </w:t>
            </w:r>
            <w:r w:rsidR="00B80207" w:rsidRPr="0063029A">
              <w:t xml:space="preserve">el </w:t>
            </w:r>
            <w:r w:rsidR="00B80207" w:rsidRPr="0063029A">
              <w:rPr>
                <w:i/>
              </w:rPr>
              <w:t>PT-01 Personal</w:t>
            </w:r>
            <w:r w:rsidR="00B80207" w:rsidRPr="0063029A">
              <w:t>.</w:t>
            </w:r>
          </w:p>
          <w:p w:rsidR="00A13DFA" w:rsidRPr="0063029A" w:rsidRDefault="00D502A6" w:rsidP="00A13DFA">
            <w:pPr>
              <w:pStyle w:val="Prrafodelista"/>
              <w:numPr>
                <w:ilvl w:val="0"/>
                <w:numId w:val="7"/>
              </w:numPr>
            </w:pPr>
            <w:r w:rsidRPr="0063029A">
              <w:t xml:space="preserve">De las actividades de </w:t>
            </w:r>
            <w:r w:rsidR="00B80207" w:rsidRPr="0063029A">
              <w:t xml:space="preserve">certificación de personas según el </w:t>
            </w:r>
            <w:r w:rsidR="00B80207" w:rsidRPr="0063029A">
              <w:rPr>
                <w:i/>
              </w:rPr>
              <w:t>PGC-06 Certificaci</w:t>
            </w:r>
            <w:r w:rsidRPr="0063029A">
              <w:rPr>
                <w:i/>
              </w:rPr>
              <w:t>ón de personas.</w:t>
            </w:r>
          </w:p>
        </w:tc>
        <w:tc>
          <w:tcPr>
            <w:tcW w:w="1390" w:type="pct"/>
          </w:tcPr>
          <w:p w:rsidR="00F84A58" w:rsidRDefault="00F37BD0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  <w:p w:rsidR="00F37BD0" w:rsidRPr="00FD1276" w:rsidRDefault="00F37BD0" w:rsidP="007B5C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Persona Responsable de cada área. </w:t>
            </w: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B14D0" w:rsidRPr="00873B9D" w:rsidRDefault="00A13DFA" w:rsidP="00A424D1">
            <w:pPr>
              <w:pStyle w:val="Ttulo2"/>
              <w:numPr>
                <w:ilvl w:val="1"/>
                <w:numId w:val="1"/>
              </w:numPr>
              <w:outlineLvl w:val="1"/>
            </w:pPr>
            <w:r>
              <w:t xml:space="preserve"> </w:t>
            </w:r>
            <w:bookmarkStart w:id="19" w:name="_Toc43309958"/>
            <w:r>
              <w:t>Valoración</w:t>
            </w:r>
            <w:r w:rsidR="00C94F01">
              <w:t xml:space="preserve"> y tratamiento</w:t>
            </w:r>
            <w:r>
              <w:t xml:space="preserve"> d</w:t>
            </w:r>
            <w:r w:rsidR="00D502A6">
              <w:t>el riesgo</w:t>
            </w:r>
            <w:bookmarkEnd w:id="19"/>
          </w:p>
        </w:tc>
        <w:tc>
          <w:tcPr>
            <w:tcW w:w="1390" w:type="pct"/>
          </w:tcPr>
          <w:p w:rsidR="00BB14D0" w:rsidRPr="00FD1276" w:rsidRDefault="00BB14D0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B14D0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C94F01" w:rsidRPr="009B4D4D" w:rsidRDefault="00A13DFA" w:rsidP="009B4D4D">
            <w:r>
              <w:t xml:space="preserve">La persona Responsable del SIG junto con las personas Responsables de cada área, realizan la valoración del riesgo mediante el </w:t>
            </w:r>
            <w:r w:rsidRPr="00F37BD0">
              <w:rPr>
                <w:i/>
              </w:rPr>
              <w:t>PGC-11 R-01 Matriz de riesgos</w:t>
            </w:r>
            <w:r>
              <w:rPr>
                <w:i/>
              </w:rPr>
              <w:t>.</w:t>
            </w:r>
            <w:r>
              <w:t xml:space="preserve"> En este se determina el nivel del riesgo a partir </w:t>
            </w:r>
            <w:r>
              <w:lastRenderedPageBreak/>
              <w:t>de su probabilidad de ocur</w:t>
            </w:r>
            <w:r w:rsidR="00A075DF">
              <w:t>rencia y el impacto del riesgo con el fin de determinar si su magnitud es aceptable o tolerable.</w:t>
            </w:r>
          </w:p>
        </w:tc>
        <w:tc>
          <w:tcPr>
            <w:tcW w:w="1390" w:type="pct"/>
          </w:tcPr>
          <w:p w:rsidR="009B4D4D" w:rsidRDefault="009B4D4D" w:rsidP="009B4D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Responsable del SIG</w:t>
            </w:r>
          </w:p>
          <w:p w:rsidR="00BB14D0" w:rsidRPr="00FD1276" w:rsidRDefault="009B4D4D" w:rsidP="009B4D4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lastRenderedPageBreak/>
              <w:t>Persona Responsable de cada área.</w:t>
            </w:r>
          </w:p>
        </w:tc>
      </w:tr>
      <w:tr w:rsidR="009B4D4D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9B4D4D" w:rsidRDefault="009B4D4D" w:rsidP="009B4D4D">
            <w:r>
              <w:lastRenderedPageBreak/>
              <w:t xml:space="preserve">De acuerdo al resultado de la valoración la persona Responsable del SIG establece alguna de las siguientes acciones de tratamiento: </w:t>
            </w:r>
          </w:p>
          <w:p w:rsidR="009B4D4D" w:rsidRPr="00C94F01" w:rsidRDefault="009B4D4D" w:rsidP="009B4D4D">
            <w:pPr>
              <w:pStyle w:val="Prrafodelista"/>
              <w:numPr>
                <w:ilvl w:val="0"/>
                <w:numId w:val="32"/>
              </w:numPr>
            </w:pPr>
            <w:r w:rsidRPr="00C94F01">
              <w:t xml:space="preserve">Eliminar: se elimina la amenaza que representa un riesgo adverso con el fin de proteger la integralidad de los servicios. </w:t>
            </w:r>
          </w:p>
          <w:p w:rsidR="009B4D4D" w:rsidRPr="00C94F01" w:rsidRDefault="009B4D4D" w:rsidP="009B4D4D">
            <w:pPr>
              <w:pStyle w:val="Prrafodelista"/>
              <w:numPr>
                <w:ilvl w:val="0"/>
                <w:numId w:val="32"/>
              </w:numPr>
            </w:pPr>
            <w:r w:rsidRPr="00C94F01">
              <w:t>Transferir: se traslada el impacto negativo de una amenaza a un tercero.</w:t>
            </w:r>
          </w:p>
          <w:p w:rsidR="009B4D4D" w:rsidRDefault="009B4D4D" w:rsidP="009B4D4D">
            <w:pPr>
              <w:pStyle w:val="Prrafodelista"/>
              <w:numPr>
                <w:ilvl w:val="0"/>
                <w:numId w:val="32"/>
              </w:numPr>
            </w:pPr>
            <w:r w:rsidRPr="00C94F01">
              <w:t>Mitigar: modificar el tamaño del riesgo para hacerlo más aceptable.</w:t>
            </w:r>
          </w:p>
          <w:p w:rsidR="009B4D4D" w:rsidRPr="009B4D4D" w:rsidRDefault="009B4D4D" w:rsidP="009B4D4D">
            <w:pPr>
              <w:pStyle w:val="Prrafodelista"/>
              <w:numPr>
                <w:ilvl w:val="0"/>
                <w:numId w:val="32"/>
              </w:numPr>
            </w:pPr>
            <w:r w:rsidRPr="009B4D4D">
              <w:t>Aceptar: se aceptan las condiciones y no se genera ninguna acción adicional.</w:t>
            </w:r>
          </w:p>
        </w:tc>
        <w:tc>
          <w:tcPr>
            <w:tcW w:w="1390" w:type="pct"/>
          </w:tcPr>
          <w:p w:rsidR="009B4D4D" w:rsidRPr="00FD1276" w:rsidRDefault="009B4D4D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</w:tc>
      </w:tr>
      <w:tr w:rsidR="001D3C3D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1D3C3D" w:rsidRPr="001D3C3D" w:rsidRDefault="009B4D4D" w:rsidP="00410650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20" w:name="_Toc43309959"/>
            <w:r>
              <w:t>Seguimiento y revisión del riesgo</w:t>
            </w:r>
            <w:bookmarkEnd w:id="20"/>
          </w:p>
        </w:tc>
        <w:tc>
          <w:tcPr>
            <w:tcW w:w="1390" w:type="pct"/>
          </w:tcPr>
          <w:p w:rsidR="001D3C3D" w:rsidRPr="00FD1276" w:rsidRDefault="001D3C3D" w:rsidP="00BB14D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9B4D4D" w:rsidRPr="0063029A" w:rsidRDefault="009B4D4D" w:rsidP="00A075DF">
            <w:r>
              <w:t xml:space="preserve">La persona Coordinadora y/o la persona Responsable del SIG dan seguimiento al tratamiento de los riesgos establecidos en el </w:t>
            </w:r>
            <w:r w:rsidRPr="00F37BD0">
              <w:rPr>
                <w:i/>
              </w:rPr>
              <w:t>PGC-11 R-01 Matriz de riesgos</w:t>
            </w:r>
            <w:r>
              <w:rPr>
                <w:i/>
              </w:rPr>
              <w:t xml:space="preserve">. </w:t>
            </w:r>
            <w:r>
              <w:t xml:space="preserve">Si al verificar la implementación de las acciones de tratamiento se detecta que </w:t>
            </w:r>
            <w:r w:rsidRPr="0063029A">
              <w:t xml:space="preserve">alguna de ellas no ha sido eficaz y en consecuencia el riesgo se materializa se procede según el </w:t>
            </w:r>
            <w:r w:rsidR="007F7848" w:rsidRPr="0063029A">
              <w:rPr>
                <w:i/>
              </w:rPr>
              <w:t>PGC-05 Análisis de las desviaciones</w:t>
            </w:r>
            <w:r w:rsidRPr="0063029A">
              <w:rPr>
                <w:i/>
              </w:rPr>
              <w:t xml:space="preserve">. </w:t>
            </w:r>
            <w:r w:rsidRPr="0063029A">
              <w:t xml:space="preserve"> </w:t>
            </w:r>
          </w:p>
          <w:p w:rsidR="006741E9" w:rsidRPr="00E62EE7" w:rsidRDefault="009B4D4D" w:rsidP="00410650">
            <w:r w:rsidRPr="0063029A">
              <w:t xml:space="preserve">La persona Coordinadora realiza una revisión cada doce meses </w:t>
            </w:r>
            <w:r>
              <w:t xml:space="preserve">del </w:t>
            </w:r>
            <w:r w:rsidRPr="00F37BD0">
              <w:rPr>
                <w:i/>
              </w:rPr>
              <w:t>PGC-11 R-01 Matriz de riesgos</w:t>
            </w:r>
            <w:r>
              <w:rPr>
                <w:i/>
              </w:rPr>
              <w:t xml:space="preserve">. </w:t>
            </w:r>
            <w:r w:rsidRPr="009B4D4D">
              <w:t>En caso</w:t>
            </w:r>
            <w:r>
              <w:t xml:space="preserve"> de que identifique la </w:t>
            </w:r>
            <w:r w:rsidR="00410650">
              <w:t>omisión</w:t>
            </w:r>
            <w:r>
              <w:t xml:space="preserve"> de algún</w:t>
            </w:r>
            <w:r w:rsidR="00410650">
              <w:t xml:space="preserve"> riesgo o cambios en un riesgo existente, se</w:t>
            </w:r>
            <w:r>
              <w:t xml:space="preserve"> p</w:t>
            </w:r>
            <w:r w:rsidR="0026414C">
              <w:t>rocede a realizar dicho formulario</w:t>
            </w:r>
            <w:r>
              <w:t xml:space="preserve"> según el apartado </w:t>
            </w:r>
            <w:r w:rsidR="00410650">
              <w:t>6.2.</w:t>
            </w:r>
          </w:p>
        </w:tc>
        <w:tc>
          <w:tcPr>
            <w:tcW w:w="1390" w:type="pct"/>
          </w:tcPr>
          <w:p w:rsidR="006741E9" w:rsidRDefault="009B4D4D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Coordinadora</w:t>
            </w:r>
          </w:p>
          <w:p w:rsidR="009B4D4D" w:rsidRPr="00FD1276" w:rsidRDefault="009B4D4D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Persona Responsable del SIG</w:t>
            </w:r>
          </w:p>
        </w:tc>
      </w:tr>
      <w:tr w:rsidR="006741E9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6741E9" w:rsidRPr="0063029A" w:rsidRDefault="00410650" w:rsidP="00B410EB">
            <w:pPr>
              <w:pStyle w:val="Ttulo2"/>
              <w:numPr>
                <w:ilvl w:val="1"/>
                <w:numId w:val="1"/>
              </w:numPr>
              <w:outlineLvl w:val="1"/>
            </w:pPr>
            <w:bookmarkStart w:id="21" w:name="_Toc43309960"/>
            <w:r w:rsidRPr="0063029A">
              <w:t>Compromiso del personal</w:t>
            </w:r>
            <w:bookmarkEnd w:id="21"/>
          </w:p>
        </w:tc>
        <w:tc>
          <w:tcPr>
            <w:tcW w:w="1390" w:type="pct"/>
          </w:tcPr>
          <w:p w:rsidR="006741E9" w:rsidRPr="00FD1276" w:rsidRDefault="006741E9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410EB" w:rsidTr="004D0DF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10" w:type="pct"/>
          </w:tcPr>
          <w:p w:rsidR="00B410EB" w:rsidRPr="0063029A" w:rsidRDefault="00410650" w:rsidP="00410650">
            <w:r w:rsidRPr="0063029A">
              <w:t xml:space="preserve">Todo el personal mantiene un compromiso de imparcialidad en relación a los juicios emitidos en la gestión de los servicios, lo que permite al PROCAME actuar con ética y responsabilidad, según el </w:t>
            </w:r>
            <w:r w:rsidRPr="0063029A">
              <w:rPr>
                <w:i/>
              </w:rPr>
              <w:t>PT-01 R-05</w:t>
            </w:r>
            <w:r w:rsidR="002C2AA7" w:rsidRPr="0063029A">
              <w:rPr>
                <w:i/>
              </w:rPr>
              <w:t xml:space="preserve"> Imparcialidad y confidencialidad</w:t>
            </w:r>
            <w:r w:rsidRPr="0063029A">
              <w:t xml:space="preserve">. Asimismo, todo el personal tiene el compromiso de declarar cualquier situación de la que tengan conocimiento que pudiera representar un conflicto de interés según el formulario </w:t>
            </w:r>
            <w:r w:rsidRPr="0063029A">
              <w:rPr>
                <w:i/>
              </w:rPr>
              <w:t>PT-01 R-07</w:t>
            </w:r>
            <w:r w:rsidR="002C2AA7" w:rsidRPr="0063029A">
              <w:rPr>
                <w:i/>
              </w:rPr>
              <w:t xml:space="preserve"> Declaración de conflicto de interés</w:t>
            </w:r>
            <w:r w:rsidRPr="0063029A">
              <w:rPr>
                <w:i/>
              </w:rPr>
              <w:t xml:space="preserve">. </w:t>
            </w:r>
          </w:p>
        </w:tc>
        <w:tc>
          <w:tcPr>
            <w:tcW w:w="1390" w:type="pct"/>
          </w:tcPr>
          <w:p w:rsidR="00B410EB" w:rsidRPr="00FD1276" w:rsidRDefault="00B410EB" w:rsidP="006741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AE0EBE" w:rsidRDefault="00AE0EBE" w:rsidP="008A1DD4">
      <w:pPr>
        <w:pStyle w:val="Ttulo1"/>
        <w:numPr>
          <w:ilvl w:val="0"/>
          <w:numId w:val="1"/>
        </w:numPr>
        <w:ind w:left="360"/>
      </w:pPr>
      <w:bookmarkStart w:id="22" w:name="_Toc43309961"/>
      <w:r>
        <w:t>Formularios</w:t>
      </w:r>
      <w:bookmarkEnd w:id="22"/>
    </w:p>
    <w:p w:rsidR="00646AA8" w:rsidRDefault="00646AA8" w:rsidP="00646AA8">
      <w:r>
        <w:t>Formulario</w:t>
      </w:r>
      <w:r w:rsidRPr="00646AA8">
        <w:t xml:space="preserve"> PGC-11 R-01 Matriz de riesgos</w:t>
      </w:r>
    </w:p>
    <w:p w:rsidR="00AE0EBE" w:rsidRDefault="00AE0EBE" w:rsidP="00646AA8">
      <w:pPr>
        <w:pStyle w:val="Ttulo1"/>
        <w:numPr>
          <w:ilvl w:val="0"/>
          <w:numId w:val="1"/>
        </w:numPr>
        <w:ind w:left="360"/>
      </w:pPr>
      <w:bookmarkStart w:id="23" w:name="_Toc43309962"/>
      <w:r>
        <w:t>Bibliografía</w:t>
      </w:r>
      <w:bookmarkEnd w:id="23"/>
    </w:p>
    <w:p w:rsidR="00494237" w:rsidRDefault="00494237" w:rsidP="00CA08D2">
      <w:r>
        <w:t>Agencia Centroamericana de Acreditación de Postgrado</w:t>
      </w:r>
      <w:r w:rsidR="00F64770">
        <w:t xml:space="preserve"> (ACAP)</w:t>
      </w:r>
      <w:r>
        <w:t xml:space="preserve">. (2015). </w:t>
      </w:r>
      <w:r w:rsidR="00D45623">
        <w:t>Guía de autoevaluación</w:t>
      </w:r>
      <w:r w:rsidR="002E2860">
        <w:t xml:space="preserve"> de la ACAP</w:t>
      </w:r>
      <w:r w:rsidR="002E3BA6">
        <w:t xml:space="preserve">. </w:t>
      </w:r>
    </w:p>
    <w:p w:rsidR="00494237" w:rsidRDefault="00494237" w:rsidP="00CA08D2">
      <w:r>
        <w:lastRenderedPageBreak/>
        <w:t xml:space="preserve">INTE/ISO 14065:2015. </w:t>
      </w:r>
      <w:r w:rsidRPr="001D2230">
        <w:t>Gases de efecto invernadero. Requisitos para los organismos que realizan la validación y la verificación de gases de efecto invernadero, para su uso en acreditación u</w:t>
      </w:r>
      <w:r>
        <w:t xml:space="preserve"> otras formas de reconocimiento. </w:t>
      </w:r>
    </w:p>
    <w:p w:rsidR="00494237" w:rsidRPr="00CA08D2" w:rsidRDefault="00494237" w:rsidP="00CA08D2">
      <w:r>
        <w:t>INTE/ISO/IEC 17020:2012. Evaluación de la conformidad. Requisitos para el funcionamiento de diferentes tipos de organismos que realizan la inspección.</w:t>
      </w:r>
    </w:p>
    <w:p w:rsidR="00494237" w:rsidRDefault="00494237" w:rsidP="00CA08D2">
      <w:r>
        <w:t>INTE/ISO/IEC 17024:2013. Evaluación de la conformidad. Requisitos generales para los organismos que realizan certificación de personas.</w:t>
      </w:r>
    </w:p>
    <w:p w:rsidR="00494237" w:rsidRDefault="00494237" w:rsidP="00CA08D2">
      <w:r w:rsidRPr="00401F3A">
        <w:t>INTE/ISO/IEC 17025:2017. Requisitos general</w:t>
      </w:r>
      <w:r w:rsidR="00265549">
        <w:t>e</w:t>
      </w:r>
      <w:r w:rsidRPr="00401F3A">
        <w:t>s para la competencia de los laboratorios de ensayo y calibraci</w:t>
      </w:r>
      <w:r>
        <w:t>ón.</w:t>
      </w:r>
    </w:p>
    <w:p w:rsidR="00646AA8" w:rsidRPr="00646AA8" w:rsidRDefault="00646AA8" w:rsidP="00646AA8">
      <w:r w:rsidRPr="00646AA8">
        <w:t>INTE/ISO 31000:2011.  Gestión del ri</w:t>
      </w:r>
      <w:r>
        <w:t>esgo. Principios y directrices.</w:t>
      </w:r>
    </w:p>
    <w:p w:rsidR="00410650" w:rsidRPr="00401F3A" w:rsidRDefault="00646AA8" w:rsidP="00646AA8">
      <w:r>
        <w:t>INTE/ISO Guía 73:2011 Gestión del riesgo. Vocabulario.</w:t>
      </w:r>
    </w:p>
    <w:p w:rsidR="00243A90" w:rsidRDefault="00243A90" w:rsidP="00631C81">
      <w:pPr>
        <w:jc w:val="center"/>
        <w:sectPr w:rsidR="00243A90" w:rsidSect="0063029A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63029A" w:rsidRDefault="0063029A" w:rsidP="005370A9">
      <w:pPr>
        <w:pStyle w:val="Ttulo1"/>
        <w:numPr>
          <w:ilvl w:val="0"/>
          <w:numId w:val="1"/>
        </w:numPr>
        <w:ind w:left="360"/>
      </w:pPr>
      <w:bookmarkStart w:id="24" w:name="_Toc37798353"/>
      <w:bookmarkStart w:id="25" w:name="_Toc43309963"/>
      <w:r>
        <w:lastRenderedPageBreak/>
        <w:t>Anexos</w:t>
      </w:r>
      <w:bookmarkEnd w:id="25"/>
    </w:p>
    <w:p w:rsidR="00557F5E" w:rsidRDefault="00100C5F" w:rsidP="005370A9">
      <w:r>
        <w:t xml:space="preserve">Anexo </w:t>
      </w:r>
      <w:fldSimple w:instr=" SEQ Anexo \* ARABIC ">
        <w:r w:rsidR="00F715A7">
          <w:rPr>
            <w:noProof/>
          </w:rPr>
          <w:t>1</w:t>
        </w:r>
      </w:fldSimple>
      <w:r>
        <w:t>. Pictograma</w:t>
      </w:r>
      <w:r w:rsidR="00F715A7">
        <w:t xml:space="preserve"> P</w:t>
      </w:r>
      <w:r w:rsidR="000113A4">
        <w:t>GC-11 P-01 Gestión de riesgos.</w:t>
      </w:r>
      <w:bookmarkEnd w:id="24"/>
    </w:p>
    <w:p w:rsidR="000113A4" w:rsidRDefault="000113A4" w:rsidP="005370A9">
      <w:r>
        <w:rPr>
          <w:noProof/>
          <w:lang w:eastAsia="es-CR"/>
        </w:rPr>
        <w:drawing>
          <wp:inline distT="0" distB="0" distL="0" distR="0">
            <wp:extent cx="8257540" cy="322897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GC-11 P-01.jpg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026" b="6977"/>
                    <a:stretch/>
                  </pic:blipFill>
                  <pic:spPr bwMode="auto">
                    <a:xfrm>
                      <a:off x="0" y="0"/>
                      <a:ext cx="8257540" cy="32289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F4D28" w:rsidRPr="00F30A57" w:rsidRDefault="002F4D28" w:rsidP="009906F4">
      <w:pPr>
        <w:jc w:val="center"/>
      </w:pPr>
    </w:p>
    <w:sectPr w:rsidR="002F4D28" w:rsidRPr="00F30A57" w:rsidSect="00243A90">
      <w:headerReference w:type="even" r:id="rId11"/>
      <w:headerReference w:type="default" r:id="rId12"/>
      <w:headerReference w:type="first" r:id="rId13"/>
      <w:pgSz w:w="15840" w:h="12240" w:orient="landscape" w:code="1"/>
      <w:pgMar w:top="1701" w:right="1418" w:bottom="170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3727" w:rsidRDefault="00733727" w:rsidP="00963810">
      <w:pPr>
        <w:spacing w:after="0" w:line="240" w:lineRule="auto"/>
      </w:pPr>
      <w:r>
        <w:separator/>
      </w:r>
    </w:p>
  </w:endnote>
  <w:endnote w:type="continuationSeparator" w:id="0">
    <w:p w:rsidR="00733727" w:rsidRDefault="00733727" w:rsidP="009638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4D4D" w:rsidRDefault="009B4D4D" w:rsidP="00BA6004">
    <w:pPr>
      <w:pStyle w:val="Encabezado1"/>
      <w:jc w:val="center"/>
    </w:pPr>
    <w:r>
      <w:t>PROHIBIDA SU REPRODUCCIÓN SIN LA AUTORIZACIÓN DEL PROCAME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3727" w:rsidRDefault="00733727" w:rsidP="00963810">
      <w:pPr>
        <w:spacing w:after="0" w:line="240" w:lineRule="auto"/>
      </w:pPr>
      <w:r>
        <w:separator/>
      </w:r>
    </w:p>
  </w:footnote>
  <w:footnote w:type="continuationSeparator" w:id="0">
    <w:p w:rsidR="00733727" w:rsidRDefault="00733727" w:rsidP="009638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2763" w:type="dxa"/>
      <w:tblInd w:w="-184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5815"/>
      <w:gridCol w:w="936"/>
      <w:gridCol w:w="198"/>
      <w:gridCol w:w="517"/>
      <w:gridCol w:w="617"/>
      <w:gridCol w:w="1134"/>
    </w:tblGrid>
    <w:tr w:rsidR="009B4D4D" w:rsidTr="00AD4282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9B4D4D" w:rsidRDefault="009B4D4D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9B4D4D" w:rsidRDefault="009B4D4D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31C7E92" wp14:editId="67307483">
                <wp:extent cx="698862" cy="540000"/>
                <wp:effectExtent l="0" t="0" r="6350" b="0"/>
                <wp:docPr id="29" name="Imagen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9B4D4D" w:rsidRDefault="009B4D4D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8F2BEC0" wp14:editId="238C9A94">
                <wp:extent cx="802948" cy="432000"/>
                <wp:effectExtent l="0" t="0" r="0" b="6350"/>
                <wp:docPr id="30" name="Imagen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9B4D4D" w:rsidRDefault="009B4D4D" w:rsidP="00B1450E">
          <w:pPr>
            <w:pStyle w:val="Encabezado1"/>
            <w:jc w:val="left"/>
          </w:pPr>
        </w:p>
      </w:tc>
      <w:tc>
        <w:tcPr>
          <w:tcW w:w="6751" w:type="dxa"/>
          <w:gridSpan w:val="2"/>
          <w:shd w:val="clear" w:color="auto" w:fill="auto"/>
          <w:vAlign w:val="center"/>
        </w:tcPr>
        <w:p w:rsidR="009B4D4D" w:rsidRPr="00D12479" w:rsidRDefault="009B4D4D" w:rsidP="00D12479">
          <w:pPr>
            <w:pStyle w:val="Encabezado1"/>
          </w:pPr>
          <w:r w:rsidRPr="00D12479">
            <w:t>UNIVERSIDAD NACIONAL</w:t>
          </w:r>
        </w:p>
        <w:p w:rsidR="009B4D4D" w:rsidRPr="00D12479" w:rsidRDefault="009B4D4D" w:rsidP="00D12479">
          <w:pPr>
            <w:pStyle w:val="Encabezado1"/>
          </w:pPr>
          <w:r w:rsidRPr="00D12479">
            <w:t>ESCUELA DE CIENCIAS AMBIENTALES</w:t>
          </w:r>
        </w:p>
        <w:p w:rsidR="009B4D4D" w:rsidRDefault="009B4D4D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9B4D4D" w:rsidRDefault="009B4D4D" w:rsidP="00B1450E">
          <w:pPr>
            <w:pStyle w:val="Encabezado1"/>
            <w:jc w:val="left"/>
          </w:pPr>
        </w:p>
      </w:tc>
      <w:tc>
        <w:tcPr>
          <w:tcW w:w="1751" w:type="dxa"/>
          <w:gridSpan w:val="2"/>
          <w:shd w:val="clear" w:color="auto" w:fill="auto"/>
          <w:vAlign w:val="center"/>
        </w:tcPr>
        <w:p w:rsidR="009B4D4D" w:rsidRDefault="009B4D4D" w:rsidP="00B1450E">
          <w:pPr>
            <w:pStyle w:val="Encabezado1"/>
            <w:jc w:val="left"/>
          </w:pPr>
        </w:p>
      </w:tc>
    </w:tr>
    <w:tr w:rsidR="009B4D4D" w:rsidTr="00AD4282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9B4D4D" w:rsidRDefault="009B4D4D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9B4D4D" w:rsidRDefault="009B4D4D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9B4D4D" w:rsidRDefault="009B4D4D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9B4D4D" w:rsidRDefault="009B4D4D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DBDBDB" w:themeFill="accent3" w:themeFillTint="66"/>
          <w:vAlign w:val="center"/>
        </w:tcPr>
        <w:p w:rsidR="009B4D4D" w:rsidRDefault="000423CD" w:rsidP="006E66A8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</w:t>
          </w:r>
          <w:r w:rsidR="009B4D4D">
            <w:rPr>
              <w:b/>
              <w:color w:val="2F5496" w:themeColor="accent5" w:themeShade="BF"/>
            </w:rPr>
            <w:t xml:space="preserve"> de Gestión de la </w:t>
          </w:r>
          <w:r w:rsidR="00B14E6D">
            <w:rPr>
              <w:b/>
              <w:color w:val="2F5496" w:themeColor="accent5" w:themeShade="BF"/>
            </w:rPr>
            <w:t>Calidad</w:t>
          </w:r>
        </w:p>
        <w:p w:rsidR="00B14E6D" w:rsidRPr="00B14E6D" w:rsidRDefault="00B14E6D" w:rsidP="00610829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PGC-11 Gestión de riesgos a la imparcialidad</w:t>
          </w:r>
        </w:p>
      </w:tc>
      <w:tc>
        <w:tcPr>
          <w:tcW w:w="1134" w:type="dxa"/>
          <w:gridSpan w:val="2"/>
          <w:shd w:val="clear" w:color="auto" w:fill="2F5496" w:themeFill="accent5" w:themeFillShade="BF"/>
          <w:vAlign w:val="center"/>
        </w:tcPr>
        <w:p w:rsidR="009B4D4D" w:rsidRPr="006D7A70" w:rsidRDefault="00B14E6D" w:rsidP="00DA2DA6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02</w:t>
          </w:r>
        </w:p>
      </w:tc>
      <w:tc>
        <w:tcPr>
          <w:tcW w:w="1134" w:type="dxa"/>
          <w:gridSpan w:val="2"/>
          <w:shd w:val="clear" w:color="auto" w:fill="8EAADB" w:themeFill="accent5" w:themeFillTint="99"/>
          <w:vAlign w:val="center"/>
        </w:tcPr>
        <w:p w:rsidR="009B4D4D" w:rsidRPr="006D7A70" w:rsidRDefault="009B4D4D" w:rsidP="00DA2DA6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134" w:type="dxa"/>
          <w:shd w:val="clear" w:color="auto" w:fill="B4C6E7" w:themeFill="accent5" w:themeFillTint="66"/>
          <w:vAlign w:val="center"/>
        </w:tcPr>
        <w:p w:rsidR="009B4D4D" w:rsidRDefault="009B4D4D" w:rsidP="00E6403C">
          <w:pPr>
            <w:pStyle w:val="Encabezado1"/>
            <w:jc w:val="left"/>
          </w:pPr>
        </w:p>
      </w:tc>
    </w:tr>
    <w:tr w:rsidR="009B4D4D" w:rsidTr="004E7F42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9B4D4D" w:rsidRDefault="009B4D4D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9B4D4D" w:rsidRDefault="009B4D4D" w:rsidP="00E6403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9B4D4D" w:rsidRDefault="009B4D4D" w:rsidP="00E6403C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9B4D4D" w:rsidRDefault="009B4D4D" w:rsidP="00E6403C">
          <w:pPr>
            <w:pStyle w:val="Encabezado1"/>
            <w:jc w:val="left"/>
          </w:pPr>
        </w:p>
      </w:tc>
      <w:tc>
        <w:tcPr>
          <w:tcW w:w="5815" w:type="dxa"/>
          <w:shd w:val="clear" w:color="auto" w:fill="auto"/>
          <w:vAlign w:val="bottom"/>
        </w:tcPr>
        <w:p w:rsidR="009B4D4D" w:rsidRDefault="009B4D4D" w:rsidP="004E7F42">
          <w:pPr>
            <w:pStyle w:val="Encabezado1"/>
            <w:jc w:val="left"/>
          </w:pPr>
          <w:r>
            <w:t>Aprobado por: Ligia Bermúdez Hidalgo, Coordinadora de PROCAME</w:t>
          </w:r>
        </w:p>
        <w:p w:rsidR="009B4D4D" w:rsidRPr="00E6403C" w:rsidRDefault="009B4D4D" w:rsidP="004E7F42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3402" w:type="dxa"/>
          <w:gridSpan w:val="5"/>
          <w:shd w:val="clear" w:color="auto" w:fill="auto"/>
          <w:vAlign w:val="bottom"/>
        </w:tcPr>
        <w:p w:rsidR="009B4D4D" w:rsidRDefault="009B4D4D" w:rsidP="004E7F42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390DFB" w:rsidRPr="00390DFB">
            <w:rPr>
              <w:b/>
              <w:bCs/>
              <w:noProof/>
              <w:lang w:val="es-ES"/>
            </w:rPr>
            <w:t>1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390DFB" w:rsidRPr="00390DFB">
            <w:rPr>
              <w:b/>
              <w:bCs/>
              <w:noProof/>
              <w:lang w:val="es-ES"/>
            </w:rPr>
            <w:t>7</w:t>
          </w:r>
          <w:r>
            <w:rPr>
              <w:b/>
              <w:bCs/>
            </w:rPr>
            <w:fldChar w:fldCharType="end"/>
          </w:r>
        </w:p>
        <w:p w:rsidR="009B4D4D" w:rsidRPr="00DA2DA6" w:rsidRDefault="009B4D4D" w:rsidP="004E7F42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sdt>
    <w:sdtPr>
      <w:id w:val="635460372"/>
      <w:docPartObj>
        <w:docPartGallery w:val="Watermarks"/>
        <w:docPartUnique/>
      </w:docPartObj>
    </w:sdtPr>
    <w:sdtEndPr/>
    <w:sdtContent>
      <w:p w:rsidR="009B4D4D" w:rsidRDefault="00733727">
        <w:pPr>
          <w:pStyle w:val="Encabezado"/>
        </w:pPr>
        <w:r>
          <w:rPr>
            <w:noProof/>
          </w:rP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205983673" o:spid="_x0000_s2085" type="#_x0000_t136" style="position:absolute;left:0;text-align:left;margin-left:0;margin-top:0;width:680.6pt;height:56.7pt;rotation:315;z-index:-251658752;mso-position-horizontal:center;mso-position-horizontal-relative:margin;mso-position-vertical:center;mso-position-vertical-relative:margin" o:allowincell="f" fillcolor="#b4c6e7 [1304]" stroked="f">
              <v:fill opacity=".5"/>
              <v:textpath style="font-family:&quot;Gill Sans MT&quot;;font-size:1pt" string="DOCUMENTO MAESTRO"/>
              <o:lock v:ext="edit" aspectratio="t"/>
              <w10:wrap anchorx="margin" anchory="margin"/>
            </v:shape>
          </w:pict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4D4D" w:rsidRDefault="009B4D4D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15877" w:type="dxa"/>
      <w:tblInd w:w="-141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8"/>
      <w:gridCol w:w="1416"/>
      <w:gridCol w:w="1480"/>
      <w:gridCol w:w="222"/>
      <w:gridCol w:w="6751"/>
      <w:gridCol w:w="193"/>
      <w:gridCol w:w="522"/>
      <w:gridCol w:w="1273"/>
      <w:gridCol w:w="1796"/>
      <w:gridCol w:w="1796"/>
    </w:tblGrid>
    <w:tr w:rsidR="009B4D4D" w:rsidTr="005E0A49">
      <w:trPr>
        <w:trHeight w:val="737"/>
      </w:trPr>
      <w:tc>
        <w:tcPr>
          <w:tcW w:w="428" w:type="dxa"/>
          <w:shd w:val="clear" w:color="auto" w:fill="DBDBDB" w:themeFill="accent3" w:themeFillTint="66"/>
        </w:tcPr>
        <w:p w:rsidR="009B4D4D" w:rsidRDefault="009B4D4D" w:rsidP="00310CDC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 w:val="restart"/>
          <w:vAlign w:val="center"/>
        </w:tcPr>
        <w:p w:rsidR="009B4D4D" w:rsidRDefault="009B4D4D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3AC712C3" wp14:editId="0227A0BB">
                <wp:extent cx="698862" cy="540000"/>
                <wp:effectExtent l="0" t="0" r="6350" b="0"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" name="Logo PROCAME-0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98862" cy="54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80" w:type="dxa"/>
          <w:vMerge w:val="restart"/>
          <w:vAlign w:val="center"/>
        </w:tcPr>
        <w:p w:rsidR="009B4D4D" w:rsidRDefault="009B4D4D" w:rsidP="00A20C12">
          <w:pPr>
            <w:pStyle w:val="Encabezado"/>
            <w:jc w:val="center"/>
            <w:rPr>
              <w:noProof/>
              <w:lang w:eastAsia="es-CR"/>
            </w:rPr>
          </w:pPr>
          <w:r>
            <w:rPr>
              <w:noProof/>
              <w:lang w:eastAsia="es-CR"/>
            </w:rPr>
            <w:drawing>
              <wp:inline distT="0" distB="0" distL="0" distR="0" wp14:anchorId="454DC9E6" wp14:editId="54475D97">
                <wp:extent cx="802948" cy="432000"/>
                <wp:effectExtent l="0" t="0" r="0" b="6350"/>
                <wp:docPr id="8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UNA1LI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02948" cy="43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shd w:val="clear" w:color="auto" w:fill="auto"/>
        </w:tcPr>
        <w:p w:rsidR="009B4D4D" w:rsidRDefault="009B4D4D" w:rsidP="00B1450E">
          <w:pPr>
            <w:pStyle w:val="Encabezado1"/>
            <w:jc w:val="left"/>
          </w:pPr>
        </w:p>
      </w:tc>
      <w:tc>
        <w:tcPr>
          <w:tcW w:w="6751" w:type="dxa"/>
          <w:shd w:val="clear" w:color="auto" w:fill="auto"/>
          <w:vAlign w:val="center"/>
        </w:tcPr>
        <w:p w:rsidR="009B4D4D" w:rsidRPr="00D12479" w:rsidRDefault="009B4D4D" w:rsidP="00D12479">
          <w:pPr>
            <w:pStyle w:val="Encabezado1"/>
          </w:pPr>
          <w:r w:rsidRPr="00D12479">
            <w:t>UNIVERSIDAD NACIONAL</w:t>
          </w:r>
        </w:p>
        <w:p w:rsidR="009B4D4D" w:rsidRPr="00D12479" w:rsidRDefault="009B4D4D" w:rsidP="00D12479">
          <w:pPr>
            <w:pStyle w:val="Encabezado1"/>
          </w:pPr>
          <w:r w:rsidRPr="00D12479">
            <w:t>ESCUELA DE CIENCIAS AMBIENTALES</w:t>
          </w:r>
        </w:p>
        <w:p w:rsidR="009B4D4D" w:rsidRDefault="009B4D4D" w:rsidP="00B1450E">
          <w:pPr>
            <w:pStyle w:val="Encabezado1"/>
            <w:jc w:val="left"/>
          </w:pPr>
          <w:r w:rsidRPr="00D12479">
            <w:t>PROGRAMA DE ESTUDIOS EN CALIDAD, AMBIENTE Y METROLOGÍA</w:t>
          </w:r>
        </w:p>
      </w:tc>
      <w:tc>
        <w:tcPr>
          <w:tcW w:w="715" w:type="dxa"/>
          <w:gridSpan w:val="2"/>
          <w:shd w:val="clear" w:color="auto" w:fill="auto"/>
          <w:vAlign w:val="center"/>
        </w:tcPr>
        <w:p w:rsidR="009B4D4D" w:rsidRDefault="009B4D4D" w:rsidP="00B1450E">
          <w:pPr>
            <w:pStyle w:val="Encabezado1"/>
            <w:jc w:val="left"/>
          </w:pPr>
        </w:p>
      </w:tc>
      <w:tc>
        <w:tcPr>
          <w:tcW w:w="4865" w:type="dxa"/>
          <w:gridSpan w:val="3"/>
          <w:shd w:val="clear" w:color="auto" w:fill="auto"/>
          <w:vAlign w:val="center"/>
        </w:tcPr>
        <w:p w:rsidR="009B4D4D" w:rsidRDefault="009B4D4D" w:rsidP="00B1450E">
          <w:pPr>
            <w:pStyle w:val="Encabezado1"/>
            <w:jc w:val="left"/>
          </w:pPr>
        </w:p>
      </w:tc>
    </w:tr>
    <w:tr w:rsidR="009B4D4D" w:rsidTr="005E0A49">
      <w:trPr>
        <w:trHeight w:val="120"/>
      </w:trPr>
      <w:tc>
        <w:tcPr>
          <w:tcW w:w="428" w:type="dxa"/>
          <w:shd w:val="clear" w:color="auto" w:fill="DBDBDB" w:themeFill="accent3" w:themeFillTint="66"/>
        </w:tcPr>
        <w:p w:rsidR="009B4D4D" w:rsidRDefault="009B4D4D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vMerge/>
          <w:vAlign w:val="center"/>
        </w:tcPr>
        <w:p w:rsidR="009B4D4D" w:rsidRDefault="009B4D4D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vMerge/>
          <w:vAlign w:val="center"/>
        </w:tcPr>
        <w:p w:rsidR="009B4D4D" w:rsidRDefault="009B4D4D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9B4D4D" w:rsidRDefault="009B4D4D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DBDBDB" w:themeFill="accent3" w:themeFillTint="66"/>
          <w:vAlign w:val="center"/>
        </w:tcPr>
        <w:p w:rsidR="000D5606" w:rsidRDefault="000423CD" w:rsidP="000D5606">
          <w:pPr>
            <w:pStyle w:val="Encabezado1"/>
            <w:jc w:val="left"/>
            <w:rPr>
              <w:b/>
              <w:color w:val="2F5496" w:themeColor="accent5" w:themeShade="BF"/>
            </w:rPr>
          </w:pPr>
          <w:r>
            <w:rPr>
              <w:b/>
              <w:color w:val="2F5496" w:themeColor="accent5" w:themeShade="BF"/>
            </w:rPr>
            <w:t>Procedimiento</w:t>
          </w:r>
          <w:r w:rsidR="000D5606">
            <w:rPr>
              <w:b/>
              <w:color w:val="2F5496" w:themeColor="accent5" w:themeShade="BF"/>
            </w:rPr>
            <w:t xml:space="preserve"> de Gestión de la Calidad</w:t>
          </w:r>
        </w:p>
        <w:p w:rsidR="009B4D4D" w:rsidRPr="007349CB" w:rsidRDefault="000D5606" w:rsidP="000D5606">
          <w:pPr>
            <w:pStyle w:val="Encabezado1"/>
            <w:jc w:val="left"/>
            <w:rPr>
              <w:b/>
            </w:rPr>
          </w:pPr>
          <w:r>
            <w:rPr>
              <w:b/>
              <w:color w:val="2F5496" w:themeColor="accent5" w:themeShade="BF"/>
            </w:rPr>
            <w:t>PGC-11 Gestión de riesgos a la imparcialidad</w:t>
          </w:r>
        </w:p>
      </w:tc>
      <w:tc>
        <w:tcPr>
          <w:tcW w:w="1795" w:type="dxa"/>
          <w:gridSpan w:val="2"/>
          <w:shd w:val="clear" w:color="auto" w:fill="2F5496" w:themeFill="accent5" w:themeFillShade="BF"/>
          <w:vAlign w:val="center"/>
        </w:tcPr>
        <w:p w:rsidR="009B4D4D" w:rsidRPr="006D7A70" w:rsidRDefault="000D5606" w:rsidP="00050C7A">
          <w:pPr>
            <w:pStyle w:val="Encabezado1"/>
            <w:jc w:val="left"/>
            <w:rPr>
              <w:b/>
              <w:color w:val="FFFFFF" w:themeColor="background1"/>
            </w:rPr>
          </w:pPr>
          <w:r>
            <w:rPr>
              <w:b/>
              <w:color w:val="FFFFFF" w:themeColor="background1"/>
            </w:rPr>
            <w:t>Versión 02</w:t>
          </w:r>
        </w:p>
      </w:tc>
      <w:tc>
        <w:tcPr>
          <w:tcW w:w="1796" w:type="dxa"/>
          <w:shd w:val="clear" w:color="auto" w:fill="8EAADB" w:themeFill="accent5" w:themeFillTint="99"/>
          <w:vAlign w:val="center"/>
        </w:tcPr>
        <w:p w:rsidR="009B4D4D" w:rsidRPr="006D7A70" w:rsidRDefault="009B4D4D" w:rsidP="00050C7A">
          <w:pPr>
            <w:pStyle w:val="Encabezado1"/>
            <w:jc w:val="center"/>
            <w:rPr>
              <w:b/>
              <w:color w:val="FFFFFF" w:themeColor="background1"/>
            </w:rPr>
          </w:pPr>
        </w:p>
      </w:tc>
      <w:tc>
        <w:tcPr>
          <w:tcW w:w="1796" w:type="dxa"/>
          <w:shd w:val="clear" w:color="auto" w:fill="B4C6E7" w:themeFill="accent5" w:themeFillTint="66"/>
          <w:vAlign w:val="center"/>
        </w:tcPr>
        <w:p w:rsidR="009B4D4D" w:rsidRDefault="009B4D4D" w:rsidP="00050C7A">
          <w:pPr>
            <w:pStyle w:val="Encabezado1"/>
            <w:jc w:val="left"/>
          </w:pPr>
        </w:p>
      </w:tc>
    </w:tr>
    <w:tr w:rsidR="009B4D4D" w:rsidTr="005E0A49">
      <w:trPr>
        <w:trHeight w:val="421"/>
      </w:trPr>
      <w:tc>
        <w:tcPr>
          <w:tcW w:w="428" w:type="dxa"/>
          <w:shd w:val="clear" w:color="auto" w:fill="DBDBDB" w:themeFill="accent3" w:themeFillTint="66"/>
        </w:tcPr>
        <w:p w:rsidR="009B4D4D" w:rsidRDefault="009B4D4D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16" w:type="dxa"/>
          <w:shd w:val="clear" w:color="auto" w:fill="auto"/>
          <w:vAlign w:val="center"/>
        </w:tcPr>
        <w:p w:rsidR="009B4D4D" w:rsidRDefault="009B4D4D" w:rsidP="00050C7A">
          <w:pPr>
            <w:pStyle w:val="Encabezado"/>
            <w:jc w:val="center"/>
            <w:rPr>
              <w:noProof/>
              <w:lang w:eastAsia="es-CR"/>
            </w:rPr>
          </w:pPr>
        </w:p>
      </w:tc>
      <w:tc>
        <w:tcPr>
          <w:tcW w:w="1480" w:type="dxa"/>
          <w:shd w:val="clear" w:color="auto" w:fill="auto"/>
          <w:vAlign w:val="center"/>
        </w:tcPr>
        <w:p w:rsidR="009B4D4D" w:rsidRDefault="009B4D4D" w:rsidP="00050C7A">
          <w:pPr>
            <w:pStyle w:val="Encabezado"/>
            <w:jc w:val="left"/>
            <w:rPr>
              <w:noProof/>
              <w:lang w:eastAsia="es-CR"/>
            </w:rPr>
          </w:pPr>
        </w:p>
      </w:tc>
      <w:tc>
        <w:tcPr>
          <w:tcW w:w="222" w:type="dxa"/>
          <w:shd w:val="clear" w:color="auto" w:fill="auto"/>
        </w:tcPr>
        <w:p w:rsidR="009B4D4D" w:rsidRDefault="009B4D4D" w:rsidP="00050C7A">
          <w:pPr>
            <w:pStyle w:val="Encabezado1"/>
            <w:jc w:val="left"/>
          </w:pPr>
        </w:p>
      </w:tc>
      <w:tc>
        <w:tcPr>
          <w:tcW w:w="6944" w:type="dxa"/>
          <w:gridSpan w:val="2"/>
          <w:shd w:val="clear" w:color="auto" w:fill="auto"/>
          <w:vAlign w:val="bottom"/>
        </w:tcPr>
        <w:p w:rsidR="009B4D4D" w:rsidRDefault="009B4D4D" w:rsidP="00050C7A">
          <w:pPr>
            <w:pStyle w:val="Encabezado1"/>
            <w:jc w:val="left"/>
          </w:pPr>
          <w:r>
            <w:t>Aprobado por: Ligia Bermúdez Hidalgo, Coordinadora de PROCAME</w:t>
          </w:r>
        </w:p>
        <w:p w:rsidR="009B4D4D" w:rsidRPr="00E6403C" w:rsidRDefault="009B4D4D" w:rsidP="00050C7A">
          <w:pPr>
            <w:pStyle w:val="Encabezado1"/>
            <w:jc w:val="left"/>
          </w:pPr>
          <w:r>
            <w:t>Fecha de implementación: 2020-00-00</w:t>
          </w:r>
        </w:p>
      </w:tc>
      <w:tc>
        <w:tcPr>
          <w:tcW w:w="5387" w:type="dxa"/>
          <w:gridSpan w:val="4"/>
          <w:shd w:val="clear" w:color="auto" w:fill="auto"/>
          <w:vAlign w:val="bottom"/>
        </w:tcPr>
        <w:p w:rsidR="009B4D4D" w:rsidRDefault="009B4D4D" w:rsidP="00050C7A">
          <w:pPr>
            <w:pStyle w:val="Encabezado1"/>
            <w:jc w:val="left"/>
            <w:rPr>
              <w:b/>
              <w:bCs/>
            </w:rPr>
          </w:pPr>
          <w:r>
            <w:rPr>
              <w:lang w:val="es-ES"/>
            </w:rPr>
            <w:t xml:space="preserve">Página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PAGE  \* Arabic  \* MERGEFORMAT</w:instrText>
          </w:r>
          <w:r>
            <w:rPr>
              <w:b/>
              <w:bCs/>
            </w:rPr>
            <w:fldChar w:fldCharType="separate"/>
          </w:r>
          <w:r w:rsidR="0063029A" w:rsidRPr="0063029A">
            <w:rPr>
              <w:b/>
              <w:bCs/>
              <w:noProof/>
              <w:lang w:val="es-ES"/>
            </w:rPr>
            <w:t>7</w:t>
          </w:r>
          <w:r>
            <w:rPr>
              <w:b/>
              <w:bCs/>
            </w:rPr>
            <w:fldChar w:fldCharType="end"/>
          </w:r>
          <w:r>
            <w:rPr>
              <w:lang w:val="es-ES"/>
            </w:rPr>
            <w:t xml:space="preserve"> de </w:t>
          </w:r>
          <w:r>
            <w:rPr>
              <w:b/>
              <w:bCs/>
            </w:rPr>
            <w:fldChar w:fldCharType="begin"/>
          </w:r>
          <w:r>
            <w:rPr>
              <w:b/>
              <w:bCs/>
            </w:rPr>
            <w:instrText>NUMPAGES  \* Arabic  \* MERGEFORMAT</w:instrText>
          </w:r>
          <w:r>
            <w:rPr>
              <w:b/>
              <w:bCs/>
            </w:rPr>
            <w:fldChar w:fldCharType="separate"/>
          </w:r>
          <w:r w:rsidR="0063029A" w:rsidRPr="0063029A">
            <w:rPr>
              <w:b/>
              <w:bCs/>
              <w:noProof/>
              <w:lang w:val="es-ES"/>
            </w:rPr>
            <w:t>7</w:t>
          </w:r>
          <w:r>
            <w:rPr>
              <w:b/>
              <w:bCs/>
            </w:rPr>
            <w:fldChar w:fldCharType="end"/>
          </w:r>
        </w:p>
        <w:p w:rsidR="009B4D4D" w:rsidRPr="00DA2DA6" w:rsidRDefault="009B4D4D" w:rsidP="00050C7A">
          <w:pPr>
            <w:pStyle w:val="Encabezado1"/>
            <w:jc w:val="left"/>
          </w:pPr>
          <w:r>
            <w:rPr>
              <w:bCs/>
            </w:rPr>
            <w:t>Copia N°. 01</w:t>
          </w:r>
        </w:p>
      </w:tc>
    </w:tr>
  </w:tbl>
  <w:p w:rsidR="009B4D4D" w:rsidRDefault="009B4D4D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B4D4D" w:rsidRDefault="009B4D4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B4F8F"/>
    <w:multiLevelType w:val="hybridMultilevel"/>
    <w:tmpl w:val="C8F88A2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A1A38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6C07C27"/>
    <w:multiLevelType w:val="hybridMultilevel"/>
    <w:tmpl w:val="56F2175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246AB2"/>
    <w:multiLevelType w:val="hybridMultilevel"/>
    <w:tmpl w:val="6A7A693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3C08C2"/>
    <w:multiLevelType w:val="hybridMultilevel"/>
    <w:tmpl w:val="58F4E170"/>
    <w:lvl w:ilvl="0" w:tplc="140A0013">
      <w:start w:val="1"/>
      <w:numFmt w:val="upperRoman"/>
      <w:lvlText w:val="%1."/>
      <w:lvlJc w:val="righ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A13EA"/>
    <w:multiLevelType w:val="hybridMultilevel"/>
    <w:tmpl w:val="797CF9C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6D785E"/>
    <w:multiLevelType w:val="multilevel"/>
    <w:tmpl w:val="E57E91E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248A027F"/>
    <w:multiLevelType w:val="hybridMultilevel"/>
    <w:tmpl w:val="F266CA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443D70"/>
    <w:multiLevelType w:val="hybridMultilevel"/>
    <w:tmpl w:val="EB2E0BD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F6C69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2CAF788E"/>
    <w:multiLevelType w:val="hybridMultilevel"/>
    <w:tmpl w:val="8256B84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B31D94"/>
    <w:multiLevelType w:val="multilevel"/>
    <w:tmpl w:val="999C64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2E2903FE"/>
    <w:multiLevelType w:val="hybridMultilevel"/>
    <w:tmpl w:val="CC2EAF98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3857F0"/>
    <w:multiLevelType w:val="hybridMultilevel"/>
    <w:tmpl w:val="B84A73AE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395CB7"/>
    <w:multiLevelType w:val="hybridMultilevel"/>
    <w:tmpl w:val="3C5AA02C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FA460A"/>
    <w:multiLevelType w:val="multilevel"/>
    <w:tmpl w:val="AA16A04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  <w:b/>
      </w:rPr>
    </w:lvl>
  </w:abstractNum>
  <w:abstractNum w:abstractNumId="16" w15:restartNumberingAfterBreak="0">
    <w:nsid w:val="43751D9E"/>
    <w:multiLevelType w:val="hybridMultilevel"/>
    <w:tmpl w:val="E5BE3C3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703E03"/>
    <w:multiLevelType w:val="hybridMultilevel"/>
    <w:tmpl w:val="31C83D4E"/>
    <w:lvl w:ilvl="0" w:tplc="56068588">
      <w:start w:val="1"/>
      <w:numFmt w:val="bullet"/>
      <w:lvlText w:val="-"/>
      <w:lvlJc w:val="left"/>
      <w:pPr>
        <w:ind w:left="720" w:hanging="360"/>
      </w:pPr>
      <w:rPr>
        <w:rFonts w:ascii="Gill Sans MT" w:eastAsiaTheme="minorHAnsi" w:hAnsi="Gill Sans MT" w:cstheme="minorBid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382974"/>
    <w:multiLevelType w:val="hybridMultilevel"/>
    <w:tmpl w:val="29ECAF9A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3665F3"/>
    <w:multiLevelType w:val="hybridMultilevel"/>
    <w:tmpl w:val="AEC65A02"/>
    <w:lvl w:ilvl="0" w:tplc="72FA5502">
      <w:start w:val="1"/>
      <w:numFmt w:val="lowerLetter"/>
      <w:lvlText w:val="%1."/>
      <w:lvlJc w:val="left"/>
      <w:pPr>
        <w:ind w:left="720" w:hanging="360"/>
      </w:pPr>
      <w:rPr>
        <w:rFonts w:ascii="Gill Sans MT" w:eastAsiaTheme="minorHAnsi" w:hAnsi="Gill Sans MT" w:cstheme="minorBidi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2B191B"/>
    <w:multiLevelType w:val="hybridMultilevel"/>
    <w:tmpl w:val="8B746946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7C6AFD"/>
    <w:multiLevelType w:val="multilevel"/>
    <w:tmpl w:val="56323A40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7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6C413F00"/>
    <w:multiLevelType w:val="hybridMultilevel"/>
    <w:tmpl w:val="4F141160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DA223F8"/>
    <w:multiLevelType w:val="hybridMultilevel"/>
    <w:tmpl w:val="46FA5A84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4C3BD5"/>
    <w:multiLevelType w:val="hybridMultilevel"/>
    <w:tmpl w:val="EAEC006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824686"/>
    <w:multiLevelType w:val="hybridMultilevel"/>
    <w:tmpl w:val="8F1A445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46E63F8"/>
    <w:multiLevelType w:val="hybridMultilevel"/>
    <w:tmpl w:val="EAEACDDA"/>
    <w:lvl w:ilvl="0" w:tplc="C4BA9AE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E25280"/>
    <w:multiLevelType w:val="hybridMultilevel"/>
    <w:tmpl w:val="8AD0D5A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98E0EFE"/>
    <w:multiLevelType w:val="hybridMultilevel"/>
    <w:tmpl w:val="C0B6B036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4F7D5E"/>
    <w:multiLevelType w:val="hybridMultilevel"/>
    <w:tmpl w:val="C4AA487A"/>
    <w:lvl w:ilvl="0" w:tplc="140A0019">
      <w:start w:val="1"/>
      <w:numFmt w:val="lowerLetter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6F2F48"/>
    <w:multiLevelType w:val="hybridMultilevel"/>
    <w:tmpl w:val="2A08E22E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FA06BF7"/>
    <w:multiLevelType w:val="hybridMultilevel"/>
    <w:tmpl w:val="645EEDB2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2"/>
  </w:num>
  <w:num w:numId="4">
    <w:abstractNumId w:val="13"/>
  </w:num>
  <w:num w:numId="5">
    <w:abstractNumId w:val="18"/>
  </w:num>
  <w:num w:numId="6">
    <w:abstractNumId w:val="5"/>
  </w:num>
  <w:num w:numId="7">
    <w:abstractNumId w:val="24"/>
  </w:num>
  <w:num w:numId="8">
    <w:abstractNumId w:val="9"/>
  </w:num>
  <w:num w:numId="9">
    <w:abstractNumId w:val="21"/>
  </w:num>
  <w:num w:numId="10">
    <w:abstractNumId w:val="23"/>
  </w:num>
  <w:num w:numId="11">
    <w:abstractNumId w:val="26"/>
  </w:num>
  <w:num w:numId="12">
    <w:abstractNumId w:val="19"/>
  </w:num>
  <w:num w:numId="13">
    <w:abstractNumId w:val="8"/>
  </w:num>
  <w:num w:numId="14">
    <w:abstractNumId w:val="17"/>
  </w:num>
  <w:num w:numId="15">
    <w:abstractNumId w:val="2"/>
  </w:num>
  <w:num w:numId="16">
    <w:abstractNumId w:val="15"/>
  </w:num>
  <w:num w:numId="17">
    <w:abstractNumId w:val="6"/>
  </w:num>
  <w:num w:numId="18">
    <w:abstractNumId w:val="10"/>
  </w:num>
  <w:num w:numId="19">
    <w:abstractNumId w:val="30"/>
  </w:num>
  <w:num w:numId="20">
    <w:abstractNumId w:val="25"/>
  </w:num>
  <w:num w:numId="21">
    <w:abstractNumId w:val="16"/>
  </w:num>
  <w:num w:numId="22">
    <w:abstractNumId w:val="20"/>
  </w:num>
  <w:num w:numId="23">
    <w:abstractNumId w:val="22"/>
  </w:num>
  <w:num w:numId="24">
    <w:abstractNumId w:val="29"/>
  </w:num>
  <w:num w:numId="25">
    <w:abstractNumId w:val="14"/>
  </w:num>
  <w:num w:numId="26">
    <w:abstractNumId w:val="3"/>
  </w:num>
  <w:num w:numId="27">
    <w:abstractNumId w:val="4"/>
  </w:num>
  <w:num w:numId="28">
    <w:abstractNumId w:val="11"/>
  </w:num>
  <w:num w:numId="29">
    <w:abstractNumId w:val="0"/>
  </w:num>
  <w:num w:numId="30">
    <w:abstractNumId w:val="27"/>
  </w:num>
  <w:num w:numId="31">
    <w:abstractNumId w:val="28"/>
  </w:num>
  <w:num w:numId="3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3810"/>
    <w:rsid w:val="00003CCF"/>
    <w:rsid w:val="000113A4"/>
    <w:rsid w:val="00016CDA"/>
    <w:rsid w:val="0002112D"/>
    <w:rsid w:val="00033DBE"/>
    <w:rsid w:val="000377B5"/>
    <w:rsid w:val="00040407"/>
    <w:rsid w:val="000423CD"/>
    <w:rsid w:val="00050C7A"/>
    <w:rsid w:val="00054199"/>
    <w:rsid w:val="00055FC7"/>
    <w:rsid w:val="00060A0C"/>
    <w:rsid w:val="00063EA1"/>
    <w:rsid w:val="00076829"/>
    <w:rsid w:val="000A094B"/>
    <w:rsid w:val="000A7233"/>
    <w:rsid w:val="000A739D"/>
    <w:rsid w:val="000B0E44"/>
    <w:rsid w:val="000D5606"/>
    <w:rsid w:val="000E11F4"/>
    <w:rsid w:val="000E4E2F"/>
    <w:rsid w:val="000E67FE"/>
    <w:rsid w:val="000F76F7"/>
    <w:rsid w:val="00100C5F"/>
    <w:rsid w:val="00101178"/>
    <w:rsid w:val="00111058"/>
    <w:rsid w:val="001114F6"/>
    <w:rsid w:val="00146ED0"/>
    <w:rsid w:val="00147B9A"/>
    <w:rsid w:val="00155D08"/>
    <w:rsid w:val="00156A78"/>
    <w:rsid w:val="00174B25"/>
    <w:rsid w:val="0018650E"/>
    <w:rsid w:val="001966C4"/>
    <w:rsid w:val="001A01C9"/>
    <w:rsid w:val="001A04F9"/>
    <w:rsid w:val="001A4DBF"/>
    <w:rsid w:val="001B40B4"/>
    <w:rsid w:val="001C733E"/>
    <w:rsid w:val="001D2230"/>
    <w:rsid w:val="001D26ED"/>
    <w:rsid w:val="001D36F0"/>
    <w:rsid w:val="001D3C3D"/>
    <w:rsid w:val="001D472F"/>
    <w:rsid w:val="001E349C"/>
    <w:rsid w:val="002061A7"/>
    <w:rsid w:val="00207B0F"/>
    <w:rsid w:val="00221A04"/>
    <w:rsid w:val="00224AB4"/>
    <w:rsid w:val="00227F6B"/>
    <w:rsid w:val="00241225"/>
    <w:rsid w:val="00243A90"/>
    <w:rsid w:val="0024636C"/>
    <w:rsid w:val="0025706B"/>
    <w:rsid w:val="00261359"/>
    <w:rsid w:val="0026414C"/>
    <w:rsid w:val="00265549"/>
    <w:rsid w:val="00270704"/>
    <w:rsid w:val="00272B34"/>
    <w:rsid w:val="00277382"/>
    <w:rsid w:val="00281BD8"/>
    <w:rsid w:val="00284576"/>
    <w:rsid w:val="002865DF"/>
    <w:rsid w:val="002866AD"/>
    <w:rsid w:val="00296CC2"/>
    <w:rsid w:val="002B34AC"/>
    <w:rsid w:val="002B6FBD"/>
    <w:rsid w:val="002C2AA7"/>
    <w:rsid w:val="002D1C58"/>
    <w:rsid w:val="002D3A84"/>
    <w:rsid w:val="002E108A"/>
    <w:rsid w:val="002E2860"/>
    <w:rsid w:val="002E3BA6"/>
    <w:rsid w:val="002F1D59"/>
    <w:rsid w:val="002F4D28"/>
    <w:rsid w:val="002F5489"/>
    <w:rsid w:val="002F5EDF"/>
    <w:rsid w:val="002F6BB2"/>
    <w:rsid w:val="003004CF"/>
    <w:rsid w:val="00307ACE"/>
    <w:rsid w:val="00310CDC"/>
    <w:rsid w:val="00323347"/>
    <w:rsid w:val="00327ECF"/>
    <w:rsid w:val="003379C5"/>
    <w:rsid w:val="00340B80"/>
    <w:rsid w:val="003569B7"/>
    <w:rsid w:val="00360BCF"/>
    <w:rsid w:val="00383272"/>
    <w:rsid w:val="0038327F"/>
    <w:rsid w:val="00385493"/>
    <w:rsid w:val="00390DFB"/>
    <w:rsid w:val="003B20DF"/>
    <w:rsid w:val="003B5470"/>
    <w:rsid w:val="003B6015"/>
    <w:rsid w:val="003C10B6"/>
    <w:rsid w:val="003D458D"/>
    <w:rsid w:val="003E0A7E"/>
    <w:rsid w:val="00401F3A"/>
    <w:rsid w:val="00410650"/>
    <w:rsid w:val="0041425D"/>
    <w:rsid w:val="00436174"/>
    <w:rsid w:val="00447F93"/>
    <w:rsid w:val="0045017D"/>
    <w:rsid w:val="00450B81"/>
    <w:rsid w:val="00455F2B"/>
    <w:rsid w:val="00457875"/>
    <w:rsid w:val="00457F45"/>
    <w:rsid w:val="0047287A"/>
    <w:rsid w:val="00487789"/>
    <w:rsid w:val="00494237"/>
    <w:rsid w:val="00495055"/>
    <w:rsid w:val="004A354F"/>
    <w:rsid w:val="004B1B90"/>
    <w:rsid w:val="004D0DF4"/>
    <w:rsid w:val="004D32CC"/>
    <w:rsid w:val="004E31F6"/>
    <w:rsid w:val="004E3E0F"/>
    <w:rsid w:val="004E4CB1"/>
    <w:rsid w:val="004E52C8"/>
    <w:rsid w:val="004E59A9"/>
    <w:rsid w:val="004E6E2C"/>
    <w:rsid w:val="004E7F42"/>
    <w:rsid w:val="0050508B"/>
    <w:rsid w:val="0050590A"/>
    <w:rsid w:val="00511E6E"/>
    <w:rsid w:val="0051275C"/>
    <w:rsid w:val="00516ADC"/>
    <w:rsid w:val="00522DFD"/>
    <w:rsid w:val="00523CEC"/>
    <w:rsid w:val="00530568"/>
    <w:rsid w:val="005370A9"/>
    <w:rsid w:val="00546D8E"/>
    <w:rsid w:val="00552A7E"/>
    <w:rsid w:val="00553296"/>
    <w:rsid w:val="00553F80"/>
    <w:rsid w:val="00556ACB"/>
    <w:rsid w:val="00557482"/>
    <w:rsid w:val="00557F5E"/>
    <w:rsid w:val="00560CD1"/>
    <w:rsid w:val="00561542"/>
    <w:rsid w:val="00561A06"/>
    <w:rsid w:val="00565112"/>
    <w:rsid w:val="00567F6E"/>
    <w:rsid w:val="00570CFB"/>
    <w:rsid w:val="00580A2A"/>
    <w:rsid w:val="00581FA2"/>
    <w:rsid w:val="00584D0C"/>
    <w:rsid w:val="00587C9F"/>
    <w:rsid w:val="00593063"/>
    <w:rsid w:val="00596BB0"/>
    <w:rsid w:val="005A1C8A"/>
    <w:rsid w:val="005A2BE5"/>
    <w:rsid w:val="005A6D1B"/>
    <w:rsid w:val="005D3F6F"/>
    <w:rsid w:val="005E0A49"/>
    <w:rsid w:val="005E587C"/>
    <w:rsid w:val="005F03D3"/>
    <w:rsid w:val="005F0486"/>
    <w:rsid w:val="005F5E6E"/>
    <w:rsid w:val="006039E3"/>
    <w:rsid w:val="0060411B"/>
    <w:rsid w:val="00610829"/>
    <w:rsid w:val="00612222"/>
    <w:rsid w:val="0063029A"/>
    <w:rsid w:val="00631C81"/>
    <w:rsid w:val="0063293D"/>
    <w:rsid w:val="0063378B"/>
    <w:rsid w:val="00636F4B"/>
    <w:rsid w:val="006421D1"/>
    <w:rsid w:val="00642ACE"/>
    <w:rsid w:val="00642AE5"/>
    <w:rsid w:val="00642EE6"/>
    <w:rsid w:val="00646AA8"/>
    <w:rsid w:val="00647D76"/>
    <w:rsid w:val="006523EE"/>
    <w:rsid w:val="0066748D"/>
    <w:rsid w:val="006713EB"/>
    <w:rsid w:val="00673211"/>
    <w:rsid w:val="006741E9"/>
    <w:rsid w:val="00674312"/>
    <w:rsid w:val="00686C85"/>
    <w:rsid w:val="00694D37"/>
    <w:rsid w:val="006A61AE"/>
    <w:rsid w:val="006D61AF"/>
    <w:rsid w:val="006D6325"/>
    <w:rsid w:val="006D7A70"/>
    <w:rsid w:val="006E3B39"/>
    <w:rsid w:val="006E507D"/>
    <w:rsid w:val="006E582C"/>
    <w:rsid w:val="006E66A8"/>
    <w:rsid w:val="006F0F1E"/>
    <w:rsid w:val="006F27C7"/>
    <w:rsid w:val="00713479"/>
    <w:rsid w:val="00713BA7"/>
    <w:rsid w:val="00727E5B"/>
    <w:rsid w:val="00733727"/>
    <w:rsid w:val="007349CB"/>
    <w:rsid w:val="00734A6A"/>
    <w:rsid w:val="00735BEB"/>
    <w:rsid w:val="007405FE"/>
    <w:rsid w:val="00751484"/>
    <w:rsid w:val="00757F4E"/>
    <w:rsid w:val="00763520"/>
    <w:rsid w:val="00770D8C"/>
    <w:rsid w:val="00773F2E"/>
    <w:rsid w:val="007B5CFE"/>
    <w:rsid w:val="007C4289"/>
    <w:rsid w:val="007C5358"/>
    <w:rsid w:val="007C70A5"/>
    <w:rsid w:val="007C791C"/>
    <w:rsid w:val="007D1F69"/>
    <w:rsid w:val="007D2458"/>
    <w:rsid w:val="007D258F"/>
    <w:rsid w:val="007E0A62"/>
    <w:rsid w:val="007E3189"/>
    <w:rsid w:val="007E4FB2"/>
    <w:rsid w:val="007E70A6"/>
    <w:rsid w:val="007F1D55"/>
    <w:rsid w:val="007F506F"/>
    <w:rsid w:val="007F549A"/>
    <w:rsid w:val="007F7848"/>
    <w:rsid w:val="008061A2"/>
    <w:rsid w:val="00806507"/>
    <w:rsid w:val="008076DF"/>
    <w:rsid w:val="00812F56"/>
    <w:rsid w:val="00815B61"/>
    <w:rsid w:val="00824C0A"/>
    <w:rsid w:val="00843420"/>
    <w:rsid w:val="008465EE"/>
    <w:rsid w:val="008477CF"/>
    <w:rsid w:val="00873B9D"/>
    <w:rsid w:val="00874020"/>
    <w:rsid w:val="00881231"/>
    <w:rsid w:val="00882A6F"/>
    <w:rsid w:val="0088348D"/>
    <w:rsid w:val="00883642"/>
    <w:rsid w:val="008955D6"/>
    <w:rsid w:val="00895708"/>
    <w:rsid w:val="0089679B"/>
    <w:rsid w:val="008A1DD4"/>
    <w:rsid w:val="008B5549"/>
    <w:rsid w:val="008C4979"/>
    <w:rsid w:val="008C7194"/>
    <w:rsid w:val="008D2763"/>
    <w:rsid w:val="008E4830"/>
    <w:rsid w:val="008F69E2"/>
    <w:rsid w:val="00902FBB"/>
    <w:rsid w:val="00912897"/>
    <w:rsid w:val="00916B9B"/>
    <w:rsid w:val="00917F87"/>
    <w:rsid w:val="00930A0A"/>
    <w:rsid w:val="00930CC6"/>
    <w:rsid w:val="00931DAE"/>
    <w:rsid w:val="00932F53"/>
    <w:rsid w:val="00945DC8"/>
    <w:rsid w:val="00946D52"/>
    <w:rsid w:val="00963810"/>
    <w:rsid w:val="00965151"/>
    <w:rsid w:val="00967AA0"/>
    <w:rsid w:val="00972EF0"/>
    <w:rsid w:val="00974BA5"/>
    <w:rsid w:val="00982E21"/>
    <w:rsid w:val="009855B4"/>
    <w:rsid w:val="009906F4"/>
    <w:rsid w:val="00990B0C"/>
    <w:rsid w:val="00995ABF"/>
    <w:rsid w:val="00996073"/>
    <w:rsid w:val="009A0951"/>
    <w:rsid w:val="009B4D4D"/>
    <w:rsid w:val="009C3C81"/>
    <w:rsid w:val="009E2BC1"/>
    <w:rsid w:val="009E2F7F"/>
    <w:rsid w:val="00A007D0"/>
    <w:rsid w:val="00A06262"/>
    <w:rsid w:val="00A075DF"/>
    <w:rsid w:val="00A13DFA"/>
    <w:rsid w:val="00A20C12"/>
    <w:rsid w:val="00A23EA7"/>
    <w:rsid w:val="00A4074E"/>
    <w:rsid w:val="00A424D1"/>
    <w:rsid w:val="00A66A57"/>
    <w:rsid w:val="00A67E42"/>
    <w:rsid w:val="00A767B9"/>
    <w:rsid w:val="00A83EE3"/>
    <w:rsid w:val="00A8712F"/>
    <w:rsid w:val="00AA1221"/>
    <w:rsid w:val="00AA6584"/>
    <w:rsid w:val="00AB0DE7"/>
    <w:rsid w:val="00AB3D0B"/>
    <w:rsid w:val="00AC5EAB"/>
    <w:rsid w:val="00AD3AF9"/>
    <w:rsid w:val="00AD4282"/>
    <w:rsid w:val="00AD448C"/>
    <w:rsid w:val="00AE0EBE"/>
    <w:rsid w:val="00AE519B"/>
    <w:rsid w:val="00AE6960"/>
    <w:rsid w:val="00AF682B"/>
    <w:rsid w:val="00B03BB0"/>
    <w:rsid w:val="00B0609A"/>
    <w:rsid w:val="00B1450E"/>
    <w:rsid w:val="00B14E6D"/>
    <w:rsid w:val="00B36C7D"/>
    <w:rsid w:val="00B410EB"/>
    <w:rsid w:val="00B50F27"/>
    <w:rsid w:val="00B73ED2"/>
    <w:rsid w:val="00B7484C"/>
    <w:rsid w:val="00B80207"/>
    <w:rsid w:val="00B83E5D"/>
    <w:rsid w:val="00BA3A4C"/>
    <w:rsid w:val="00BA3D01"/>
    <w:rsid w:val="00BA5DAC"/>
    <w:rsid w:val="00BA6004"/>
    <w:rsid w:val="00BB14D0"/>
    <w:rsid w:val="00BB1800"/>
    <w:rsid w:val="00BB294B"/>
    <w:rsid w:val="00BC03BB"/>
    <w:rsid w:val="00BD05D9"/>
    <w:rsid w:val="00BD20C7"/>
    <w:rsid w:val="00BD3DE3"/>
    <w:rsid w:val="00BD70F8"/>
    <w:rsid w:val="00BE5D23"/>
    <w:rsid w:val="00BF3BA4"/>
    <w:rsid w:val="00BF60F7"/>
    <w:rsid w:val="00BF750B"/>
    <w:rsid w:val="00C03AA1"/>
    <w:rsid w:val="00C14DE7"/>
    <w:rsid w:val="00C34FB1"/>
    <w:rsid w:val="00C44C5E"/>
    <w:rsid w:val="00C527B6"/>
    <w:rsid w:val="00C55084"/>
    <w:rsid w:val="00C55178"/>
    <w:rsid w:val="00C558E5"/>
    <w:rsid w:val="00C55C75"/>
    <w:rsid w:val="00C67BA5"/>
    <w:rsid w:val="00C71C68"/>
    <w:rsid w:val="00C73B56"/>
    <w:rsid w:val="00C77AFB"/>
    <w:rsid w:val="00C80CF6"/>
    <w:rsid w:val="00C87B71"/>
    <w:rsid w:val="00C91879"/>
    <w:rsid w:val="00C94F01"/>
    <w:rsid w:val="00CA08D2"/>
    <w:rsid w:val="00CA32D9"/>
    <w:rsid w:val="00CB4FC1"/>
    <w:rsid w:val="00CB6E3E"/>
    <w:rsid w:val="00CC23CF"/>
    <w:rsid w:val="00CC7895"/>
    <w:rsid w:val="00CD2004"/>
    <w:rsid w:val="00CF32CC"/>
    <w:rsid w:val="00D12479"/>
    <w:rsid w:val="00D1354B"/>
    <w:rsid w:val="00D16BDB"/>
    <w:rsid w:val="00D216B2"/>
    <w:rsid w:val="00D24678"/>
    <w:rsid w:val="00D25331"/>
    <w:rsid w:val="00D31D14"/>
    <w:rsid w:val="00D32A5F"/>
    <w:rsid w:val="00D4074F"/>
    <w:rsid w:val="00D43478"/>
    <w:rsid w:val="00D45623"/>
    <w:rsid w:val="00D476B5"/>
    <w:rsid w:val="00D502A6"/>
    <w:rsid w:val="00D50BDF"/>
    <w:rsid w:val="00D547BC"/>
    <w:rsid w:val="00D600A6"/>
    <w:rsid w:val="00D6058D"/>
    <w:rsid w:val="00D62DDA"/>
    <w:rsid w:val="00D63CA2"/>
    <w:rsid w:val="00D66859"/>
    <w:rsid w:val="00D67879"/>
    <w:rsid w:val="00D73DB9"/>
    <w:rsid w:val="00D74C6F"/>
    <w:rsid w:val="00D777B2"/>
    <w:rsid w:val="00D923A8"/>
    <w:rsid w:val="00D923BD"/>
    <w:rsid w:val="00D923D3"/>
    <w:rsid w:val="00DA1C51"/>
    <w:rsid w:val="00DA2DA6"/>
    <w:rsid w:val="00DA47A5"/>
    <w:rsid w:val="00DA6497"/>
    <w:rsid w:val="00DA789D"/>
    <w:rsid w:val="00DC158B"/>
    <w:rsid w:val="00DC3BA7"/>
    <w:rsid w:val="00DD5804"/>
    <w:rsid w:val="00DE29D8"/>
    <w:rsid w:val="00DE369D"/>
    <w:rsid w:val="00DF1420"/>
    <w:rsid w:val="00DF1CA7"/>
    <w:rsid w:val="00E00220"/>
    <w:rsid w:val="00E00CF9"/>
    <w:rsid w:val="00E14375"/>
    <w:rsid w:val="00E156EC"/>
    <w:rsid w:val="00E3183D"/>
    <w:rsid w:val="00E349E1"/>
    <w:rsid w:val="00E46E10"/>
    <w:rsid w:val="00E50194"/>
    <w:rsid w:val="00E50879"/>
    <w:rsid w:val="00E551AD"/>
    <w:rsid w:val="00E62EE7"/>
    <w:rsid w:val="00E6403C"/>
    <w:rsid w:val="00E75745"/>
    <w:rsid w:val="00E86BBF"/>
    <w:rsid w:val="00E94773"/>
    <w:rsid w:val="00EA576B"/>
    <w:rsid w:val="00EC1DA7"/>
    <w:rsid w:val="00ED10DD"/>
    <w:rsid w:val="00ED2334"/>
    <w:rsid w:val="00ED5B27"/>
    <w:rsid w:val="00EF6679"/>
    <w:rsid w:val="00F03019"/>
    <w:rsid w:val="00F0654E"/>
    <w:rsid w:val="00F11F5E"/>
    <w:rsid w:val="00F2608E"/>
    <w:rsid w:val="00F30A57"/>
    <w:rsid w:val="00F33F91"/>
    <w:rsid w:val="00F37BD0"/>
    <w:rsid w:val="00F41A30"/>
    <w:rsid w:val="00F55E97"/>
    <w:rsid w:val="00F64770"/>
    <w:rsid w:val="00F66F44"/>
    <w:rsid w:val="00F66F5E"/>
    <w:rsid w:val="00F715A7"/>
    <w:rsid w:val="00F80E83"/>
    <w:rsid w:val="00F84A58"/>
    <w:rsid w:val="00F85BD2"/>
    <w:rsid w:val="00FB1645"/>
    <w:rsid w:val="00FC3215"/>
    <w:rsid w:val="00FD1276"/>
    <w:rsid w:val="00FD23A5"/>
    <w:rsid w:val="00FE41BA"/>
    <w:rsid w:val="00FE5E34"/>
    <w:rsid w:val="00FF10C3"/>
    <w:rsid w:val="00FF7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6" style="mso-position-horizontal-relative:margin;mso-position-vertical-relative:margin" o:allowincell="f" fillcolor="none [1304]" stroke="f">
      <v:fill color="none [1304]" opacity=".5"/>
      <v:stroke on="f"/>
    </o:shapedefaults>
    <o:shapelayout v:ext="edit">
      <o:idmap v:ext="edit" data="1"/>
    </o:shapelayout>
  </w:shapeDefaults>
  <w:decimalSymbol w:val=","/>
  <w:listSeparator w:val=";"/>
  <w14:docId w14:val="1A5B219C"/>
  <w15:chartTrackingRefBased/>
  <w15:docId w15:val="{C96E66E0-4314-4519-A397-87220FE7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5CFE"/>
    <w:pPr>
      <w:jc w:val="both"/>
    </w:pPr>
    <w:rPr>
      <w:rFonts w:ascii="Gill Sans MT" w:hAnsi="Gill Sans MT"/>
    </w:rPr>
  </w:style>
  <w:style w:type="paragraph" w:styleId="Ttulo1">
    <w:name w:val="heading 1"/>
    <w:basedOn w:val="Normal"/>
    <w:next w:val="Normal"/>
    <w:link w:val="Ttulo1Car"/>
    <w:uiPriority w:val="9"/>
    <w:qFormat/>
    <w:rsid w:val="0088348D"/>
    <w:pPr>
      <w:keepNext/>
      <w:keepLines/>
      <w:spacing w:before="120" w:after="120"/>
      <w:outlineLvl w:val="0"/>
    </w:pPr>
    <w:rPr>
      <w:rFonts w:eastAsiaTheme="majorEastAsia" w:cstheme="majorBidi"/>
      <w:b/>
      <w:color w:val="2F5496" w:themeColor="accent5" w:themeShade="BF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D43478"/>
    <w:pPr>
      <w:keepNext/>
      <w:keepLines/>
      <w:spacing w:before="120" w:after="120"/>
      <w:outlineLvl w:val="1"/>
    </w:pPr>
    <w:rPr>
      <w:rFonts w:eastAsiaTheme="majorEastAsia" w:cstheme="majorBidi"/>
      <w:color w:val="2F5496" w:themeColor="accent5" w:themeShade="BF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1D3C3D"/>
    <w:pPr>
      <w:keepNext/>
      <w:keepLines/>
      <w:spacing w:before="160" w:after="120"/>
      <w:outlineLvl w:val="2"/>
    </w:pPr>
    <w:rPr>
      <w:rFonts w:eastAsiaTheme="majorEastAsia" w:cstheme="majorBidi"/>
      <w:color w:val="1F4D78" w:themeColor="accent1" w:themeShade="7F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3810"/>
  </w:style>
  <w:style w:type="paragraph" w:styleId="Piedepgina">
    <w:name w:val="footer"/>
    <w:basedOn w:val="Normal"/>
    <w:link w:val="PiedepginaCar"/>
    <w:uiPriority w:val="99"/>
    <w:unhideWhenUsed/>
    <w:rsid w:val="0096381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3810"/>
  </w:style>
  <w:style w:type="table" w:styleId="Tablaconcuadrcula">
    <w:name w:val="Table Grid"/>
    <w:basedOn w:val="Tablanormal"/>
    <w:uiPriority w:val="39"/>
    <w:rsid w:val="000B0E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cabezado1">
    <w:name w:val="Encabezado1"/>
    <w:basedOn w:val="Encabezado"/>
    <w:link w:val="HeaderCar"/>
    <w:qFormat/>
    <w:rsid w:val="00101178"/>
    <w:rPr>
      <w:sz w:val="16"/>
    </w:rPr>
  </w:style>
  <w:style w:type="character" w:customStyle="1" w:styleId="Ttulo1Car">
    <w:name w:val="Título 1 Car"/>
    <w:basedOn w:val="Fuentedeprrafopredeter"/>
    <w:link w:val="Ttulo1"/>
    <w:uiPriority w:val="9"/>
    <w:rsid w:val="0088348D"/>
    <w:rPr>
      <w:rFonts w:ascii="Gill Sans MT" w:eastAsiaTheme="majorEastAsia" w:hAnsi="Gill Sans MT" w:cstheme="majorBidi"/>
      <w:b/>
      <w:color w:val="2F5496" w:themeColor="accent5" w:themeShade="BF"/>
      <w:szCs w:val="32"/>
    </w:rPr>
  </w:style>
  <w:style w:type="character" w:customStyle="1" w:styleId="HeaderCar">
    <w:name w:val="Header Car"/>
    <w:basedOn w:val="EncabezadoCar"/>
    <w:link w:val="Encabezado1"/>
    <w:rsid w:val="00101178"/>
    <w:rPr>
      <w:rFonts w:ascii="Gill Sans MT" w:hAnsi="Gill Sans MT"/>
      <w:sz w:val="16"/>
    </w:rPr>
  </w:style>
  <w:style w:type="character" w:customStyle="1" w:styleId="Ttulo2Car">
    <w:name w:val="Título 2 Car"/>
    <w:basedOn w:val="Fuentedeprrafopredeter"/>
    <w:link w:val="Ttulo2"/>
    <w:uiPriority w:val="9"/>
    <w:rsid w:val="00D43478"/>
    <w:rPr>
      <w:rFonts w:ascii="Gill Sans MT" w:eastAsiaTheme="majorEastAsia" w:hAnsi="Gill Sans MT" w:cstheme="majorBidi"/>
      <w:color w:val="2F5496" w:themeColor="accent5" w:themeShade="BF"/>
      <w:szCs w:val="26"/>
    </w:rPr>
  </w:style>
  <w:style w:type="table" w:styleId="Tabladecuadrcula1clara-nfasis5">
    <w:name w:val="Grid Table 1 Light Accent 5"/>
    <w:basedOn w:val="Tablanormal"/>
    <w:uiPriority w:val="46"/>
    <w:rsid w:val="007B5CFE"/>
    <w:pPr>
      <w:spacing w:after="120" w:line="240" w:lineRule="auto"/>
    </w:pPr>
    <w:rPr>
      <w:rFonts w:ascii="Gill Sans MT" w:hAnsi="Gill Sans MT"/>
    </w:rPr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 w:val="0"/>
        <w:bCs/>
      </w:rPr>
    </w:tblStylePr>
    <w:tblStylePr w:type="lastCol">
      <w:rPr>
        <w:b/>
        <w:bCs/>
      </w:rPr>
    </w:tblStylePr>
  </w:style>
  <w:style w:type="paragraph" w:styleId="Prrafodelista">
    <w:name w:val="List Paragraph"/>
    <w:basedOn w:val="Normal"/>
    <w:uiPriority w:val="34"/>
    <w:qFormat/>
    <w:rsid w:val="00060A0C"/>
    <w:pPr>
      <w:ind w:left="720"/>
      <w:contextualSpacing/>
    </w:pPr>
  </w:style>
  <w:style w:type="paragraph" w:styleId="Textoindependiente">
    <w:name w:val="Body Text"/>
    <w:basedOn w:val="Normal"/>
    <w:link w:val="TextoindependienteCar"/>
    <w:rsid w:val="00FD23A5"/>
    <w:pPr>
      <w:spacing w:after="0" w:line="240" w:lineRule="auto"/>
    </w:pPr>
    <w:rPr>
      <w:rFonts w:ascii="Arial" w:eastAsia="Times New Roman" w:hAnsi="Arial" w:cs="Arial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FD23A5"/>
    <w:rPr>
      <w:rFonts w:ascii="Arial" w:eastAsia="Times New Roman" w:hAnsi="Arial" w:cs="Arial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FD23A5"/>
    <w:pPr>
      <w:spacing w:after="120" w:line="240" w:lineRule="auto"/>
      <w:jc w:val="left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FD23A5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546D8E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4E31F6"/>
    <w:pPr>
      <w:spacing w:after="0" w:line="240" w:lineRule="auto"/>
      <w:jc w:val="both"/>
    </w:pPr>
    <w:rPr>
      <w:rFonts w:ascii="Gill Sans MT" w:hAnsi="Gill Sans MT"/>
    </w:rPr>
  </w:style>
  <w:style w:type="character" w:customStyle="1" w:styleId="Ttulo3Car">
    <w:name w:val="Título 3 Car"/>
    <w:basedOn w:val="Fuentedeprrafopredeter"/>
    <w:link w:val="Ttulo3"/>
    <w:uiPriority w:val="9"/>
    <w:rsid w:val="001D3C3D"/>
    <w:rPr>
      <w:rFonts w:ascii="Gill Sans MT" w:eastAsiaTheme="majorEastAsia" w:hAnsi="Gill Sans MT" w:cstheme="majorBidi"/>
      <w:color w:val="1F4D78" w:themeColor="accent1" w:themeShade="7F"/>
      <w:szCs w:val="24"/>
    </w:rPr>
  </w:style>
  <w:style w:type="paragraph" w:styleId="Descripcin">
    <w:name w:val="caption"/>
    <w:basedOn w:val="Normal"/>
    <w:next w:val="Normal"/>
    <w:uiPriority w:val="35"/>
    <w:unhideWhenUsed/>
    <w:qFormat/>
    <w:rsid w:val="00B73ED2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tuloTDC">
    <w:name w:val="TOC Heading"/>
    <w:basedOn w:val="Ttulo1"/>
    <w:next w:val="Normal"/>
    <w:uiPriority w:val="39"/>
    <w:unhideWhenUsed/>
    <w:qFormat/>
    <w:rsid w:val="0045017D"/>
    <w:pPr>
      <w:spacing w:before="240" w:after="0"/>
      <w:jc w:val="left"/>
      <w:outlineLvl w:val="9"/>
    </w:pPr>
    <w:rPr>
      <w:rFonts w:asciiTheme="majorHAnsi" w:hAnsiTheme="majorHAnsi"/>
      <w:b w:val="0"/>
      <w:color w:val="2E74B5" w:themeColor="accent1" w:themeShade="BF"/>
      <w:sz w:val="32"/>
      <w:lang w:eastAsia="es-CR"/>
    </w:rPr>
  </w:style>
  <w:style w:type="paragraph" w:styleId="TDC2">
    <w:name w:val="toc 2"/>
    <w:basedOn w:val="Normal"/>
    <w:next w:val="Normal"/>
    <w:autoRedefine/>
    <w:uiPriority w:val="39"/>
    <w:unhideWhenUsed/>
    <w:rsid w:val="0045017D"/>
    <w:pPr>
      <w:spacing w:after="100"/>
      <w:ind w:left="22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DC1">
    <w:name w:val="toc 1"/>
    <w:basedOn w:val="Normal"/>
    <w:next w:val="Normal"/>
    <w:autoRedefine/>
    <w:uiPriority w:val="39"/>
    <w:unhideWhenUsed/>
    <w:rsid w:val="006E507D"/>
    <w:pPr>
      <w:spacing w:before="120" w:after="120"/>
    </w:pPr>
    <w:rPr>
      <w:rFonts w:eastAsiaTheme="minorEastAsia" w:cs="Times New Roman"/>
      <w:lang w:eastAsia="es-CR"/>
    </w:rPr>
  </w:style>
  <w:style w:type="paragraph" w:styleId="TDC3">
    <w:name w:val="toc 3"/>
    <w:basedOn w:val="Normal"/>
    <w:next w:val="Normal"/>
    <w:autoRedefine/>
    <w:uiPriority w:val="39"/>
    <w:unhideWhenUsed/>
    <w:rsid w:val="0045017D"/>
    <w:pPr>
      <w:spacing w:after="100"/>
      <w:ind w:left="440"/>
      <w:jc w:val="left"/>
    </w:pPr>
    <w:rPr>
      <w:rFonts w:asciiTheme="minorHAnsi" w:eastAsiaTheme="minorEastAsia" w:hAnsiTheme="minorHAnsi" w:cs="Times New Roman"/>
      <w:lang w:eastAsia="es-CR"/>
    </w:rPr>
  </w:style>
  <w:style w:type="paragraph" w:styleId="Tabladeilustraciones">
    <w:name w:val="table of figures"/>
    <w:basedOn w:val="Normal"/>
    <w:next w:val="Normal"/>
    <w:uiPriority w:val="99"/>
    <w:unhideWhenUsed/>
    <w:rsid w:val="00D31D14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A8E6ED-6C3B-4E5F-B78E-4EFBF6542A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1834</Words>
  <Characters>10089</Characters>
  <Application>Microsoft Office Word</Application>
  <DocSecurity>0</DocSecurity>
  <Lines>84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2020-06-18T00:14:00Z</dcterms:created>
  <dcterms:modified xsi:type="dcterms:W3CDTF">2020-06-18T00:14:00Z</dcterms:modified>
</cp:coreProperties>
</file>