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header5.xml" ContentType="application/vnd.openxmlformats-officedocument.wordprocessingml.head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77601" w:rsidRDefault="00477601" w:rsidP="00477601">
      <w:pPr>
        <w:jc w:val="center"/>
        <w:rPr>
          <w:rFonts w:ascii="Arial" w:hAnsi="Arial" w:cs="Arial"/>
          <w:b/>
          <w:sz w:val="36"/>
        </w:rPr>
      </w:pPr>
      <w:r w:rsidRPr="00C17B7D">
        <w:rPr>
          <w:rFonts w:ascii="Arial" w:hAnsi="Arial" w:cs="Arial"/>
          <w:b/>
          <w:sz w:val="36"/>
        </w:rPr>
        <w:t>Universidad Nacional</w:t>
      </w:r>
      <w:r>
        <w:rPr>
          <w:rFonts w:ascii="Arial" w:hAnsi="Arial" w:cs="Arial"/>
          <w:b/>
          <w:sz w:val="36"/>
        </w:rPr>
        <w:t xml:space="preserve"> de Costa Rica</w:t>
      </w:r>
    </w:p>
    <w:p w:rsidR="00477601" w:rsidRDefault="00477601" w:rsidP="00477601">
      <w:pPr>
        <w:jc w:val="center"/>
        <w:rPr>
          <w:rFonts w:ascii="Arial" w:hAnsi="Arial" w:cs="Arial"/>
          <w:b/>
          <w:sz w:val="36"/>
        </w:rPr>
      </w:pPr>
      <w:r w:rsidRPr="00C17B7D">
        <w:rPr>
          <w:rFonts w:ascii="Arial" w:hAnsi="Arial" w:cs="Arial"/>
          <w:b/>
          <w:sz w:val="32"/>
        </w:rPr>
        <w:t>Facultad de Ciencias Sociales</w:t>
      </w:r>
    </w:p>
    <w:p w:rsidR="00477601" w:rsidRPr="00685DB1" w:rsidRDefault="00477601" w:rsidP="00477601">
      <w:pPr>
        <w:jc w:val="center"/>
        <w:rPr>
          <w:rFonts w:ascii="Arial" w:hAnsi="Arial" w:cs="Arial"/>
          <w:b/>
          <w:sz w:val="36"/>
        </w:rPr>
      </w:pPr>
      <w:r w:rsidRPr="00C17B7D">
        <w:rPr>
          <w:rFonts w:ascii="Arial" w:hAnsi="Arial" w:cs="Arial"/>
          <w:b/>
          <w:sz w:val="28"/>
        </w:rPr>
        <w:t>Escuela de Planificación y Promoción Social</w:t>
      </w:r>
    </w:p>
    <w:p w:rsidR="00477601" w:rsidRPr="00C17B7D" w:rsidRDefault="00477601" w:rsidP="00477601">
      <w:pPr>
        <w:jc w:val="center"/>
        <w:rPr>
          <w:rFonts w:ascii="Arial" w:hAnsi="Arial" w:cs="Arial"/>
          <w:b/>
          <w:sz w:val="28"/>
        </w:rPr>
      </w:pPr>
    </w:p>
    <w:p w:rsidR="00477601" w:rsidRPr="00C17B7D" w:rsidRDefault="00477601" w:rsidP="00477601">
      <w:pPr>
        <w:rPr>
          <w:rFonts w:ascii="Arial" w:hAnsi="Arial" w:cs="Arial"/>
          <w:b/>
          <w:sz w:val="28"/>
        </w:rPr>
      </w:pPr>
    </w:p>
    <w:p w:rsidR="00477601" w:rsidRDefault="00477601" w:rsidP="00477601">
      <w:pPr>
        <w:jc w:val="center"/>
        <w:rPr>
          <w:rFonts w:ascii="Arial" w:hAnsi="Arial" w:cs="Arial"/>
          <w:b/>
          <w:sz w:val="28"/>
        </w:rPr>
      </w:pPr>
      <w:r>
        <w:rPr>
          <w:rFonts w:ascii="Arial" w:hAnsi="Arial" w:cs="Arial"/>
          <w:b/>
          <w:sz w:val="28"/>
        </w:rPr>
        <w:t>Tesis de graduación para optar por el grado de Licenciatura en Planificación Económica y Social</w:t>
      </w:r>
    </w:p>
    <w:p w:rsidR="00477601" w:rsidRPr="00C17B7D" w:rsidRDefault="00477601" w:rsidP="00477601">
      <w:pPr>
        <w:jc w:val="center"/>
        <w:rPr>
          <w:rFonts w:ascii="Arial" w:hAnsi="Arial" w:cs="Arial"/>
          <w:b/>
          <w:sz w:val="28"/>
        </w:rPr>
      </w:pPr>
    </w:p>
    <w:p w:rsidR="00477601" w:rsidRDefault="00477601" w:rsidP="00477601">
      <w:pPr>
        <w:spacing w:line="360" w:lineRule="auto"/>
        <w:ind w:firstLine="708"/>
        <w:jc w:val="center"/>
        <w:rPr>
          <w:rFonts w:ascii="Arial" w:hAnsi="Arial" w:cs="Arial"/>
          <w:sz w:val="28"/>
        </w:rPr>
      </w:pPr>
      <w:r w:rsidRPr="00834ACB">
        <w:rPr>
          <w:rFonts w:ascii="Arial" w:hAnsi="Arial" w:cs="Arial"/>
          <w:sz w:val="28"/>
        </w:rPr>
        <w:t>Las estrategias inst</w:t>
      </w:r>
      <w:r>
        <w:rPr>
          <w:rFonts w:ascii="Arial" w:hAnsi="Arial" w:cs="Arial"/>
          <w:sz w:val="28"/>
        </w:rPr>
        <w:t xml:space="preserve">itucionales de implementación y gestión </w:t>
      </w:r>
      <w:r w:rsidRPr="00834ACB">
        <w:rPr>
          <w:rFonts w:ascii="Arial" w:hAnsi="Arial" w:cs="Arial"/>
          <w:sz w:val="28"/>
        </w:rPr>
        <w:t xml:space="preserve">del Área Marina </w:t>
      </w:r>
      <w:r>
        <w:rPr>
          <w:rFonts w:ascii="Arial" w:hAnsi="Arial" w:cs="Arial"/>
          <w:sz w:val="28"/>
        </w:rPr>
        <w:t>de Pesca Responsable Paquera – T</w:t>
      </w:r>
      <w:r w:rsidRPr="00834ACB">
        <w:rPr>
          <w:rFonts w:ascii="Arial" w:hAnsi="Arial" w:cs="Arial"/>
          <w:sz w:val="28"/>
        </w:rPr>
        <w:t>ambor desde un aná</w:t>
      </w:r>
      <w:r>
        <w:rPr>
          <w:rFonts w:ascii="Arial" w:hAnsi="Arial" w:cs="Arial"/>
          <w:sz w:val="28"/>
        </w:rPr>
        <w:t xml:space="preserve">lisis de la planificación local. </w:t>
      </w:r>
    </w:p>
    <w:p w:rsidR="00477601" w:rsidRDefault="00477601" w:rsidP="00477601">
      <w:pPr>
        <w:spacing w:line="360" w:lineRule="auto"/>
        <w:rPr>
          <w:rFonts w:ascii="Arial" w:hAnsi="Arial" w:cs="Arial"/>
          <w:sz w:val="28"/>
        </w:rPr>
      </w:pPr>
    </w:p>
    <w:p w:rsidR="00477601" w:rsidRPr="00C17B7D" w:rsidRDefault="00477601" w:rsidP="00477601">
      <w:pPr>
        <w:jc w:val="center"/>
        <w:rPr>
          <w:rFonts w:ascii="Arial" w:hAnsi="Arial" w:cs="Arial"/>
          <w:b/>
          <w:sz w:val="28"/>
        </w:rPr>
      </w:pPr>
    </w:p>
    <w:p w:rsidR="00477601" w:rsidRPr="00C17B7D" w:rsidRDefault="00477601" w:rsidP="00477601">
      <w:pPr>
        <w:jc w:val="center"/>
        <w:rPr>
          <w:rFonts w:ascii="Arial" w:hAnsi="Arial" w:cs="Arial"/>
          <w:b/>
          <w:sz w:val="28"/>
        </w:rPr>
      </w:pPr>
      <w:r w:rsidRPr="00C17B7D">
        <w:rPr>
          <w:rFonts w:ascii="Arial" w:hAnsi="Arial" w:cs="Arial"/>
          <w:b/>
          <w:sz w:val="28"/>
        </w:rPr>
        <w:t>Estudiante</w:t>
      </w:r>
    </w:p>
    <w:p w:rsidR="00477601" w:rsidRDefault="00477601" w:rsidP="00477601">
      <w:pPr>
        <w:tabs>
          <w:tab w:val="center" w:pos="4419"/>
          <w:tab w:val="left" w:pos="7065"/>
        </w:tabs>
        <w:rPr>
          <w:rFonts w:ascii="Arial" w:hAnsi="Arial" w:cs="Arial"/>
          <w:sz w:val="28"/>
        </w:rPr>
      </w:pPr>
      <w:r>
        <w:rPr>
          <w:rFonts w:ascii="Arial" w:hAnsi="Arial" w:cs="Arial"/>
          <w:sz w:val="28"/>
        </w:rPr>
        <w:tab/>
      </w:r>
      <w:r w:rsidRPr="00C17B7D">
        <w:rPr>
          <w:rFonts w:ascii="Arial" w:hAnsi="Arial" w:cs="Arial"/>
          <w:sz w:val="28"/>
        </w:rPr>
        <w:t>Greivin Azofeifa Hernández</w:t>
      </w:r>
      <w:r>
        <w:rPr>
          <w:rFonts w:ascii="Arial" w:hAnsi="Arial" w:cs="Arial"/>
          <w:sz w:val="28"/>
        </w:rPr>
        <w:tab/>
      </w:r>
    </w:p>
    <w:p w:rsidR="00477601" w:rsidRPr="00C17B7D" w:rsidRDefault="00477601" w:rsidP="00477601">
      <w:pPr>
        <w:jc w:val="center"/>
        <w:rPr>
          <w:rFonts w:ascii="Arial" w:hAnsi="Arial" w:cs="Arial"/>
          <w:sz w:val="28"/>
        </w:rPr>
      </w:pPr>
    </w:p>
    <w:p w:rsidR="00477601" w:rsidRPr="00C17B7D" w:rsidRDefault="00477601" w:rsidP="00477601">
      <w:pPr>
        <w:jc w:val="center"/>
        <w:rPr>
          <w:rFonts w:ascii="Arial" w:hAnsi="Arial" w:cs="Arial"/>
          <w:b/>
          <w:sz w:val="28"/>
        </w:rPr>
      </w:pPr>
    </w:p>
    <w:p w:rsidR="00477601" w:rsidRPr="00C17B7D" w:rsidRDefault="00477601" w:rsidP="00477601">
      <w:pPr>
        <w:jc w:val="center"/>
        <w:rPr>
          <w:rFonts w:ascii="Arial" w:hAnsi="Arial" w:cs="Arial"/>
          <w:b/>
          <w:sz w:val="28"/>
        </w:rPr>
      </w:pPr>
    </w:p>
    <w:p w:rsidR="00477601" w:rsidRPr="00C17B7D" w:rsidRDefault="00477601" w:rsidP="00477601">
      <w:pPr>
        <w:rPr>
          <w:rFonts w:ascii="Arial" w:hAnsi="Arial" w:cs="Arial"/>
          <w:b/>
          <w:sz w:val="28"/>
        </w:rPr>
      </w:pPr>
    </w:p>
    <w:p w:rsidR="00477601" w:rsidRDefault="00477601" w:rsidP="00477601">
      <w:pPr>
        <w:jc w:val="center"/>
        <w:rPr>
          <w:rFonts w:ascii="Arial" w:hAnsi="Arial" w:cs="Arial"/>
          <w:b/>
          <w:sz w:val="28"/>
        </w:rPr>
      </w:pPr>
      <w:r>
        <w:rPr>
          <w:rFonts w:ascii="Arial" w:hAnsi="Arial" w:cs="Arial"/>
          <w:b/>
          <w:sz w:val="28"/>
        </w:rPr>
        <w:t>Campus Omar Dengo</w:t>
      </w:r>
    </w:p>
    <w:p w:rsidR="00477601" w:rsidRDefault="00477601" w:rsidP="00477601">
      <w:pPr>
        <w:tabs>
          <w:tab w:val="center" w:pos="4419"/>
          <w:tab w:val="right" w:pos="8838"/>
        </w:tabs>
        <w:rPr>
          <w:rFonts w:ascii="Arial" w:hAnsi="Arial" w:cs="Arial"/>
          <w:b/>
          <w:sz w:val="28"/>
        </w:rPr>
      </w:pPr>
      <w:r>
        <w:rPr>
          <w:rFonts w:ascii="Arial" w:hAnsi="Arial" w:cs="Arial"/>
          <w:b/>
          <w:sz w:val="28"/>
        </w:rPr>
        <w:tab/>
        <w:t>Heredia, Costa Rica</w:t>
      </w:r>
      <w:r>
        <w:rPr>
          <w:rFonts w:ascii="Arial" w:hAnsi="Arial" w:cs="Arial"/>
          <w:b/>
          <w:sz w:val="28"/>
        </w:rPr>
        <w:tab/>
      </w:r>
    </w:p>
    <w:p w:rsidR="00477601" w:rsidRDefault="00476F02" w:rsidP="00477601">
      <w:pPr>
        <w:jc w:val="center"/>
        <w:rPr>
          <w:rFonts w:ascii="Arial" w:hAnsi="Arial" w:cs="Arial"/>
          <w:b/>
          <w:sz w:val="28"/>
        </w:rPr>
      </w:pPr>
      <w:r>
        <w:rPr>
          <w:rFonts w:ascii="Arial" w:hAnsi="Arial" w:cs="Arial"/>
          <w:b/>
          <w:sz w:val="28"/>
        </w:rPr>
        <w:t>2021</w:t>
      </w:r>
    </w:p>
    <w:p w:rsidR="00477601" w:rsidRDefault="00477601" w:rsidP="00477601"/>
    <w:p w:rsidR="00477601" w:rsidRDefault="00477601" w:rsidP="00477601"/>
    <w:p w:rsidR="00477601" w:rsidRDefault="00477601" w:rsidP="00477601"/>
    <w:p w:rsidR="00477601" w:rsidRDefault="00477601" w:rsidP="00477601"/>
    <w:p w:rsidR="00477601" w:rsidRDefault="00477601" w:rsidP="00477601">
      <w:pPr>
        <w:pStyle w:val="Ttulo1"/>
        <w:spacing w:line="480" w:lineRule="auto"/>
        <w:rPr>
          <w:szCs w:val="26"/>
        </w:rPr>
      </w:pPr>
      <w:bookmarkStart w:id="0" w:name="_Toc49628433"/>
      <w:bookmarkStart w:id="1" w:name="_Toc50906682"/>
      <w:r>
        <w:rPr>
          <w:szCs w:val="26"/>
        </w:rPr>
        <w:lastRenderedPageBreak/>
        <w:t>Resumen Ejecutivo</w:t>
      </w:r>
      <w:bookmarkEnd w:id="0"/>
      <w:bookmarkEnd w:id="1"/>
    </w:p>
    <w:p w:rsidR="00477601" w:rsidRDefault="00477601" w:rsidP="00477601">
      <w:pPr>
        <w:spacing w:line="360" w:lineRule="auto"/>
        <w:ind w:firstLine="708"/>
        <w:jc w:val="both"/>
        <w:rPr>
          <w:rFonts w:ascii="Arial" w:hAnsi="Arial" w:cs="Arial"/>
          <w:sz w:val="24"/>
        </w:rPr>
      </w:pPr>
      <w:r>
        <w:rPr>
          <w:rFonts w:ascii="Arial" w:hAnsi="Arial" w:cs="Arial"/>
          <w:sz w:val="24"/>
        </w:rPr>
        <w:t xml:space="preserve">Esta investigación analiza las estrategias de implementación y gestión institucionales vinculadas con la planificación y el accionar local en el Área Marina de Pesca Responsable (AMPR) Paquera – Tambor. Dentro de esta temática, el estudio busca comprender la relación de estas dinámicas institucionales en el entorno de la localidad donde se desarrolla el proyecto del AMPR. Para ello se trabajó directamente con actores y organizaciones locales e institucionales, además de una profunda indagación bibliográfica. </w:t>
      </w:r>
    </w:p>
    <w:p w:rsidR="00477601" w:rsidRDefault="00477601" w:rsidP="00477601">
      <w:pPr>
        <w:spacing w:line="360" w:lineRule="auto"/>
        <w:ind w:firstLine="708"/>
        <w:jc w:val="both"/>
        <w:rPr>
          <w:rFonts w:ascii="Arial" w:hAnsi="Arial" w:cs="Arial"/>
          <w:sz w:val="24"/>
        </w:rPr>
      </w:pPr>
      <w:r>
        <w:rPr>
          <w:rFonts w:ascii="Arial" w:hAnsi="Arial" w:cs="Arial"/>
          <w:sz w:val="24"/>
        </w:rPr>
        <w:t xml:space="preserve">La gestión púbica en general, es entendida desde diferentes perspectivas, por ello resulta importante el comprender cuales son esos discursos teóricos alrededor de esta y otras grandes categorías relacionadas a este estudio, tales como la planificación local, las estructuras jurídicas y el accionar local-comunal. </w:t>
      </w:r>
    </w:p>
    <w:p w:rsidR="00477601" w:rsidRDefault="00477601" w:rsidP="00477601">
      <w:pPr>
        <w:spacing w:line="360" w:lineRule="auto"/>
        <w:ind w:firstLine="708"/>
        <w:jc w:val="both"/>
        <w:rPr>
          <w:rFonts w:ascii="Arial" w:hAnsi="Arial" w:cs="Arial"/>
          <w:sz w:val="24"/>
        </w:rPr>
      </w:pPr>
      <w:r>
        <w:rPr>
          <w:rFonts w:ascii="Arial" w:hAnsi="Arial" w:cs="Arial"/>
          <w:sz w:val="24"/>
        </w:rPr>
        <w:t>Se trata de una investigación de tipo cualitativa y descriptica, enmarcado dentro de los estudios de administración y gestión pública con una perspectiva desde lo local-comunal.</w:t>
      </w:r>
    </w:p>
    <w:p w:rsidR="00477601" w:rsidRDefault="00477601" w:rsidP="00477601">
      <w:pPr>
        <w:spacing w:line="360" w:lineRule="auto"/>
        <w:ind w:firstLine="708"/>
        <w:jc w:val="both"/>
        <w:rPr>
          <w:rFonts w:ascii="Arial" w:hAnsi="Arial" w:cs="Arial"/>
          <w:sz w:val="24"/>
        </w:rPr>
      </w:pPr>
      <w:r>
        <w:rPr>
          <w:rFonts w:ascii="Arial" w:hAnsi="Arial" w:cs="Arial"/>
          <w:sz w:val="24"/>
        </w:rPr>
        <w:t>Como se ha indicado, inicialmente el estudio aborda las aristas institucionales, jurídicas y formales en las que se fundamenta el objeto de estudio, en este caso el AMPR Paquera – Tambor, por lo que se realiza un abordaje de las principales leyes, normas y/o reglamentos, así como las instituciones vinculadas al tema de pesca en Costa Rica, específicamente en el tema de las AMPR.</w:t>
      </w:r>
    </w:p>
    <w:p w:rsidR="00477601" w:rsidRDefault="00477601" w:rsidP="00477601">
      <w:pPr>
        <w:spacing w:line="360" w:lineRule="auto"/>
        <w:ind w:firstLine="708"/>
        <w:jc w:val="both"/>
        <w:rPr>
          <w:rFonts w:ascii="Arial" w:hAnsi="Arial" w:cs="Arial"/>
          <w:sz w:val="24"/>
        </w:rPr>
      </w:pPr>
      <w:r>
        <w:rPr>
          <w:rFonts w:ascii="Arial" w:hAnsi="Arial" w:cs="Arial"/>
          <w:sz w:val="24"/>
        </w:rPr>
        <w:t xml:space="preserve">Por otro lado, se desarrolla también un entramado teórico-analítico sobre distintas perspectivas de la planificación local y su vínculo con las políticas públicas y la administración pública en general; abogando principalmente por una verdadera promoción de la participación local, logrando así procesos en conjunto con la institucionalidad de manera endógena y comunitaria. Por tanto, este estudio comparte esa visión descentralizada de ver las relaciones entre el Estado y las comunidades. </w:t>
      </w:r>
    </w:p>
    <w:p w:rsidR="00477601" w:rsidRDefault="00477601" w:rsidP="00477601">
      <w:pPr>
        <w:spacing w:line="360" w:lineRule="auto"/>
        <w:ind w:firstLine="708"/>
        <w:jc w:val="both"/>
        <w:rPr>
          <w:rFonts w:ascii="Arial" w:hAnsi="Arial" w:cs="Arial"/>
          <w:sz w:val="24"/>
        </w:rPr>
      </w:pPr>
      <w:r>
        <w:rPr>
          <w:rFonts w:ascii="Arial" w:hAnsi="Arial" w:cs="Arial"/>
          <w:sz w:val="24"/>
        </w:rPr>
        <w:t xml:space="preserve">Al ser este un estudio de tipo descriptivo-analítico, busca luego de las acciones anteriormente mencionadas, el análisis profundo entre la información </w:t>
      </w:r>
      <w:r>
        <w:rPr>
          <w:rFonts w:ascii="Arial" w:hAnsi="Arial" w:cs="Arial"/>
          <w:sz w:val="24"/>
        </w:rPr>
        <w:lastRenderedPageBreak/>
        <w:t xml:space="preserve">recabada en los estudios de campo, la revisión bibliográfica, etc., y las referencias teóricas que ayudan a comprender el fenómeno social comprendido alrededor de la gestión institucional y local del AMPR Paquera – Tambor. </w:t>
      </w:r>
    </w:p>
    <w:p w:rsidR="00477601" w:rsidRDefault="00477601" w:rsidP="00477601">
      <w:pPr>
        <w:spacing w:line="360" w:lineRule="auto"/>
        <w:ind w:firstLine="708"/>
        <w:jc w:val="both"/>
        <w:rPr>
          <w:rFonts w:ascii="Arial" w:hAnsi="Arial" w:cs="Arial"/>
          <w:sz w:val="24"/>
        </w:rPr>
      </w:pPr>
      <w:r>
        <w:rPr>
          <w:rFonts w:ascii="Arial" w:hAnsi="Arial" w:cs="Arial"/>
          <w:sz w:val="24"/>
        </w:rPr>
        <w:t xml:space="preserve">Este documento plantea reflexiones que buscan comprender y describir las relaciones entre las estrategias institucionales y las acciones locales-comunales en el proceso de implementación y gestión del AMPR Paquera – Tambor, para así brindar algunas conclusiones y recomendaciones alrededor de estas acciones que involucran a una diversidad de actores y se vinculan con sus relaciones sociales, económicas, políticas, culturales, ambientales, entre otras. </w:t>
      </w:r>
    </w:p>
    <w:p w:rsidR="00477601" w:rsidRDefault="00477601" w:rsidP="00477601">
      <w:pPr>
        <w:spacing w:line="360" w:lineRule="auto"/>
        <w:ind w:firstLine="708"/>
        <w:jc w:val="both"/>
        <w:rPr>
          <w:rFonts w:ascii="Arial" w:hAnsi="Arial" w:cs="Arial"/>
          <w:sz w:val="24"/>
        </w:rPr>
      </w:pPr>
    </w:p>
    <w:p w:rsidR="00477601" w:rsidRDefault="00477601" w:rsidP="00477601">
      <w:pPr>
        <w:spacing w:line="360" w:lineRule="auto"/>
        <w:ind w:firstLine="708"/>
        <w:jc w:val="both"/>
        <w:rPr>
          <w:rFonts w:ascii="Arial" w:hAnsi="Arial" w:cs="Arial"/>
          <w:sz w:val="24"/>
        </w:rPr>
      </w:pPr>
    </w:p>
    <w:p w:rsidR="00477601" w:rsidRDefault="00477601" w:rsidP="00477601">
      <w:pPr>
        <w:spacing w:line="360" w:lineRule="auto"/>
        <w:ind w:firstLine="708"/>
        <w:jc w:val="both"/>
        <w:rPr>
          <w:rFonts w:ascii="Arial" w:hAnsi="Arial" w:cs="Arial"/>
          <w:sz w:val="24"/>
        </w:rPr>
      </w:pPr>
    </w:p>
    <w:p w:rsidR="00477601" w:rsidRDefault="00477601" w:rsidP="00477601">
      <w:pPr>
        <w:spacing w:line="360" w:lineRule="auto"/>
        <w:ind w:firstLine="708"/>
        <w:jc w:val="both"/>
        <w:rPr>
          <w:rFonts w:ascii="Arial" w:hAnsi="Arial" w:cs="Arial"/>
          <w:sz w:val="24"/>
        </w:rPr>
      </w:pPr>
    </w:p>
    <w:p w:rsidR="00477601" w:rsidRDefault="00477601" w:rsidP="00477601">
      <w:pPr>
        <w:spacing w:line="360" w:lineRule="auto"/>
        <w:ind w:firstLine="708"/>
        <w:jc w:val="both"/>
        <w:rPr>
          <w:rFonts w:ascii="Arial" w:hAnsi="Arial" w:cs="Arial"/>
          <w:sz w:val="24"/>
        </w:rPr>
      </w:pPr>
    </w:p>
    <w:p w:rsidR="00477601" w:rsidRDefault="00477601" w:rsidP="00477601">
      <w:pPr>
        <w:spacing w:line="360" w:lineRule="auto"/>
        <w:ind w:firstLine="708"/>
        <w:jc w:val="both"/>
        <w:rPr>
          <w:rFonts w:ascii="Arial" w:hAnsi="Arial" w:cs="Arial"/>
          <w:sz w:val="24"/>
        </w:rPr>
      </w:pPr>
    </w:p>
    <w:p w:rsidR="00477601" w:rsidRDefault="00477601" w:rsidP="00477601">
      <w:pPr>
        <w:spacing w:line="360" w:lineRule="auto"/>
        <w:ind w:firstLine="708"/>
        <w:jc w:val="both"/>
        <w:rPr>
          <w:rFonts w:ascii="Arial" w:hAnsi="Arial" w:cs="Arial"/>
          <w:sz w:val="24"/>
        </w:rPr>
      </w:pPr>
    </w:p>
    <w:p w:rsidR="00477601" w:rsidRDefault="00477601" w:rsidP="00477601">
      <w:pPr>
        <w:spacing w:line="360" w:lineRule="auto"/>
        <w:ind w:firstLine="708"/>
        <w:jc w:val="both"/>
        <w:rPr>
          <w:rFonts w:ascii="Arial" w:hAnsi="Arial" w:cs="Arial"/>
          <w:sz w:val="24"/>
        </w:rPr>
      </w:pPr>
    </w:p>
    <w:p w:rsidR="00477601" w:rsidRDefault="00477601" w:rsidP="00477601">
      <w:pPr>
        <w:spacing w:line="360" w:lineRule="auto"/>
        <w:ind w:firstLine="708"/>
        <w:jc w:val="both"/>
        <w:rPr>
          <w:rFonts w:ascii="Arial" w:hAnsi="Arial" w:cs="Arial"/>
          <w:sz w:val="24"/>
        </w:rPr>
      </w:pPr>
    </w:p>
    <w:p w:rsidR="00477601" w:rsidRDefault="00477601" w:rsidP="00477601">
      <w:pPr>
        <w:spacing w:line="360" w:lineRule="auto"/>
        <w:ind w:firstLine="708"/>
        <w:jc w:val="both"/>
        <w:rPr>
          <w:rFonts w:ascii="Arial" w:hAnsi="Arial" w:cs="Arial"/>
          <w:sz w:val="24"/>
        </w:rPr>
      </w:pPr>
    </w:p>
    <w:p w:rsidR="00477601" w:rsidRDefault="00477601" w:rsidP="00477601">
      <w:pPr>
        <w:spacing w:line="360" w:lineRule="auto"/>
        <w:ind w:firstLine="708"/>
        <w:jc w:val="both"/>
        <w:rPr>
          <w:rFonts w:ascii="Arial" w:hAnsi="Arial" w:cs="Arial"/>
          <w:sz w:val="24"/>
        </w:rPr>
      </w:pPr>
    </w:p>
    <w:p w:rsidR="00477601" w:rsidRDefault="00477601" w:rsidP="00477601">
      <w:pPr>
        <w:spacing w:line="360" w:lineRule="auto"/>
        <w:ind w:firstLine="708"/>
        <w:jc w:val="both"/>
        <w:rPr>
          <w:rFonts w:ascii="Arial" w:hAnsi="Arial" w:cs="Arial"/>
          <w:sz w:val="24"/>
        </w:rPr>
      </w:pPr>
    </w:p>
    <w:p w:rsidR="00477601" w:rsidRDefault="00477601" w:rsidP="00477601">
      <w:pPr>
        <w:spacing w:line="360" w:lineRule="auto"/>
        <w:ind w:firstLine="708"/>
        <w:jc w:val="both"/>
        <w:rPr>
          <w:rFonts w:ascii="Arial" w:hAnsi="Arial" w:cs="Arial"/>
          <w:sz w:val="24"/>
        </w:rPr>
      </w:pPr>
    </w:p>
    <w:p w:rsidR="00477601" w:rsidRDefault="00477601" w:rsidP="00477601">
      <w:pPr>
        <w:spacing w:line="360" w:lineRule="auto"/>
        <w:ind w:firstLine="708"/>
        <w:jc w:val="both"/>
        <w:rPr>
          <w:rFonts w:ascii="Arial" w:hAnsi="Arial" w:cs="Arial"/>
          <w:sz w:val="24"/>
        </w:rPr>
      </w:pPr>
    </w:p>
    <w:p w:rsidR="00477601" w:rsidRDefault="00477601" w:rsidP="00477601">
      <w:pPr>
        <w:spacing w:line="360" w:lineRule="auto"/>
        <w:ind w:firstLine="708"/>
        <w:jc w:val="both"/>
        <w:rPr>
          <w:rFonts w:ascii="Arial" w:hAnsi="Arial" w:cs="Arial"/>
          <w:sz w:val="24"/>
        </w:rPr>
      </w:pPr>
    </w:p>
    <w:sdt>
      <w:sdtPr>
        <w:rPr>
          <w:rFonts w:asciiTheme="minorHAnsi" w:eastAsiaTheme="minorHAnsi" w:hAnsiTheme="minorHAnsi" w:cstheme="minorBidi"/>
          <w:color w:val="auto"/>
          <w:sz w:val="22"/>
          <w:szCs w:val="22"/>
          <w:lang w:val="es-ES" w:eastAsia="en-US"/>
        </w:rPr>
        <w:id w:val="-1839064882"/>
        <w:docPartObj>
          <w:docPartGallery w:val="Table of Contents"/>
          <w:docPartUnique/>
        </w:docPartObj>
      </w:sdtPr>
      <w:sdtEndPr>
        <w:rPr>
          <w:b/>
          <w:bCs/>
        </w:rPr>
      </w:sdtEndPr>
      <w:sdtContent>
        <w:p w:rsidR="00477601" w:rsidRPr="00EC1EEF" w:rsidRDefault="00477601" w:rsidP="00477601">
          <w:pPr>
            <w:pStyle w:val="TtuloTDC"/>
            <w:spacing w:line="360" w:lineRule="auto"/>
            <w:jc w:val="center"/>
            <w:rPr>
              <w:rFonts w:ascii="Arial" w:hAnsi="Arial" w:cs="Arial"/>
              <w:b/>
              <w:color w:val="auto"/>
              <w:sz w:val="28"/>
              <w:szCs w:val="26"/>
            </w:rPr>
          </w:pPr>
          <w:r w:rsidRPr="00EC1EEF">
            <w:rPr>
              <w:rFonts w:ascii="Arial" w:hAnsi="Arial" w:cs="Arial"/>
              <w:b/>
              <w:color w:val="auto"/>
              <w:sz w:val="28"/>
              <w:szCs w:val="26"/>
              <w:lang w:val="es-ES"/>
            </w:rPr>
            <w:t>Tabla de Contenidos</w:t>
          </w:r>
        </w:p>
        <w:p w:rsidR="00424427" w:rsidRDefault="00477601">
          <w:pPr>
            <w:pStyle w:val="TDC1"/>
            <w:rPr>
              <w:rFonts w:asciiTheme="minorHAnsi" w:eastAsiaTheme="minorEastAsia" w:hAnsiTheme="minorHAnsi" w:cstheme="minorBidi"/>
              <w:b w:val="0"/>
              <w:sz w:val="22"/>
              <w:szCs w:val="22"/>
              <w:lang w:eastAsia="es-CR"/>
            </w:rPr>
          </w:pPr>
          <w:r w:rsidRPr="00EC1EEF">
            <w:rPr>
              <w:bCs/>
              <w:lang w:val="es-ES"/>
            </w:rPr>
            <w:fldChar w:fldCharType="begin"/>
          </w:r>
          <w:r w:rsidRPr="00EC1EEF">
            <w:rPr>
              <w:bCs/>
              <w:lang w:val="es-ES"/>
            </w:rPr>
            <w:instrText xml:space="preserve"> TOC \o "1-3" \h \z \u </w:instrText>
          </w:r>
          <w:r w:rsidRPr="00EC1EEF">
            <w:rPr>
              <w:bCs/>
              <w:lang w:val="es-ES"/>
            </w:rPr>
            <w:fldChar w:fldCharType="separate"/>
          </w:r>
          <w:hyperlink w:anchor="_Toc50906682" w:history="1">
            <w:r w:rsidR="00424427" w:rsidRPr="00F31B63">
              <w:rPr>
                <w:rStyle w:val="Hipervnculo"/>
              </w:rPr>
              <w:t>Resumen Ejecutivo</w:t>
            </w:r>
            <w:r w:rsidR="00424427">
              <w:rPr>
                <w:webHidden/>
              </w:rPr>
              <w:tab/>
            </w:r>
            <w:r w:rsidR="00424427">
              <w:rPr>
                <w:webHidden/>
              </w:rPr>
              <w:fldChar w:fldCharType="begin"/>
            </w:r>
            <w:r w:rsidR="00424427">
              <w:rPr>
                <w:webHidden/>
              </w:rPr>
              <w:instrText xml:space="preserve"> PAGEREF _Toc50906682 \h </w:instrText>
            </w:r>
            <w:r w:rsidR="00424427">
              <w:rPr>
                <w:webHidden/>
              </w:rPr>
            </w:r>
            <w:r w:rsidR="00424427">
              <w:rPr>
                <w:webHidden/>
              </w:rPr>
              <w:fldChar w:fldCharType="separate"/>
            </w:r>
            <w:r w:rsidR="002D2DC2">
              <w:rPr>
                <w:webHidden/>
              </w:rPr>
              <w:t>2</w:t>
            </w:r>
            <w:r w:rsidR="00424427">
              <w:rPr>
                <w:webHidden/>
              </w:rPr>
              <w:fldChar w:fldCharType="end"/>
            </w:r>
          </w:hyperlink>
        </w:p>
        <w:p w:rsidR="00424427" w:rsidRDefault="00FB3EA4">
          <w:pPr>
            <w:pStyle w:val="TDC1"/>
            <w:rPr>
              <w:rFonts w:asciiTheme="minorHAnsi" w:eastAsiaTheme="minorEastAsia" w:hAnsiTheme="minorHAnsi" w:cstheme="minorBidi"/>
              <w:b w:val="0"/>
              <w:sz w:val="22"/>
              <w:szCs w:val="22"/>
              <w:lang w:eastAsia="es-CR"/>
            </w:rPr>
          </w:pPr>
          <w:hyperlink w:anchor="_Toc50906683" w:history="1">
            <w:r w:rsidR="00424427" w:rsidRPr="00F31B63">
              <w:rPr>
                <w:rStyle w:val="Hipervnculo"/>
              </w:rPr>
              <w:t>Índice de Figuras</w:t>
            </w:r>
            <w:r w:rsidR="00424427">
              <w:rPr>
                <w:webHidden/>
              </w:rPr>
              <w:tab/>
            </w:r>
            <w:r w:rsidR="00424427">
              <w:rPr>
                <w:webHidden/>
              </w:rPr>
              <w:fldChar w:fldCharType="begin"/>
            </w:r>
            <w:r w:rsidR="00424427">
              <w:rPr>
                <w:webHidden/>
              </w:rPr>
              <w:instrText xml:space="preserve"> PAGEREF _Toc50906683 \h </w:instrText>
            </w:r>
            <w:r w:rsidR="00424427">
              <w:rPr>
                <w:webHidden/>
              </w:rPr>
            </w:r>
            <w:r w:rsidR="00424427">
              <w:rPr>
                <w:webHidden/>
              </w:rPr>
              <w:fldChar w:fldCharType="separate"/>
            </w:r>
            <w:r w:rsidR="002D2DC2">
              <w:rPr>
                <w:webHidden/>
              </w:rPr>
              <w:t>6</w:t>
            </w:r>
            <w:r w:rsidR="00424427">
              <w:rPr>
                <w:webHidden/>
              </w:rPr>
              <w:fldChar w:fldCharType="end"/>
            </w:r>
          </w:hyperlink>
        </w:p>
        <w:p w:rsidR="00424427" w:rsidRDefault="00FB3EA4">
          <w:pPr>
            <w:pStyle w:val="TDC1"/>
            <w:rPr>
              <w:rFonts w:asciiTheme="minorHAnsi" w:eastAsiaTheme="minorEastAsia" w:hAnsiTheme="minorHAnsi" w:cstheme="minorBidi"/>
              <w:b w:val="0"/>
              <w:sz w:val="22"/>
              <w:szCs w:val="22"/>
              <w:lang w:eastAsia="es-CR"/>
            </w:rPr>
          </w:pPr>
          <w:hyperlink w:anchor="_Toc50906684" w:history="1">
            <w:r w:rsidR="00424427" w:rsidRPr="00F31B63">
              <w:rPr>
                <w:rStyle w:val="Hipervnculo"/>
              </w:rPr>
              <w:t>Índice de Tablas</w:t>
            </w:r>
            <w:r w:rsidR="00424427">
              <w:rPr>
                <w:webHidden/>
              </w:rPr>
              <w:tab/>
            </w:r>
            <w:r w:rsidR="00424427">
              <w:rPr>
                <w:webHidden/>
              </w:rPr>
              <w:fldChar w:fldCharType="begin"/>
            </w:r>
            <w:r w:rsidR="00424427">
              <w:rPr>
                <w:webHidden/>
              </w:rPr>
              <w:instrText xml:space="preserve"> PAGEREF _Toc50906684 \h </w:instrText>
            </w:r>
            <w:r w:rsidR="00424427">
              <w:rPr>
                <w:webHidden/>
              </w:rPr>
            </w:r>
            <w:r w:rsidR="00424427">
              <w:rPr>
                <w:webHidden/>
              </w:rPr>
              <w:fldChar w:fldCharType="separate"/>
            </w:r>
            <w:r w:rsidR="002D2DC2">
              <w:rPr>
                <w:webHidden/>
              </w:rPr>
              <w:t>7</w:t>
            </w:r>
            <w:r w:rsidR="00424427">
              <w:rPr>
                <w:webHidden/>
              </w:rPr>
              <w:fldChar w:fldCharType="end"/>
            </w:r>
          </w:hyperlink>
        </w:p>
        <w:p w:rsidR="00424427" w:rsidRDefault="00FB3EA4">
          <w:pPr>
            <w:pStyle w:val="TDC1"/>
            <w:rPr>
              <w:rFonts w:asciiTheme="minorHAnsi" w:eastAsiaTheme="minorEastAsia" w:hAnsiTheme="minorHAnsi" w:cstheme="minorBidi"/>
              <w:b w:val="0"/>
              <w:sz w:val="22"/>
              <w:szCs w:val="22"/>
              <w:lang w:eastAsia="es-CR"/>
            </w:rPr>
          </w:pPr>
          <w:hyperlink w:anchor="_Toc50906685" w:history="1">
            <w:r w:rsidR="00424427" w:rsidRPr="00F31B63">
              <w:rPr>
                <w:rStyle w:val="Hipervnculo"/>
              </w:rPr>
              <w:t>Abreviaturas</w:t>
            </w:r>
            <w:r w:rsidR="00424427">
              <w:rPr>
                <w:webHidden/>
              </w:rPr>
              <w:tab/>
            </w:r>
            <w:r w:rsidR="00424427">
              <w:rPr>
                <w:webHidden/>
              </w:rPr>
              <w:fldChar w:fldCharType="begin"/>
            </w:r>
            <w:r w:rsidR="00424427">
              <w:rPr>
                <w:webHidden/>
              </w:rPr>
              <w:instrText xml:space="preserve"> PAGEREF _Toc50906685 \h </w:instrText>
            </w:r>
            <w:r w:rsidR="00424427">
              <w:rPr>
                <w:webHidden/>
              </w:rPr>
            </w:r>
            <w:r w:rsidR="00424427">
              <w:rPr>
                <w:webHidden/>
              </w:rPr>
              <w:fldChar w:fldCharType="separate"/>
            </w:r>
            <w:r w:rsidR="002D2DC2">
              <w:rPr>
                <w:webHidden/>
              </w:rPr>
              <w:t>8</w:t>
            </w:r>
            <w:r w:rsidR="00424427">
              <w:rPr>
                <w:webHidden/>
              </w:rPr>
              <w:fldChar w:fldCharType="end"/>
            </w:r>
          </w:hyperlink>
        </w:p>
        <w:p w:rsidR="00424427" w:rsidRDefault="00FB3EA4">
          <w:pPr>
            <w:pStyle w:val="TDC1"/>
            <w:rPr>
              <w:rFonts w:asciiTheme="minorHAnsi" w:eastAsiaTheme="minorEastAsia" w:hAnsiTheme="minorHAnsi" w:cstheme="minorBidi"/>
              <w:b w:val="0"/>
              <w:sz w:val="22"/>
              <w:szCs w:val="22"/>
              <w:lang w:eastAsia="es-CR"/>
            </w:rPr>
          </w:pPr>
          <w:hyperlink w:anchor="_Toc50906686" w:history="1">
            <w:r w:rsidR="00424427" w:rsidRPr="00F31B63">
              <w:rPr>
                <w:rStyle w:val="Hipervnculo"/>
              </w:rPr>
              <w:t>Introducción</w:t>
            </w:r>
            <w:r w:rsidR="00424427">
              <w:rPr>
                <w:webHidden/>
              </w:rPr>
              <w:tab/>
            </w:r>
            <w:r w:rsidR="00424427">
              <w:rPr>
                <w:webHidden/>
              </w:rPr>
              <w:fldChar w:fldCharType="begin"/>
            </w:r>
            <w:r w:rsidR="00424427">
              <w:rPr>
                <w:webHidden/>
              </w:rPr>
              <w:instrText xml:space="preserve"> PAGEREF _Toc50906686 \h </w:instrText>
            </w:r>
            <w:r w:rsidR="00424427">
              <w:rPr>
                <w:webHidden/>
              </w:rPr>
            </w:r>
            <w:r w:rsidR="00424427">
              <w:rPr>
                <w:webHidden/>
              </w:rPr>
              <w:fldChar w:fldCharType="separate"/>
            </w:r>
            <w:r w:rsidR="002D2DC2">
              <w:rPr>
                <w:webHidden/>
              </w:rPr>
              <w:t>10</w:t>
            </w:r>
            <w:r w:rsidR="00424427">
              <w:rPr>
                <w:webHidden/>
              </w:rPr>
              <w:fldChar w:fldCharType="end"/>
            </w:r>
          </w:hyperlink>
        </w:p>
        <w:p w:rsidR="00424427" w:rsidRDefault="00FB3EA4">
          <w:pPr>
            <w:pStyle w:val="TDC1"/>
            <w:rPr>
              <w:rFonts w:asciiTheme="minorHAnsi" w:eastAsiaTheme="minorEastAsia" w:hAnsiTheme="minorHAnsi" w:cstheme="minorBidi"/>
              <w:b w:val="0"/>
              <w:sz w:val="22"/>
              <w:szCs w:val="22"/>
              <w:lang w:eastAsia="es-CR"/>
            </w:rPr>
          </w:pPr>
          <w:hyperlink w:anchor="_Toc50906687" w:history="1">
            <w:r w:rsidR="00424427" w:rsidRPr="00F31B63">
              <w:rPr>
                <w:rStyle w:val="Hipervnculo"/>
              </w:rPr>
              <w:t>Capítulo I. El problema de investigación</w:t>
            </w:r>
            <w:r w:rsidR="00424427">
              <w:rPr>
                <w:webHidden/>
              </w:rPr>
              <w:tab/>
            </w:r>
            <w:r w:rsidR="00424427">
              <w:rPr>
                <w:webHidden/>
              </w:rPr>
              <w:fldChar w:fldCharType="begin"/>
            </w:r>
            <w:r w:rsidR="00424427">
              <w:rPr>
                <w:webHidden/>
              </w:rPr>
              <w:instrText xml:space="preserve"> PAGEREF _Toc50906687 \h </w:instrText>
            </w:r>
            <w:r w:rsidR="00424427">
              <w:rPr>
                <w:webHidden/>
              </w:rPr>
            </w:r>
            <w:r w:rsidR="00424427">
              <w:rPr>
                <w:webHidden/>
              </w:rPr>
              <w:fldChar w:fldCharType="separate"/>
            </w:r>
            <w:r w:rsidR="002D2DC2">
              <w:rPr>
                <w:webHidden/>
              </w:rPr>
              <w:t>12</w:t>
            </w:r>
            <w:r w:rsidR="00424427">
              <w:rPr>
                <w:webHidden/>
              </w:rPr>
              <w:fldChar w:fldCharType="end"/>
            </w:r>
          </w:hyperlink>
        </w:p>
        <w:p w:rsidR="00424427" w:rsidRPr="00424427" w:rsidRDefault="00FB3EA4">
          <w:pPr>
            <w:pStyle w:val="TDC2"/>
            <w:tabs>
              <w:tab w:val="left" w:pos="880"/>
              <w:tab w:val="right" w:leader="dot" w:pos="8828"/>
            </w:tabs>
            <w:rPr>
              <w:rFonts w:eastAsiaTheme="minorEastAsia"/>
              <w:noProof/>
              <w:lang w:eastAsia="es-CR"/>
            </w:rPr>
          </w:pPr>
          <w:hyperlink w:anchor="_Toc50906688" w:history="1">
            <w:r w:rsidR="00424427" w:rsidRPr="00424427">
              <w:rPr>
                <w:rStyle w:val="Hipervnculo"/>
                <w:rFonts w:ascii="Arial" w:hAnsi="Arial" w:cs="Arial"/>
                <w:noProof/>
              </w:rPr>
              <w:t>1.1</w:t>
            </w:r>
            <w:r w:rsidR="00424427" w:rsidRPr="00424427">
              <w:rPr>
                <w:rFonts w:eastAsiaTheme="minorEastAsia"/>
                <w:noProof/>
                <w:lang w:eastAsia="es-CR"/>
              </w:rPr>
              <w:tab/>
            </w:r>
            <w:r w:rsidR="00424427" w:rsidRPr="00424427">
              <w:rPr>
                <w:rStyle w:val="Hipervnculo"/>
                <w:rFonts w:ascii="Arial" w:hAnsi="Arial" w:cs="Arial"/>
                <w:noProof/>
              </w:rPr>
              <w:t>Tema de Investigación</w:t>
            </w:r>
            <w:r w:rsidR="00424427" w:rsidRPr="00424427">
              <w:rPr>
                <w:noProof/>
                <w:webHidden/>
              </w:rPr>
              <w:tab/>
            </w:r>
            <w:r w:rsidR="00424427" w:rsidRPr="00424427">
              <w:rPr>
                <w:noProof/>
                <w:webHidden/>
              </w:rPr>
              <w:fldChar w:fldCharType="begin"/>
            </w:r>
            <w:r w:rsidR="00424427" w:rsidRPr="00424427">
              <w:rPr>
                <w:noProof/>
                <w:webHidden/>
              </w:rPr>
              <w:instrText xml:space="preserve"> PAGEREF _Toc50906688 \h </w:instrText>
            </w:r>
            <w:r w:rsidR="00424427" w:rsidRPr="00424427">
              <w:rPr>
                <w:noProof/>
                <w:webHidden/>
              </w:rPr>
            </w:r>
            <w:r w:rsidR="00424427" w:rsidRPr="00424427">
              <w:rPr>
                <w:noProof/>
                <w:webHidden/>
              </w:rPr>
              <w:fldChar w:fldCharType="separate"/>
            </w:r>
            <w:r w:rsidR="002D2DC2">
              <w:rPr>
                <w:noProof/>
                <w:webHidden/>
              </w:rPr>
              <w:t>12</w:t>
            </w:r>
            <w:r w:rsidR="00424427" w:rsidRPr="00424427">
              <w:rPr>
                <w:noProof/>
                <w:webHidden/>
              </w:rPr>
              <w:fldChar w:fldCharType="end"/>
            </w:r>
          </w:hyperlink>
        </w:p>
        <w:p w:rsidR="00424427" w:rsidRPr="00424427" w:rsidRDefault="00FB3EA4">
          <w:pPr>
            <w:pStyle w:val="TDC2"/>
            <w:tabs>
              <w:tab w:val="left" w:pos="880"/>
              <w:tab w:val="right" w:leader="dot" w:pos="8828"/>
            </w:tabs>
            <w:rPr>
              <w:rFonts w:eastAsiaTheme="minorEastAsia"/>
              <w:noProof/>
              <w:lang w:eastAsia="es-CR"/>
            </w:rPr>
          </w:pPr>
          <w:hyperlink w:anchor="_Toc50906689" w:history="1">
            <w:r w:rsidR="00424427" w:rsidRPr="00424427">
              <w:rPr>
                <w:rStyle w:val="Hipervnculo"/>
                <w:rFonts w:ascii="Arial" w:hAnsi="Arial" w:cs="Arial"/>
                <w:noProof/>
              </w:rPr>
              <w:t>1.2</w:t>
            </w:r>
            <w:r w:rsidR="00424427" w:rsidRPr="00424427">
              <w:rPr>
                <w:rFonts w:eastAsiaTheme="minorEastAsia"/>
                <w:noProof/>
                <w:lang w:eastAsia="es-CR"/>
              </w:rPr>
              <w:tab/>
            </w:r>
            <w:r w:rsidR="00424427" w:rsidRPr="00424427">
              <w:rPr>
                <w:rStyle w:val="Hipervnculo"/>
                <w:rFonts w:ascii="Arial" w:hAnsi="Arial" w:cs="Arial"/>
                <w:noProof/>
              </w:rPr>
              <w:t>Planteamiento del Problema y Objeto de Estudio</w:t>
            </w:r>
            <w:r w:rsidR="00424427" w:rsidRPr="00424427">
              <w:rPr>
                <w:noProof/>
                <w:webHidden/>
              </w:rPr>
              <w:tab/>
            </w:r>
            <w:r w:rsidR="00424427" w:rsidRPr="00424427">
              <w:rPr>
                <w:noProof/>
                <w:webHidden/>
              </w:rPr>
              <w:fldChar w:fldCharType="begin"/>
            </w:r>
            <w:r w:rsidR="00424427" w:rsidRPr="00424427">
              <w:rPr>
                <w:noProof/>
                <w:webHidden/>
              </w:rPr>
              <w:instrText xml:space="preserve"> PAGEREF _Toc50906689 \h </w:instrText>
            </w:r>
            <w:r w:rsidR="00424427" w:rsidRPr="00424427">
              <w:rPr>
                <w:noProof/>
                <w:webHidden/>
              </w:rPr>
            </w:r>
            <w:r w:rsidR="00424427" w:rsidRPr="00424427">
              <w:rPr>
                <w:noProof/>
                <w:webHidden/>
              </w:rPr>
              <w:fldChar w:fldCharType="separate"/>
            </w:r>
            <w:r w:rsidR="002D2DC2">
              <w:rPr>
                <w:noProof/>
                <w:webHidden/>
              </w:rPr>
              <w:t>12</w:t>
            </w:r>
            <w:r w:rsidR="00424427" w:rsidRPr="00424427">
              <w:rPr>
                <w:noProof/>
                <w:webHidden/>
              </w:rPr>
              <w:fldChar w:fldCharType="end"/>
            </w:r>
          </w:hyperlink>
        </w:p>
        <w:p w:rsidR="00424427" w:rsidRPr="00424427" w:rsidRDefault="00FB3EA4">
          <w:pPr>
            <w:pStyle w:val="TDC2"/>
            <w:tabs>
              <w:tab w:val="left" w:pos="880"/>
              <w:tab w:val="right" w:leader="dot" w:pos="8828"/>
            </w:tabs>
            <w:rPr>
              <w:rFonts w:eastAsiaTheme="minorEastAsia"/>
              <w:noProof/>
              <w:lang w:eastAsia="es-CR"/>
            </w:rPr>
          </w:pPr>
          <w:hyperlink w:anchor="_Toc50906690" w:history="1">
            <w:r w:rsidR="00424427" w:rsidRPr="00424427">
              <w:rPr>
                <w:rStyle w:val="Hipervnculo"/>
                <w:rFonts w:ascii="Arial" w:hAnsi="Arial" w:cs="Arial"/>
                <w:noProof/>
              </w:rPr>
              <w:t>1.3</w:t>
            </w:r>
            <w:r w:rsidR="00424427" w:rsidRPr="00424427">
              <w:rPr>
                <w:rFonts w:eastAsiaTheme="minorEastAsia"/>
                <w:noProof/>
                <w:lang w:eastAsia="es-CR"/>
              </w:rPr>
              <w:tab/>
            </w:r>
            <w:r w:rsidR="00424427" w:rsidRPr="00424427">
              <w:rPr>
                <w:rStyle w:val="Hipervnculo"/>
                <w:rFonts w:ascii="Arial" w:hAnsi="Arial" w:cs="Arial"/>
                <w:noProof/>
              </w:rPr>
              <w:t>Objeto de Estudio</w:t>
            </w:r>
            <w:r w:rsidR="00424427" w:rsidRPr="00424427">
              <w:rPr>
                <w:noProof/>
                <w:webHidden/>
              </w:rPr>
              <w:tab/>
            </w:r>
            <w:r w:rsidR="00424427" w:rsidRPr="00424427">
              <w:rPr>
                <w:noProof/>
                <w:webHidden/>
              </w:rPr>
              <w:fldChar w:fldCharType="begin"/>
            </w:r>
            <w:r w:rsidR="00424427" w:rsidRPr="00424427">
              <w:rPr>
                <w:noProof/>
                <w:webHidden/>
              </w:rPr>
              <w:instrText xml:space="preserve"> PAGEREF _Toc50906690 \h </w:instrText>
            </w:r>
            <w:r w:rsidR="00424427" w:rsidRPr="00424427">
              <w:rPr>
                <w:noProof/>
                <w:webHidden/>
              </w:rPr>
            </w:r>
            <w:r w:rsidR="00424427" w:rsidRPr="00424427">
              <w:rPr>
                <w:noProof/>
                <w:webHidden/>
              </w:rPr>
              <w:fldChar w:fldCharType="separate"/>
            </w:r>
            <w:r w:rsidR="002D2DC2">
              <w:rPr>
                <w:noProof/>
                <w:webHidden/>
              </w:rPr>
              <w:t>16</w:t>
            </w:r>
            <w:r w:rsidR="00424427" w:rsidRPr="00424427">
              <w:rPr>
                <w:noProof/>
                <w:webHidden/>
              </w:rPr>
              <w:fldChar w:fldCharType="end"/>
            </w:r>
          </w:hyperlink>
        </w:p>
        <w:p w:rsidR="00424427" w:rsidRPr="00424427" w:rsidRDefault="00FB3EA4">
          <w:pPr>
            <w:pStyle w:val="TDC2"/>
            <w:tabs>
              <w:tab w:val="left" w:pos="880"/>
              <w:tab w:val="right" w:leader="dot" w:pos="8828"/>
            </w:tabs>
            <w:rPr>
              <w:rFonts w:eastAsiaTheme="minorEastAsia"/>
              <w:noProof/>
              <w:lang w:eastAsia="es-CR"/>
            </w:rPr>
          </w:pPr>
          <w:hyperlink w:anchor="_Toc50906691" w:history="1">
            <w:r w:rsidR="00424427" w:rsidRPr="00424427">
              <w:rPr>
                <w:rStyle w:val="Hipervnculo"/>
                <w:rFonts w:ascii="Arial" w:hAnsi="Arial" w:cs="Arial"/>
                <w:noProof/>
              </w:rPr>
              <w:t>1.4</w:t>
            </w:r>
            <w:r w:rsidR="00424427" w:rsidRPr="00424427">
              <w:rPr>
                <w:rFonts w:eastAsiaTheme="minorEastAsia"/>
                <w:noProof/>
                <w:lang w:eastAsia="es-CR"/>
              </w:rPr>
              <w:tab/>
            </w:r>
            <w:r w:rsidR="00424427" w:rsidRPr="00424427">
              <w:rPr>
                <w:rStyle w:val="Hipervnculo"/>
                <w:rFonts w:ascii="Arial" w:hAnsi="Arial" w:cs="Arial"/>
                <w:noProof/>
              </w:rPr>
              <w:t>Justificación</w:t>
            </w:r>
            <w:r w:rsidR="00424427" w:rsidRPr="00424427">
              <w:rPr>
                <w:noProof/>
                <w:webHidden/>
              </w:rPr>
              <w:tab/>
            </w:r>
            <w:r w:rsidR="00424427" w:rsidRPr="00424427">
              <w:rPr>
                <w:noProof/>
                <w:webHidden/>
              </w:rPr>
              <w:fldChar w:fldCharType="begin"/>
            </w:r>
            <w:r w:rsidR="00424427" w:rsidRPr="00424427">
              <w:rPr>
                <w:noProof/>
                <w:webHidden/>
              </w:rPr>
              <w:instrText xml:space="preserve"> PAGEREF _Toc50906691 \h </w:instrText>
            </w:r>
            <w:r w:rsidR="00424427" w:rsidRPr="00424427">
              <w:rPr>
                <w:noProof/>
                <w:webHidden/>
              </w:rPr>
            </w:r>
            <w:r w:rsidR="00424427" w:rsidRPr="00424427">
              <w:rPr>
                <w:noProof/>
                <w:webHidden/>
              </w:rPr>
              <w:fldChar w:fldCharType="separate"/>
            </w:r>
            <w:r w:rsidR="002D2DC2">
              <w:rPr>
                <w:noProof/>
                <w:webHidden/>
              </w:rPr>
              <w:t>17</w:t>
            </w:r>
            <w:r w:rsidR="00424427" w:rsidRPr="00424427">
              <w:rPr>
                <w:noProof/>
                <w:webHidden/>
              </w:rPr>
              <w:fldChar w:fldCharType="end"/>
            </w:r>
          </w:hyperlink>
        </w:p>
        <w:p w:rsidR="00424427" w:rsidRPr="00424427" w:rsidRDefault="00FB3EA4">
          <w:pPr>
            <w:pStyle w:val="TDC2"/>
            <w:tabs>
              <w:tab w:val="left" w:pos="880"/>
              <w:tab w:val="right" w:leader="dot" w:pos="8828"/>
            </w:tabs>
            <w:rPr>
              <w:rFonts w:eastAsiaTheme="minorEastAsia"/>
              <w:noProof/>
              <w:lang w:eastAsia="es-CR"/>
            </w:rPr>
          </w:pPr>
          <w:hyperlink w:anchor="_Toc50906692" w:history="1">
            <w:r w:rsidR="00424427" w:rsidRPr="00424427">
              <w:rPr>
                <w:rStyle w:val="Hipervnculo"/>
                <w:rFonts w:ascii="Arial" w:hAnsi="Arial" w:cs="Arial"/>
                <w:noProof/>
              </w:rPr>
              <w:t>1.5</w:t>
            </w:r>
            <w:r w:rsidR="00424427" w:rsidRPr="00424427">
              <w:rPr>
                <w:rFonts w:eastAsiaTheme="minorEastAsia"/>
                <w:noProof/>
                <w:lang w:eastAsia="es-CR"/>
              </w:rPr>
              <w:tab/>
            </w:r>
            <w:r w:rsidR="00424427" w:rsidRPr="00424427">
              <w:rPr>
                <w:rStyle w:val="Hipervnculo"/>
                <w:rFonts w:ascii="Arial" w:hAnsi="Arial" w:cs="Arial"/>
                <w:noProof/>
              </w:rPr>
              <w:t>Antecedentes</w:t>
            </w:r>
            <w:r w:rsidR="00424427" w:rsidRPr="00424427">
              <w:rPr>
                <w:noProof/>
                <w:webHidden/>
              </w:rPr>
              <w:tab/>
            </w:r>
            <w:r w:rsidR="00424427" w:rsidRPr="00424427">
              <w:rPr>
                <w:noProof/>
                <w:webHidden/>
              </w:rPr>
              <w:fldChar w:fldCharType="begin"/>
            </w:r>
            <w:r w:rsidR="00424427" w:rsidRPr="00424427">
              <w:rPr>
                <w:noProof/>
                <w:webHidden/>
              </w:rPr>
              <w:instrText xml:space="preserve"> PAGEREF _Toc50906692 \h </w:instrText>
            </w:r>
            <w:r w:rsidR="00424427" w:rsidRPr="00424427">
              <w:rPr>
                <w:noProof/>
                <w:webHidden/>
              </w:rPr>
            </w:r>
            <w:r w:rsidR="00424427" w:rsidRPr="00424427">
              <w:rPr>
                <w:noProof/>
                <w:webHidden/>
              </w:rPr>
              <w:fldChar w:fldCharType="separate"/>
            </w:r>
            <w:r w:rsidR="002D2DC2">
              <w:rPr>
                <w:noProof/>
                <w:webHidden/>
              </w:rPr>
              <w:t>20</w:t>
            </w:r>
            <w:r w:rsidR="00424427" w:rsidRPr="00424427">
              <w:rPr>
                <w:noProof/>
                <w:webHidden/>
              </w:rPr>
              <w:fldChar w:fldCharType="end"/>
            </w:r>
          </w:hyperlink>
        </w:p>
        <w:p w:rsidR="00424427" w:rsidRPr="00424427" w:rsidRDefault="00FB3EA4">
          <w:pPr>
            <w:pStyle w:val="TDC2"/>
            <w:tabs>
              <w:tab w:val="left" w:pos="880"/>
              <w:tab w:val="right" w:leader="dot" w:pos="8828"/>
            </w:tabs>
            <w:rPr>
              <w:rFonts w:eastAsiaTheme="minorEastAsia"/>
              <w:noProof/>
              <w:lang w:eastAsia="es-CR"/>
            </w:rPr>
          </w:pPr>
          <w:hyperlink w:anchor="_Toc50906693" w:history="1">
            <w:r w:rsidR="00424427" w:rsidRPr="00424427">
              <w:rPr>
                <w:rStyle w:val="Hipervnculo"/>
                <w:rFonts w:ascii="Arial" w:hAnsi="Arial" w:cs="Arial"/>
                <w:noProof/>
              </w:rPr>
              <w:t>1.6</w:t>
            </w:r>
            <w:r w:rsidR="00424427" w:rsidRPr="00424427">
              <w:rPr>
                <w:rFonts w:eastAsiaTheme="minorEastAsia"/>
                <w:noProof/>
                <w:lang w:eastAsia="es-CR"/>
              </w:rPr>
              <w:tab/>
            </w:r>
            <w:r w:rsidR="00424427" w:rsidRPr="00424427">
              <w:rPr>
                <w:rStyle w:val="Hipervnculo"/>
                <w:rFonts w:ascii="Arial" w:hAnsi="Arial" w:cs="Arial"/>
                <w:noProof/>
              </w:rPr>
              <w:t>Objetivos</w:t>
            </w:r>
            <w:r w:rsidR="00424427" w:rsidRPr="00424427">
              <w:rPr>
                <w:noProof/>
                <w:webHidden/>
              </w:rPr>
              <w:tab/>
            </w:r>
            <w:r w:rsidR="00424427" w:rsidRPr="00424427">
              <w:rPr>
                <w:noProof/>
                <w:webHidden/>
              </w:rPr>
              <w:fldChar w:fldCharType="begin"/>
            </w:r>
            <w:r w:rsidR="00424427" w:rsidRPr="00424427">
              <w:rPr>
                <w:noProof/>
                <w:webHidden/>
              </w:rPr>
              <w:instrText xml:space="preserve"> PAGEREF _Toc50906693 \h </w:instrText>
            </w:r>
            <w:r w:rsidR="00424427" w:rsidRPr="00424427">
              <w:rPr>
                <w:noProof/>
                <w:webHidden/>
              </w:rPr>
            </w:r>
            <w:r w:rsidR="00424427" w:rsidRPr="00424427">
              <w:rPr>
                <w:noProof/>
                <w:webHidden/>
              </w:rPr>
              <w:fldChar w:fldCharType="separate"/>
            </w:r>
            <w:r w:rsidR="002D2DC2">
              <w:rPr>
                <w:noProof/>
                <w:webHidden/>
              </w:rPr>
              <w:t>28</w:t>
            </w:r>
            <w:r w:rsidR="00424427" w:rsidRPr="00424427">
              <w:rPr>
                <w:noProof/>
                <w:webHidden/>
              </w:rPr>
              <w:fldChar w:fldCharType="end"/>
            </w:r>
          </w:hyperlink>
        </w:p>
        <w:p w:rsidR="00424427" w:rsidRPr="00424427" w:rsidRDefault="00FB3EA4" w:rsidP="00424427">
          <w:pPr>
            <w:pStyle w:val="TDC3"/>
            <w:rPr>
              <w:rFonts w:eastAsiaTheme="minorEastAsia"/>
              <w:lang w:eastAsia="es-CR"/>
            </w:rPr>
          </w:pPr>
          <w:hyperlink w:anchor="_Toc50906694" w:history="1">
            <w:r w:rsidR="00424427" w:rsidRPr="00424427">
              <w:rPr>
                <w:rStyle w:val="Hipervnculo"/>
                <w:b w:val="0"/>
              </w:rPr>
              <w:t>Objetivo General</w:t>
            </w:r>
            <w:r w:rsidR="00424427" w:rsidRPr="00424427">
              <w:rPr>
                <w:webHidden/>
              </w:rPr>
              <w:tab/>
            </w:r>
            <w:r w:rsidR="00424427" w:rsidRPr="00424427">
              <w:rPr>
                <w:webHidden/>
              </w:rPr>
              <w:fldChar w:fldCharType="begin"/>
            </w:r>
            <w:r w:rsidR="00424427" w:rsidRPr="00424427">
              <w:rPr>
                <w:webHidden/>
              </w:rPr>
              <w:instrText xml:space="preserve"> PAGEREF _Toc50906694 \h </w:instrText>
            </w:r>
            <w:r w:rsidR="00424427" w:rsidRPr="00424427">
              <w:rPr>
                <w:webHidden/>
              </w:rPr>
            </w:r>
            <w:r w:rsidR="00424427" w:rsidRPr="00424427">
              <w:rPr>
                <w:webHidden/>
              </w:rPr>
              <w:fldChar w:fldCharType="separate"/>
            </w:r>
            <w:r w:rsidR="002D2DC2">
              <w:rPr>
                <w:webHidden/>
              </w:rPr>
              <w:t>28</w:t>
            </w:r>
            <w:r w:rsidR="00424427" w:rsidRPr="00424427">
              <w:rPr>
                <w:webHidden/>
              </w:rPr>
              <w:fldChar w:fldCharType="end"/>
            </w:r>
          </w:hyperlink>
        </w:p>
        <w:p w:rsidR="00424427" w:rsidRPr="00424427" w:rsidRDefault="00FB3EA4" w:rsidP="00424427">
          <w:pPr>
            <w:pStyle w:val="TDC3"/>
            <w:rPr>
              <w:rFonts w:eastAsiaTheme="minorEastAsia"/>
              <w:lang w:eastAsia="es-CR"/>
            </w:rPr>
          </w:pPr>
          <w:hyperlink w:anchor="_Toc50906695" w:history="1">
            <w:r w:rsidR="00424427" w:rsidRPr="00424427">
              <w:rPr>
                <w:rStyle w:val="Hipervnculo"/>
                <w:b w:val="0"/>
              </w:rPr>
              <w:t>Objetivos Específicos</w:t>
            </w:r>
            <w:r w:rsidR="00424427" w:rsidRPr="00424427">
              <w:rPr>
                <w:webHidden/>
              </w:rPr>
              <w:tab/>
            </w:r>
            <w:r w:rsidR="00424427" w:rsidRPr="00424427">
              <w:rPr>
                <w:webHidden/>
              </w:rPr>
              <w:fldChar w:fldCharType="begin"/>
            </w:r>
            <w:r w:rsidR="00424427" w:rsidRPr="00424427">
              <w:rPr>
                <w:webHidden/>
              </w:rPr>
              <w:instrText xml:space="preserve"> PAGEREF _Toc50906695 \h </w:instrText>
            </w:r>
            <w:r w:rsidR="00424427" w:rsidRPr="00424427">
              <w:rPr>
                <w:webHidden/>
              </w:rPr>
            </w:r>
            <w:r w:rsidR="00424427" w:rsidRPr="00424427">
              <w:rPr>
                <w:webHidden/>
              </w:rPr>
              <w:fldChar w:fldCharType="separate"/>
            </w:r>
            <w:r w:rsidR="002D2DC2">
              <w:rPr>
                <w:webHidden/>
              </w:rPr>
              <w:t>28</w:t>
            </w:r>
            <w:r w:rsidR="00424427" w:rsidRPr="00424427">
              <w:rPr>
                <w:webHidden/>
              </w:rPr>
              <w:fldChar w:fldCharType="end"/>
            </w:r>
          </w:hyperlink>
        </w:p>
        <w:p w:rsidR="00424427" w:rsidRDefault="00FB3EA4">
          <w:pPr>
            <w:pStyle w:val="TDC1"/>
            <w:rPr>
              <w:rFonts w:asciiTheme="minorHAnsi" w:eastAsiaTheme="minorEastAsia" w:hAnsiTheme="minorHAnsi" w:cstheme="minorBidi"/>
              <w:b w:val="0"/>
              <w:sz w:val="22"/>
              <w:szCs w:val="22"/>
              <w:lang w:eastAsia="es-CR"/>
            </w:rPr>
          </w:pPr>
          <w:hyperlink w:anchor="_Toc50906696" w:history="1">
            <w:r w:rsidR="00424427" w:rsidRPr="00F31B63">
              <w:rPr>
                <w:rStyle w:val="Hipervnculo"/>
              </w:rPr>
              <w:t>Capítulo II. Marco Teórico</w:t>
            </w:r>
            <w:r w:rsidR="00424427">
              <w:rPr>
                <w:webHidden/>
              </w:rPr>
              <w:tab/>
            </w:r>
            <w:r w:rsidR="00424427">
              <w:rPr>
                <w:webHidden/>
              </w:rPr>
              <w:fldChar w:fldCharType="begin"/>
            </w:r>
            <w:r w:rsidR="00424427">
              <w:rPr>
                <w:webHidden/>
              </w:rPr>
              <w:instrText xml:space="preserve"> PAGEREF _Toc50906696 \h </w:instrText>
            </w:r>
            <w:r w:rsidR="00424427">
              <w:rPr>
                <w:webHidden/>
              </w:rPr>
            </w:r>
            <w:r w:rsidR="00424427">
              <w:rPr>
                <w:webHidden/>
              </w:rPr>
              <w:fldChar w:fldCharType="separate"/>
            </w:r>
            <w:r w:rsidR="002D2DC2">
              <w:rPr>
                <w:webHidden/>
              </w:rPr>
              <w:t>29</w:t>
            </w:r>
            <w:r w:rsidR="00424427">
              <w:rPr>
                <w:webHidden/>
              </w:rPr>
              <w:fldChar w:fldCharType="end"/>
            </w:r>
          </w:hyperlink>
        </w:p>
        <w:p w:rsidR="00424427" w:rsidRPr="00424427" w:rsidRDefault="00FB3EA4">
          <w:pPr>
            <w:pStyle w:val="TDC2"/>
            <w:tabs>
              <w:tab w:val="left" w:pos="880"/>
              <w:tab w:val="right" w:leader="dot" w:pos="8828"/>
            </w:tabs>
            <w:rPr>
              <w:rFonts w:eastAsiaTheme="minorEastAsia"/>
              <w:noProof/>
              <w:lang w:eastAsia="es-CR"/>
            </w:rPr>
          </w:pPr>
          <w:hyperlink w:anchor="_Toc50906697" w:history="1">
            <w:r w:rsidR="00424427" w:rsidRPr="00424427">
              <w:rPr>
                <w:rStyle w:val="Hipervnculo"/>
                <w:rFonts w:ascii="Arial" w:hAnsi="Arial" w:cs="Arial"/>
                <w:noProof/>
              </w:rPr>
              <w:t>2.1</w:t>
            </w:r>
            <w:r w:rsidR="00424427" w:rsidRPr="00424427">
              <w:rPr>
                <w:rFonts w:eastAsiaTheme="minorEastAsia"/>
                <w:noProof/>
                <w:lang w:eastAsia="es-CR"/>
              </w:rPr>
              <w:tab/>
            </w:r>
            <w:r w:rsidR="00424427" w:rsidRPr="00424427">
              <w:rPr>
                <w:rStyle w:val="Hipervnculo"/>
                <w:rFonts w:ascii="Arial" w:hAnsi="Arial" w:cs="Arial"/>
                <w:noProof/>
              </w:rPr>
              <w:t>Estructura Jurídica e Institucional: Consideraciones generales</w:t>
            </w:r>
            <w:r w:rsidR="00424427" w:rsidRPr="00424427">
              <w:rPr>
                <w:noProof/>
                <w:webHidden/>
              </w:rPr>
              <w:tab/>
            </w:r>
            <w:r w:rsidR="00424427" w:rsidRPr="00424427">
              <w:rPr>
                <w:noProof/>
                <w:webHidden/>
              </w:rPr>
              <w:fldChar w:fldCharType="begin"/>
            </w:r>
            <w:r w:rsidR="00424427" w:rsidRPr="00424427">
              <w:rPr>
                <w:noProof/>
                <w:webHidden/>
              </w:rPr>
              <w:instrText xml:space="preserve"> PAGEREF _Toc50906697 \h </w:instrText>
            </w:r>
            <w:r w:rsidR="00424427" w:rsidRPr="00424427">
              <w:rPr>
                <w:noProof/>
                <w:webHidden/>
              </w:rPr>
            </w:r>
            <w:r w:rsidR="00424427" w:rsidRPr="00424427">
              <w:rPr>
                <w:noProof/>
                <w:webHidden/>
              </w:rPr>
              <w:fldChar w:fldCharType="separate"/>
            </w:r>
            <w:r w:rsidR="002D2DC2">
              <w:rPr>
                <w:noProof/>
                <w:webHidden/>
              </w:rPr>
              <w:t>29</w:t>
            </w:r>
            <w:r w:rsidR="00424427" w:rsidRPr="00424427">
              <w:rPr>
                <w:noProof/>
                <w:webHidden/>
              </w:rPr>
              <w:fldChar w:fldCharType="end"/>
            </w:r>
          </w:hyperlink>
        </w:p>
        <w:p w:rsidR="00424427" w:rsidRPr="00424427" w:rsidRDefault="00FB3EA4">
          <w:pPr>
            <w:pStyle w:val="TDC2"/>
            <w:tabs>
              <w:tab w:val="left" w:pos="880"/>
              <w:tab w:val="right" w:leader="dot" w:pos="8828"/>
            </w:tabs>
            <w:rPr>
              <w:rFonts w:eastAsiaTheme="minorEastAsia"/>
              <w:noProof/>
              <w:lang w:eastAsia="es-CR"/>
            </w:rPr>
          </w:pPr>
          <w:hyperlink w:anchor="_Toc50906698" w:history="1">
            <w:r w:rsidR="00424427" w:rsidRPr="00424427">
              <w:rPr>
                <w:rStyle w:val="Hipervnculo"/>
                <w:rFonts w:ascii="Arial" w:hAnsi="Arial" w:cs="Arial"/>
                <w:noProof/>
              </w:rPr>
              <w:t>2.2</w:t>
            </w:r>
            <w:r w:rsidR="00424427" w:rsidRPr="00424427">
              <w:rPr>
                <w:rFonts w:eastAsiaTheme="minorEastAsia"/>
                <w:noProof/>
                <w:lang w:eastAsia="es-CR"/>
              </w:rPr>
              <w:tab/>
            </w:r>
            <w:r w:rsidR="00424427" w:rsidRPr="00424427">
              <w:rPr>
                <w:rStyle w:val="Hipervnculo"/>
                <w:rFonts w:ascii="Arial" w:hAnsi="Arial" w:cs="Arial"/>
                <w:noProof/>
              </w:rPr>
              <w:t>Implementación y Gestión Pública: Algunos de sus paradigmas</w:t>
            </w:r>
            <w:r w:rsidR="00424427" w:rsidRPr="00424427">
              <w:rPr>
                <w:noProof/>
                <w:webHidden/>
              </w:rPr>
              <w:tab/>
            </w:r>
            <w:r w:rsidR="00424427" w:rsidRPr="00424427">
              <w:rPr>
                <w:noProof/>
                <w:webHidden/>
              </w:rPr>
              <w:fldChar w:fldCharType="begin"/>
            </w:r>
            <w:r w:rsidR="00424427" w:rsidRPr="00424427">
              <w:rPr>
                <w:noProof/>
                <w:webHidden/>
              </w:rPr>
              <w:instrText xml:space="preserve"> PAGEREF _Toc50906698 \h </w:instrText>
            </w:r>
            <w:r w:rsidR="00424427" w:rsidRPr="00424427">
              <w:rPr>
                <w:noProof/>
                <w:webHidden/>
              </w:rPr>
            </w:r>
            <w:r w:rsidR="00424427" w:rsidRPr="00424427">
              <w:rPr>
                <w:noProof/>
                <w:webHidden/>
              </w:rPr>
              <w:fldChar w:fldCharType="separate"/>
            </w:r>
            <w:r w:rsidR="002D2DC2">
              <w:rPr>
                <w:noProof/>
                <w:webHidden/>
              </w:rPr>
              <w:t>32</w:t>
            </w:r>
            <w:r w:rsidR="00424427" w:rsidRPr="00424427">
              <w:rPr>
                <w:noProof/>
                <w:webHidden/>
              </w:rPr>
              <w:fldChar w:fldCharType="end"/>
            </w:r>
          </w:hyperlink>
        </w:p>
        <w:p w:rsidR="00424427" w:rsidRPr="00424427" w:rsidRDefault="00FB3EA4">
          <w:pPr>
            <w:pStyle w:val="TDC2"/>
            <w:tabs>
              <w:tab w:val="left" w:pos="880"/>
              <w:tab w:val="right" w:leader="dot" w:pos="8828"/>
            </w:tabs>
            <w:rPr>
              <w:rFonts w:eastAsiaTheme="minorEastAsia"/>
              <w:noProof/>
              <w:lang w:eastAsia="es-CR"/>
            </w:rPr>
          </w:pPr>
          <w:hyperlink w:anchor="_Toc50906699" w:history="1">
            <w:r w:rsidR="00424427" w:rsidRPr="00424427">
              <w:rPr>
                <w:rStyle w:val="Hipervnculo"/>
                <w:rFonts w:ascii="Arial" w:hAnsi="Arial" w:cs="Arial"/>
                <w:noProof/>
              </w:rPr>
              <w:t>2.3</w:t>
            </w:r>
            <w:r w:rsidR="00424427" w:rsidRPr="00424427">
              <w:rPr>
                <w:rFonts w:eastAsiaTheme="minorEastAsia"/>
                <w:noProof/>
                <w:lang w:eastAsia="es-CR"/>
              </w:rPr>
              <w:tab/>
            </w:r>
            <w:r w:rsidR="00424427" w:rsidRPr="00424427">
              <w:rPr>
                <w:rStyle w:val="Hipervnculo"/>
                <w:rFonts w:ascii="Arial" w:hAnsi="Arial" w:cs="Arial"/>
                <w:noProof/>
              </w:rPr>
              <w:t>Políticas Públicas</w:t>
            </w:r>
            <w:r w:rsidR="00424427" w:rsidRPr="00424427">
              <w:rPr>
                <w:noProof/>
                <w:webHidden/>
              </w:rPr>
              <w:tab/>
            </w:r>
            <w:r w:rsidR="00424427" w:rsidRPr="00424427">
              <w:rPr>
                <w:noProof/>
                <w:webHidden/>
              </w:rPr>
              <w:fldChar w:fldCharType="begin"/>
            </w:r>
            <w:r w:rsidR="00424427" w:rsidRPr="00424427">
              <w:rPr>
                <w:noProof/>
                <w:webHidden/>
              </w:rPr>
              <w:instrText xml:space="preserve"> PAGEREF _Toc50906699 \h </w:instrText>
            </w:r>
            <w:r w:rsidR="00424427" w:rsidRPr="00424427">
              <w:rPr>
                <w:noProof/>
                <w:webHidden/>
              </w:rPr>
            </w:r>
            <w:r w:rsidR="00424427" w:rsidRPr="00424427">
              <w:rPr>
                <w:noProof/>
                <w:webHidden/>
              </w:rPr>
              <w:fldChar w:fldCharType="separate"/>
            </w:r>
            <w:r w:rsidR="002D2DC2">
              <w:rPr>
                <w:noProof/>
                <w:webHidden/>
              </w:rPr>
              <w:t>41</w:t>
            </w:r>
            <w:r w:rsidR="00424427" w:rsidRPr="00424427">
              <w:rPr>
                <w:noProof/>
                <w:webHidden/>
              </w:rPr>
              <w:fldChar w:fldCharType="end"/>
            </w:r>
          </w:hyperlink>
        </w:p>
        <w:p w:rsidR="00424427" w:rsidRPr="00424427" w:rsidRDefault="00FB3EA4">
          <w:pPr>
            <w:pStyle w:val="TDC2"/>
            <w:tabs>
              <w:tab w:val="left" w:pos="880"/>
              <w:tab w:val="right" w:leader="dot" w:pos="8828"/>
            </w:tabs>
            <w:rPr>
              <w:rFonts w:eastAsiaTheme="minorEastAsia"/>
              <w:noProof/>
              <w:lang w:eastAsia="es-CR"/>
            </w:rPr>
          </w:pPr>
          <w:hyperlink w:anchor="_Toc50906700" w:history="1">
            <w:r w:rsidR="00424427" w:rsidRPr="00424427">
              <w:rPr>
                <w:rStyle w:val="Hipervnculo"/>
                <w:rFonts w:ascii="Arial" w:hAnsi="Arial" w:cs="Arial"/>
                <w:noProof/>
              </w:rPr>
              <w:t>2.4</w:t>
            </w:r>
            <w:r w:rsidR="00424427" w:rsidRPr="00424427">
              <w:rPr>
                <w:rFonts w:eastAsiaTheme="minorEastAsia"/>
                <w:noProof/>
                <w:lang w:eastAsia="es-CR"/>
              </w:rPr>
              <w:tab/>
            </w:r>
            <w:r w:rsidR="00424427" w:rsidRPr="00424427">
              <w:rPr>
                <w:rStyle w:val="Hipervnculo"/>
                <w:rFonts w:ascii="Arial" w:hAnsi="Arial" w:cs="Arial"/>
                <w:noProof/>
              </w:rPr>
              <w:t>Planificación local</w:t>
            </w:r>
            <w:r w:rsidR="00424427" w:rsidRPr="00424427">
              <w:rPr>
                <w:noProof/>
                <w:webHidden/>
              </w:rPr>
              <w:tab/>
            </w:r>
            <w:r w:rsidR="00424427" w:rsidRPr="00424427">
              <w:rPr>
                <w:noProof/>
                <w:webHidden/>
              </w:rPr>
              <w:fldChar w:fldCharType="begin"/>
            </w:r>
            <w:r w:rsidR="00424427" w:rsidRPr="00424427">
              <w:rPr>
                <w:noProof/>
                <w:webHidden/>
              </w:rPr>
              <w:instrText xml:space="preserve"> PAGEREF _Toc50906700 \h </w:instrText>
            </w:r>
            <w:r w:rsidR="00424427" w:rsidRPr="00424427">
              <w:rPr>
                <w:noProof/>
                <w:webHidden/>
              </w:rPr>
            </w:r>
            <w:r w:rsidR="00424427" w:rsidRPr="00424427">
              <w:rPr>
                <w:noProof/>
                <w:webHidden/>
              </w:rPr>
              <w:fldChar w:fldCharType="separate"/>
            </w:r>
            <w:r w:rsidR="002D2DC2">
              <w:rPr>
                <w:noProof/>
                <w:webHidden/>
              </w:rPr>
              <w:t>47</w:t>
            </w:r>
            <w:r w:rsidR="00424427" w:rsidRPr="00424427">
              <w:rPr>
                <w:noProof/>
                <w:webHidden/>
              </w:rPr>
              <w:fldChar w:fldCharType="end"/>
            </w:r>
          </w:hyperlink>
        </w:p>
        <w:p w:rsidR="00424427" w:rsidRPr="00424427" w:rsidRDefault="00FB3EA4">
          <w:pPr>
            <w:pStyle w:val="TDC2"/>
            <w:tabs>
              <w:tab w:val="left" w:pos="880"/>
              <w:tab w:val="right" w:leader="dot" w:pos="8828"/>
            </w:tabs>
            <w:rPr>
              <w:rFonts w:eastAsiaTheme="minorEastAsia"/>
              <w:noProof/>
              <w:lang w:eastAsia="es-CR"/>
            </w:rPr>
          </w:pPr>
          <w:hyperlink w:anchor="_Toc50906701" w:history="1">
            <w:r w:rsidR="00424427" w:rsidRPr="00424427">
              <w:rPr>
                <w:rStyle w:val="Hipervnculo"/>
                <w:rFonts w:ascii="Arial" w:hAnsi="Arial" w:cs="Arial"/>
                <w:noProof/>
              </w:rPr>
              <w:t>2.5</w:t>
            </w:r>
            <w:r w:rsidR="00424427" w:rsidRPr="00424427">
              <w:rPr>
                <w:rFonts w:eastAsiaTheme="minorEastAsia"/>
                <w:noProof/>
                <w:lang w:eastAsia="es-CR"/>
              </w:rPr>
              <w:tab/>
            </w:r>
            <w:r w:rsidR="00424427" w:rsidRPr="00424427">
              <w:rPr>
                <w:rStyle w:val="Hipervnculo"/>
                <w:rFonts w:ascii="Arial" w:hAnsi="Arial" w:cs="Arial"/>
                <w:noProof/>
              </w:rPr>
              <w:t>La acción comunitaria desde la planificación social</w:t>
            </w:r>
            <w:r w:rsidR="00424427" w:rsidRPr="00424427">
              <w:rPr>
                <w:noProof/>
                <w:webHidden/>
              </w:rPr>
              <w:tab/>
            </w:r>
            <w:r w:rsidR="00424427" w:rsidRPr="00424427">
              <w:rPr>
                <w:noProof/>
                <w:webHidden/>
              </w:rPr>
              <w:fldChar w:fldCharType="begin"/>
            </w:r>
            <w:r w:rsidR="00424427" w:rsidRPr="00424427">
              <w:rPr>
                <w:noProof/>
                <w:webHidden/>
              </w:rPr>
              <w:instrText xml:space="preserve"> PAGEREF _Toc50906701 \h </w:instrText>
            </w:r>
            <w:r w:rsidR="00424427" w:rsidRPr="00424427">
              <w:rPr>
                <w:noProof/>
                <w:webHidden/>
              </w:rPr>
            </w:r>
            <w:r w:rsidR="00424427" w:rsidRPr="00424427">
              <w:rPr>
                <w:noProof/>
                <w:webHidden/>
              </w:rPr>
              <w:fldChar w:fldCharType="separate"/>
            </w:r>
            <w:r w:rsidR="002D2DC2">
              <w:rPr>
                <w:noProof/>
                <w:webHidden/>
              </w:rPr>
              <w:t>51</w:t>
            </w:r>
            <w:r w:rsidR="00424427" w:rsidRPr="00424427">
              <w:rPr>
                <w:noProof/>
                <w:webHidden/>
              </w:rPr>
              <w:fldChar w:fldCharType="end"/>
            </w:r>
          </w:hyperlink>
        </w:p>
        <w:p w:rsidR="00424427" w:rsidRPr="00424427" w:rsidRDefault="00FB3EA4">
          <w:pPr>
            <w:pStyle w:val="TDC2"/>
            <w:tabs>
              <w:tab w:val="left" w:pos="880"/>
              <w:tab w:val="right" w:leader="dot" w:pos="8828"/>
            </w:tabs>
            <w:rPr>
              <w:rFonts w:eastAsiaTheme="minorEastAsia"/>
              <w:noProof/>
              <w:lang w:eastAsia="es-CR"/>
            </w:rPr>
          </w:pPr>
          <w:hyperlink w:anchor="_Toc50906702" w:history="1">
            <w:r w:rsidR="00424427" w:rsidRPr="00424427">
              <w:rPr>
                <w:rStyle w:val="Hipervnculo"/>
                <w:rFonts w:ascii="Arial" w:hAnsi="Arial" w:cs="Arial"/>
                <w:noProof/>
              </w:rPr>
              <w:t>2.6</w:t>
            </w:r>
            <w:r w:rsidR="00424427" w:rsidRPr="00424427">
              <w:rPr>
                <w:rFonts w:eastAsiaTheme="minorEastAsia"/>
                <w:noProof/>
                <w:lang w:eastAsia="es-CR"/>
              </w:rPr>
              <w:tab/>
            </w:r>
            <w:r w:rsidR="00424427" w:rsidRPr="00424427">
              <w:rPr>
                <w:rStyle w:val="Hipervnculo"/>
                <w:rFonts w:ascii="Arial" w:hAnsi="Arial" w:cs="Arial"/>
                <w:noProof/>
              </w:rPr>
              <w:t>Relación entre las estrategias de implementación y gestión institucional con la planificación local</w:t>
            </w:r>
            <w:r w:rsidR="00424427" w:rsidRPr="00424427">
              <w:rPr>
                <w:noProof/>
                <w:webHidden/>
              </w:rPr>
              <w:tab/>
            </w:r>
            <w:r w:rsidR="00424427" w:rsidRPr="00424427">
              <w:rPr>
                <w:noProof/>
                <w:webHidden/>
              </w:rPr>
              <w:fldChar w:fldCharType="begin"/>
            </w:r>
            <w:r w:rsidR="00424427" w:rsidRPr="00424427">
              <w:rPr>
                <w:noProof/>
                <w:webHidden/>
              </w:rPr>
              <w:instrText xml:space="preserve"> PAGEREF _Toc50906702 \h </w:instrText>
            </w:r>
            <w:r w:rsidR="00424427" w:rsidRPr="00424427">
              <w:rPr>
                <w:noProof/>
                <w:webHidden/>
              </w:rPr>
            </w:r>
            <w:r w:rsidR="00424427" w:rsidRPr="00424427">
              <w:rPr>
                <w:noProof/>
                <w:webHidden/>
              </w:rPr>
              <w:fldChar w:fldCharType="separate"/>
            </w:r>
            <w:r w:rsidR="002D2DC2">
              <w:rPr>
                <w:noProof/>
                <w:webHidden/>
              </w:rPr>
              <w:t>55</w:t>
            </w:r>
            <w:r w:rsidR="00424427" w:rsidRPr="00424427">
              <w:rPr>
                <w:noProof/>
                <w:webHidden/>
              </w:rPr>
              <w:fldChar w:fldCharType="end"/>
            </w:r>
          </w:hyperlink>
        </w:p>
        <w:p w:rsidR="00424427" w:rsidRDefault="00FB3EA4">
          <w:pPr>
            <w:pStyle w:val="TDC2"/>
            <w:tabs>
              <w:tab w:val="right" w:leader="dot" w:pos="8828"/>
            </w:tabs>
            <w:rPr>
              <w:rFonts w:eastAsiaTheme="minorEastAsia"/>
              <w:noProof/>
              <w:lang w:eastAsia="es-CR"/>
            </w:rPr>
          </w:pPr>
          <w:hyperlink w:anchor="_Toc50906703" w:history="1">
            <w:r w:rsidR="00424427" w:rsidRPr="00F31B63">
              <w:rPr>
                <w:rStyle w:val="Hipervnculo"/>
                <w:rFonts w:ascii="Arial" w:hAnsi="Arial" w:cs="Arial"/>
                <w:b/>
                <w:noProof/>
              </w:rPr>
              <w:t>Dimensiones Empíricas</w:t>
            </w:r>
            <w:r w:rsidR="00424427">
              <w:rPr>
                <w:noProof/>
                <w:webHidden/>
              </w:rPr>
              <w:tab/>
            </w:r>
            <w:r w:rsidR="00424427">
              <w:rPr>
                <w:noProof/>
                <w:webHidden/>
              </w:rPr>
              <w:fldChar w:fldCharType="begin"/>
            </w:r>
            <w:r w:rsidR="00424427">
              <w:rPr>
                <w:noProof/>
                <w:webHidden/>
              </w:rPr>
              <w:instrText xml:space="preserve"> PAGEREF _Toc50906703 \h </w:instrText>
            </w:r>
            <w:r w:rsidR="00424427">
              <w:rPr>
                <w:noProof/>
                <w:webHidden/>
              </w:rPr>
            </w:r>
            <w:r w:rsidR="00424427">
              <w:rPr>
                <w:noProof/>
                <w:webHidden/>
              </w:rPr>
              <w:fldChar w:fldCharType="separate"/>
            </w:r>
            <w:r w:rsidR="002D2DC2">
              <w:rPr>
                <w:noProof/>
                <w:webHidden/>
              </w:rPr>
              <w:t>57</w:t>
            </w:r>
            <w:r w:rsidR="00424427">
              <w:rPr>
                <w:noProof/>
                <w:webHidden/>
              </w:rPr>
              <w:fldChar w:fldCharType="end"/>
            </w:r>
          </w:hyperlink>
        </w:p>
        <w:p w:rsidR="00424427" w:rsidRDefault="00FB3EA4">
          <w:pPr>
            <w:pStyle w:val="TDC1"/>
            <w:rPr>
              <w:rFonts w:asciiTheme="minorHAnsi" w:eastAsiaTheme="minorEastAsia" w:hAnsiTheme="minorHAnsi" w:cstheme="minorBidi"/>
              <w:b w:val="0"/>
              <w:sz w:val="22"/>
              <w:szCs w:val="22"/>
              <w:lang w:eastAsia="es-CR"/>
            </w:rPr>
          </w:pPr>
          <w:hyperlink w:anchor="_Toc50906704" w:history="1">
            <w:r w:rsidR="00424427" w:rsidRPr="00F31B63">
              <w:rPr>
                <w:rStyle w:val="Hipervnculo"/>
              </w:rPr>
              <w:t>Capítulo III. Aspectos Metodológicos</w:t>
            </w:r>
            <w:r w:rsidR="00424427">
              <w:rPr>
                <w:webHidden/>
              </w:rPr>
              <w:tab/>
            </w:r>
            <w:r w:rsidR="00424427">
              <w:rPr>
                <w:webHidden/>
              </w:rPr>
              <w:fldChar w:fldCharType="begin"/>
            </w:r>
            <w:r w:rsidR="00424427">
              <w:rPr>
                <w:webHidden/>
              </w:rPr>
              <w:instrText xml:space="preserve"> PAGEREF _Toc50906704 \h </w:instrText>
            </w:r>
            <w:r w:rsidR="00424427">
              <w:rPr>
                <w:webHidden/>
              </w:rPr>
            </w:r>
            <w:r w:rsidR="00424427">
              <w:rPr>
                <w:webHidden/>
              </w:rPr>
              <w:fldChar w:fldCharType="separate"/>
            </w:r>
            <w:r w:rsidR="002D2DC2">
              <w:rPr>
                <w:webHidden/>
              </w:rPr>
              <w:t>59</w:t>
            </w:r>
            <w:r w:rsidR="00424427">
              <w:rPr>
                <w:webHidden/>
              </w:rPr>
              <w:fldChar w:fldCharType="end"/>
            </w:r>
          </w:hyperlink>
        </w:p>
        <w:p w:rsidR="00424427" w:rsidRPr="00424427" w:rsidRDefault="00FB3EA4">
          <w:pPr>
            <w:pStyle w:val="TDC2"/>
            <w:tabs>
              <w:tab w:val="left" w:pos="880"/>
              <w:tab w:val="right" w:leader="dot" w:pos="8828"/>
            </w:tabs>
            <w:rPr>
              <w:rFonts w:eastAsiaTheme="minorEastAsia"/>
              <w:noProof/>
              <w:lang w:eastAsia="es-CR"/>
            </w:rPr>
          </w:pPr>
          <w:hyperlink w:anchor="_Toc50906705" w:history="1">
            <w:r w:rsidR="00424427" w:rsidRPr="00424427">
              <w:rPr>
                <w:rStyle w:val="Hipervnculo"/>
                <w:rFonts w:ascii="Arial" w:hAnsi="Arial" w:cs="Arial"/>
                <w:noProof/>
              </w:rPr>
              <w:t>3.1</w:t>
            </w:r>
            <w:r w:rsidR="00424427" w:rsidRPr="00424427">
              <w:rPr>
                <w:rFonts w:eastAsiaTheme="minorEastAsia"/>
                <w:noProof/>
                <w:lang w:eastAsia="es-CR"/>
              </w:rPr>
              <w:tab/>
            </w:r>
            <w:r w:rsidR="00424427" w:rsidRPr="00424427">
              <w:rPr>
                <w:rStyle w:val="Hipervnculo"/>
                <w:rFonts w:ascii="Arial" w:hAnsi="Arial" w:cs="Arial"/>
                <w:noProof/>
              </w:rPr>
              <w:t>Enfoque de investigación</w:t>
            </w:r>
            <w:r w:rsidR="00424427" w:rsidRPr="00424427">
              <w:rPr>
                <w:noProof/>
                <w:webHidden/>
              </w:rPr>
              <w:tab/>
            </w:r>
            <w:r w:rsidR="00424427" w:rsidRPr="00424427">
              <w:rPr>
                <w:noProof/>
                <w:webHidden/>
              </w:rPr>
              <w:fldChar w:fldCharType="begin"/>
            </w:r>
            <w:r w:rsidR="00424427" w:rsidRPr="00424427">
              <w:rPr>
                <w:noProof/>
                <w:webHidden/>
              </w:rPr>
              <w:instrText xml:space="preserve"> PAGEREF _Toc50906705 \h </w:instrText>
            </w:r>
            <w:r w:rsidR="00424427" w:rsidRPr="00424427">
              <w:rPr>
                <w:noProof/>
                <w:webHidden/>
              </w:rPr>
            </w:r>
            <w:r w:rsidR="00424427" w:rsidRPr="00424427">
              <w:rPr>
                <w:noProof/>
                <w:webHidden/>
              </w:rPr>
              <w:fldChar w:fldCharType="separate"/>
            </w:r>
            <w:r w:rsidR="002D2DC2">
              <w:rPr>
                <w:noProof/>
                <w:webHidden/>
              </w:rPr>
              <w:t>59</w:t>
            </w:r>
            <w:r w:rsidR="00424427" w:rsidRPr="00424427">
              <w:rPr>
                <w:noProof/>
                <w:webHidden/>
              </w:rPr>
              <w:fldChar w:fldCharType="end"/>
            </w:r>
          </w:hyperlink>
        </w:p>
        <w:p w:rsidR="00424427" w:rsidRPr="00424427" w:rsidRDefault="00FB3EA4">
          <w:pPr>
            <w:pStyle w:val="TDC2"/>
            <w:tabs>
              <w:tab w:val="left" w:pos="880"/>
              <w:tab w:val="right" w:leader="dot" w:pos="8828"/>
            </w:tabs>
            <w:rPr>
              <w:rFonts w:eastAsiaTheme="minorEastAsia"/>
              <w:noProof/>
              <w:lang w:eastAsia="es-CR"/>
            </w:rPr>
          </w:pPr>
          <w:hyperlink w:anchor="_Toc50906706" w:history="1">
            <w:r w:rsidR="00424427" w:rsidRPr="00424427">
              <w:rPr>
                <w:rStyle w:val="Hipervnculo"/>
                <w:rFonts w:ascii="Arial" w:hAnsi="Arial" w:cs="Arial"/>
                <w:noProof/>
              </w:rPr>
              <w:t>3.2</w:t>
            </w:r>
            <w:r w:rsidR="00424427" w:rsidRPr="00424427">
              <w:rPr>
                <w:rFonts w:eastAsiaTheme="minorEastAsia"/>
                <w:noProof/>
                <w:lang w:eastAsia="es-CR"/>
              </w:rPr>
              <w:tab/>
            </w:r>
            <w:r w:rsidR="00424427" w:rsidRPr="00424427">
              <w:rPr>
                <w:rStyle w:val="Hipervnculo"/>
                <w:rFonts w:ascii="Arial" w:hAnsi="Arial" w:cs="Arial"/>
                <w:noProof/>
              </w:rPr>
              <w:t>Tipo de Investigación</w:t>
            </w:r>
            <w:r w:rsidR="00424427" w:rsidRPr="00424427">
              <w:rPr>
                <w:noProof/>
                <w:webHidden/>
              </w:rPr>
              <w:tab/>
            </w:r>
            <w:r w:rsidR="00424427" w:rsidRPr="00424427">
              <w:rPr>
                <w:noProof/>
                <w:webHidden/>
              </w:rPr>
              <w:fldChar w:fldCharType="begin"/>
            </w:r>
            <w:r w:rsidR="00424427" w:rsidRPr="00424427">
              <w:rPr>
                <w:noProof/>
                <w:webHidden/>
              </w:rPr>
              <w:instrText xml:space="preserve"> PAGEREF _Toc50906706 \h </w:instrText>
            </w:r>
            <w:r w:rsidR="00424427" w:rsidRPr="00424427">
              <w:rPr>
                <w:noProof/>
                <w:webHidden/>
              </w:rPr>
            </w:r>
            <w:r w:rsidR="00424427" w:rsidRPr="00424427">
              <w:rPr>
                <w:noProof/>
                <w:webHidden/>
              </w:rPr>
              <w:fldChar w:fldCharType="separate"/>
            </w:r>
            <w:r w:rsidR="002D2DC2">
              <w:rPr>
                <w:noProof/>
                <w:webHidden/>
              </w:rPr>
              <w:t>60</w:t>
            </w:r>
            <w:r w:rsidR="00424427" w:rsidRPr="00424427">
              <w:rPr>
                <w:noProof/>
                <w:webHidden/>
              </w:rPr>
              <w:fldChar w:fldCharType="end"/>
            </w:r>
          </w:hyperlink>
        </w:p>
        <w:p w:rsidR="00424427" w:rsidRPr="00424427" w:rsidRDefault="00FB3EA4">
          <w:pPr>
            <w:pStyle w:val="TDC2"/>
            <w:tabs>
              <w:tab w:val="left" w:pos="880"/>
              <w:tab w:val="right" w:leader="dot" w:pos="8828"/>
            </w:tabs>
            <w:rPr>
              <w:rFonts w:eastAsiaTheme="minorEastAsia"/>
              <w:noProof/>
              <w:lang w:eastAsia="es-CR"/>
            </w:rPr>
          </w:pPr>
          <w:hyperlink w:anchor="_Toc50906707" w:history="1">
            <w:r w:rsidR="00424427" w:rsidRPr="00424427">
              <w:rPr>
                <w:rStyle w:val="Hipervnculo"/>
                <w:rFonts w:ascii="Arial" w:hAnsi="Arial" w:cs="Arial"/>
                <w:noProof/>
              </w:rPr>
              <w:t>3.3</w:t>
            </w:r>
            <w:r w:rsidR="00424427" w:rsidRPr="00424427">
              <w:rPr>
                <w:rFonts w:eastAsiaTheme="minorEastAsia"/>
                <w:noProof/>
                <w:lang w:eastAsia="es-CR"/>
              </w:rPr>
              <w:tab/>
            </w:r>
            <w:r w:rsidR="00424427" w:rsidRPr="00424427">
              <w:rPr>
                <w:rStyle w:val="Hipervnculo"/>
                <w:rFonts w:ascii="Arial" w:hAnsi="Arial" w:cs="Arial"/>
                <w:noProof/>
              </w:rPr>
              <w:t>Dimensiones Empíricas y Categorías Teóricas de Análisis</w:t>
            </w:r>
            <w:r w:rsidR="00424427" w:rsidRPr="00424427">
              <w:rPr>
                <w:noProof/>
                <w:webHidden/>
              </w:rPr>
              <w:tab/>
            </w:r>
            <w:r w:rsidR="00424427" w:rsidRPr="00424427">
              <w:rPr>
                <w:noProof/>
                <w:webHidden/>
              </w:rPr>
              <w:fldChar w:fldCharType="begin"/>
            </w:r>
            <w:r w:rsidR="00424427" w:rsidRPr="00424427">
              <w:rPr>
                <w:noProof/>
                <w:webHidden/>
              </w:rPr>
              <w:instrText xml:space="preserve"> PAGEREF _Toc50906707 \h </w:instrText>
            </w:r>
            <w:r w:rsidR="00424427" w:rsidRPr="00424427">
              <w:rPr>
                <w:noProof/>
                <w:webHidden/>
              </w:rPr>
            </w:r>
            <w:r w:rsidR="00424427" w:rsidRPr="00424427">
              <w:rPr>
                <w:noProof/>
                <w:webHidden/>
              </w:rPr>
              <w:fldChar w:fldCharType="separate"/>
            </w:r>
            <w:r w:rsidR="002D2DC2">
              <w:rPr>
                <w:noProof/>
                <w:webHidden/>
              </w:rPr>
              <w:t>61</w:t>
            </w:r>
            <w:r w:rsidR="00424427" w:rsidRPr="00424427">
              <w:rPr>
                <w:noProof/>
                <w:webHidden/>
              </w:rPr>
              <w:fldChar w:fldCharType="end"/>
            </w:r>
          </w:hyperlink>
        </w:p>
        <w:p w:rsidR="00424427" w:rsidRPr="00424427" w:rsidRDefault="00FB3EA4">
          <w:pPr>
            <w:pStyle w:val="TDC2"/>
            <w:tabs>
              <w:tab w:val="left" w:pos="880"/>
              <w:tab w:val="right" w:leader="dot" w:pos="8828"/>
            </w:tabs>
            <w:rPr>
              <w:rFonts w:eastAsiaTheme="minorEastAsia"/>
              <w:noProof/>
              <w:lang w:eastAsia="es-CR"/>
            </w:rPr>
          </w:pPr>
          <w:hyperlink w:anchor="_Toc50906708" w:history="1">
            <w:r w:rsidR="00424427" w:rsidRPr="00424427">
              <w:rPr>
                <w:rStyle w:val="Hipervnculo"/>
                <w:rFonts w:ascii="Arial" w:hAnsi="Arial" w:cs="Arial"/>
                <w:noProof/>
              </w:rPr>
              <w:t>3.4</w:t>
            </w:r>
            <w:r w:rsidR="00424427" w:rsidRPr="00424427">
              <w:rPr>
                <w:rFonts w:eastAsiaTheme="minorEastAsia"/>
                <w:noProof/>
                <w:lang w:eastAsia="es-CR"/>
              </w:rPr>
              <w:tab/>
            </w:r>
            <w:r w:rsidR="00424427" w:rsidRPr="00424427">
              <w:rPr>
                <w:rStyle w:val="Hipervnculo"/>
                <w:rFonts w:ascii="Arial" w:hAnsi="Arial" w:cs="Arial"/>
                <w:noProof/>
              </w:rPr>
              <w:t>Fuentes de Información</w:t>
            </w:r>
            <w:r w:rsidR="00424427" w:rsidRPr="00424427">
              <w:rPr>
                <w:noProof/>
                <w:webHidden/>
              </w:rPr>
              <w:tab/>
            </w:r>
            <w:r w:rsidR="00424427" w:rsidRPr="00424427">
              <w:rPr>
                <w:noProof/>
                <w:webHidden/>
              </w:rPr>
              <w:fldChar w:fldCharType="begin"/>
            </w:r>
            <w:r w:rsidR="00424427" w:rsidRPr="00424427">
              <w:rPr>
                <w:noProof/>
                <w:webHidden/>
              </w:rPr>
              <w:instrText xml:space="preserve"> PAGEREF _Toc50906708 \h </w:instrText>
            </w:r>
            <w:r w:rsidR="00424427" w:rsidRPr="00424427">
              <w:rPr>
                <w:noProof/>
                <w:webHidden/>
              </w:rPr>
            </w:r>
            <w:r w:rsidR="00424427" w:rsidRPr="00424427">
              <w:rPr>
                <w:noProof/>
                <w:webHidden/>
              </w:rPr>
              <w:fldChar w:fldCharType="separate"/>
            </w:r>
            <w:r w:rsidR="002D2DC2">
              <w:rPr>
                <w:noProof/>
                <w:webHidden/>
              </w:rPr>
              <w:t>61</w:t>
            </w:r>
            <w:r w:rsidR="00424427" w:rsidRPr="00424427">
              <w:rPr>
                <w:noProof/>
                <w:webHidden/>
              </w:rPr>
              <w:fldChar w:fldCharType="end"/>
            </w:r>
          </w:hyperlink>
        </w:p>
        <w:p w:rsidR="00424427" w:rsidRPr="00424427" w:rsidRDefault="00FB3EA4">
          <w:pPr>
            <w:pStyle w:val="TDC2"/>
            <w:tabs>
              <w:tab w:val="left" w:pos="880"/>
              <w:tab w:val="right" w:leader="dot" w:pos="8828"/>
            </w:tabs>
            <w:rPr>
              <w:rFonts w:eastAsiaTheme="minorEastAsia"/>
              <w:noProof/>
              <w:lang w:eastAsia="es-CR"/>
            </w:rPr>
          </w:pPr>
          <w:hyperlink w:anchor="_Toc50906709" w:history="1">
            <w:r w:rsidR="00424427" w:rsidRPr="00424427">
              <w:rPr>
                <w:rStyle w:val="Hipervnculo"/>
                <w:rFonts w:ascii="Arial" w:hAnsi="Arial" w:cs="Arial"/>
                <w:noProof/>
              </w:rPr>
              <w:t>3.5</w:t>
            </w:r>
            <w:r w:rsidR="00424427" w:rsidRPr="00424427">
              <w:rPr>
                <w:rFonts w:eastAsiaTheme="minorEastAsia"/>
                <w:noProof/>
                <w:lang w:eastAsia="es-CR"/>
              </w:rPr>
              <w:tab/>
            </w:r>
            <w:r w:rsidR="00424427" w:rsidRPr="00424427">
              <w:rPr>
                <w:rStyle w:val="Hipervnculo"/>
                <w:rFonts w:ascii="Arial" w:hAnsi="Arial" w:cs="Arial"/>
                <w:noProof/>
              </w:rPr>
              <w:t>Técnicas de Investigación</w:t>
            </w:r>
            <w:r w:rsidR="00424427" w:rsidRPr="00424427">
              <w:rPr>
                <w:noProof/>
                <w:webHidden/>
              </w:rPr>
              <w:tab/>
            </w:r>
            <w:r w:rsidR="00424427" w:rsidRPr="00424427">
              <w:rPr>
                <w:noProof/>
                <w:webHidden/>
              </w:rPr>
              <w:fldChar w:fldCharType="begin"/>
            </w:r>
            <w:r w:rsidR="00424427" w:rsidRPr="00424427">
              <w:rPr>
                <w:noProof/>
                <w:webHidden/>
              </w:rPr>
              <w:instrText xml:space="preserve"> PAGEREF _Toc50906709 \h </w:instrText>
            </w:r>
            <w:r w:rsidR="00424427" w:rsidRPr="00424427">
              <w:rPr>
                <w:noProof/>
                <w:webHidden/>
              </w:rPr>
            </w:r>
            <w:r w:rsidR="00424427" w:rsidRPr="00424427">
              <w:rPr>
                <w:noProof/>
                <w:webHidden/>
              </w:rPr>
              <w:fldChar w:fldCharType="separate"/>
            </w:r>
            <w:r w:rsidR="002D2DC2">
              <w:rPr>
                <w:noProof/>
                <w:webHidden/>
              </w:rPr>
              <w:t>62</w:t>
            </w:r>
            <w:r w:rsidR="00424427" w:rsidRPr="00424427">
              <w:rPr>
                <w:noProof/>
                <w:webHidden/>
              </w:rPr>
              <w:fldChar w:fldCharType="end"/>
            </w:r>
          </w:hyperlink>
        </w:p>
        <w:p w:rsidR="00424427" w:rsidRDefault="00FB3EA4">
          <w:pPr>
            <w:pStyle w:val="TDC1"/>
            <w:rPr>
              <w:rFonts w:asciiTheme="minorHAnsi" w:eastAsiaTheme="minorEastAsia" w:hAnsiTheme="minorHAnsi" w:cstheme="minorBidi"/>
              <w:b w:val="0"/>
              <w:sz w:val="22"/>
              <w:szCs w:val="22"/>
              <w:lang w:eastAsia="es-CR"/>
            </w:rPr>
          </w:pPr>
          <w:hyperlink w:anchor="_Toc50906710" w:history="1">
            <w:r w:rsidR="00424427" w:rsidRPr="00F31B63">
              <w:rPr>
                <w:rStyle w:val="Hipervnculo"/>
              </w:rPr>
              <w:t>Capítulo IV. Análisis de la información y resultados obtenidos</w:t>
            </w:r>
            <w:r w:rsidR="00424427">
              <w:rPr>
                <w:webHidden/>
              </w:rPr>
              <w:tab/>
            </w:r>
            <w:r w:rsidR="00424427">
              <w:rPr>
                <w:webHidden/>
              </w:rPr>
              <w:fldChar w:fldCharType="begin"/>
            </w:r>
            <w:r w:rsidR="00424427">
              <w:rPr>
                <w:webHidden/>
              </w:rPr>
              <w:instrText xml:space="preserve"> PAGEREF _Toc50906710 \h </w:instrText>
            </w:r>
            <w:r w:rsidR="00424427">
              <w:rPr>
                <w:webHidden/>
              </w:rPr>
            </w:r>
            <w:r w:rsidR="00424427">
              <w:rPr>
                <w:webHidden/>
              </w:rPr>
              <w:fldChar w:fldCharType="separate"/>
            </w:r>
            <w:r w:rsidR="002D2DC2">
              <w:rPr>
                <w:webHidden/>
              </w:rPr>
              <w:t>65</w:t>
            </w:r>
            <w:r w:rsidR="00424427">
              <w:rPr>
                <w:webHidden/>
              </w:rPr>
              <w:fldChar w:fldCharType="end"/>
            </w:r>
          </w:hyperlink>
        </w:p>
        <w:p w:rsidR="00424427" w:rsidRPr="00424427" w:rsidRDefault="00FB3EA4">
          <w:pPr>
            <w:pStyle w:val="TDC2"/>
            <w:tabs>
              <w:tab w:val="left" w:pos="880"/>
              <w:tab w:val="right" w:leader="dot" w:pos="8828"/>
            </w:tabs>
            <w:rPr>
              <w:rFonts w:eastAsiaTheme="minorEastAsia"/>
              <w:noProof/>
              <w:lang w:eastAsia="es-CR"/>
            </w:rPr>
          </w:pPr>
          <w:hyperlink w:anchor="_Toc50906711" w:history="1">
            <w:r w:rsidR="00424427" w:rsidRPr="00424427">
              <w:rPr>
                <w:rStyle w:val="Hipervnculo"/>
                <w:rFonts w:ascii="Arial" w:hAnsi="Arial" w:cs="Arial"/>
                <w:noProof/>
              </w:rPr>
              <w:t>4.1</w:t>
            </w:r>
            <w:r w:rsidR="00424427" w:rsidRPr="00424427">
              <w:rPr>
                <w:rFonts w:eastAsiaTheme="minorEastAsia"/>
                <w:noProof/>
                <w:lang w:eastAsia="es-CR"/>
              </w:rPr>
              <w:tab/>
            </w:r>
            <w:r w:rsidR="00424427" w:rsidRPr="00424427">
              <w:rPr>
                <w:rStyle w:val="Hipervnculo"/>
                <w:rFonts w:ascii="Arial" w:hAnsi="Arial" w:cs="Arial"/>
                <w:noProof/>
              </w:rPr>
              <w:t>Contextualización del territorio del AMPR Paquera-Tambor</w:t>
            </w:r>
            <w:r w:rsidR="00424427" w:rsidRPr="00424427">
              <w:rPr>
                <w:noProof/>
                <w:webHidden/>
              </w:rPr>
              <w:tab/>
            </w:r>
            <w:r w:rsidR="00424427" w:rsidRPr="00424427">
              <w:rPr>
                <w:noProof/>
                <w:webHidden/>
              </w:rPr>
              <w:fldChar w:fldCharType="begin"/>
            </w:r>
            <w:r w:rsidR="00424427" w:rsidRPr="00424427">
              <w:rPr>
                <w:noProof/>
                <w:webHidden/>
              </w:rPr>
              <w:instrText xml:space="preserve"> PAGEREF _Toc50906711 \h </w:instrText>
            </w:r>
            <w:r w:rsidR="00424427" w:rsidRPr="00424427">
              <w:rPr>
                <w:noProof/>
                <w:webHidden/>
              </w:rPr>
            </w:r>
            <w:r w:rsidR="00424427" w:rsidRPr="00424427">
              <w:rPr>
                <w:noProof/>
                <w:webHidden/>
              </w:rPr>
              <w:fldChar w:fldCharType="separate"/>
            </w:r>
            <w:r w:rsidR="002D2DC2">
              <w:rPr>
                <w:noProof/>
                <w:webHidden/>
              </w:rPr>
              <w:t>66</w:t>
            </w:r>
            <w:r w:rsidR="00424427" w:rsidRPr="00424427">
              <w:rPr>
                <w:noProof/>
                <w:webHidden/>
              </w:rPr>
              <w:fldChar w:fldCharType="end"/>
            </w:r>
          </w:hyperlink>
        </w:p>
        <w:p w:rsidR="00424427" w:rsidRPr="00424427" w:rsidRDefault="00FB3EA4">
          <w:pPr>
            <w:pStyle w:val="TDC2"/>
            <w:tabs>
              <w:tab w:val="left" w:pos="880"/>
              <w:tab w:val="right" w:leader="dot" w:pos="8828"/>
            </w:tabs>
            <w:rPr>
              <w:rFonts w:eastAsiaTheme="minorEastAsia"/>
              <w:noProof/>
              <w:lang w:eastAsia="es-CR"/>
            </w:rPr>
          </w:pPr>
          <w:hyperlink w:anchor="_Toc50906712" w:history="1">
            <w:r w:rsidR="00424427" w:rsidRPr="00424427">
              <w:rPr>
                <w:rStyle w:val="Hipervnculo"/>
                <w:rFonts w:ascii="Arial" w:hAnsi="Arial" w:cs="Arial"/>
                <w:noProof/>
              </w:rPr>
              <w:t>4.2</w:t>
            </w:r>
            <w:r w:rsidR="00424427" w:rsidRPr="00424427">
              <w:rPr>
                <w:rFonts w:eastAsiaTheme="minorEastAsia"/>
                <w:noProof/>
                <w:lang w:eastAsia="es-CR"/>
              </w:rPr>
              <w:tab/>
            </w:r>
            <w:r w:rsidR="00424427" w:rsidRPr="00424427">
              <w:rPr>
                <w:rStyle w:val="Hipervnculo"/>
                <w:rFonts w:ascii="Arial" w:hAnsi="Arial" w:cs="Arial"/>
                <w:noProof/>
              </w:rPr>
              <w:t>Estructura jurídica e institucional de las Áreas Marinas de Pesca Responsable</w:t>
            </w:r>
            <w:r w:rsidR="00424427" w:rsidRPr="00424427">
              <w:rPr>
                <w:noProof/>
                <w:webHidden/>
              </w:rPr>
              <w:tab/>
            </w:r>
            <w:r w:rsidR="00424427" w:rsidRPr="00424427">
              <w:rPr>
                <w:noProof/>
                <w:webHidden/>
              </w:rPr>
              <w:fldChar w:fldCharType="begin"/>
            </w:r>
            <w:r w:rsidR="00424427" w:rsidRPr="00424427">
              <w:rPr>
                <w:noProof/>
                <w:webHidden/>
              </w:rPr>
              <w:instrText xml:space="preserve"> PAGEREF _Toc50906712 \h </w:instrText>
            </w:r>
            <w:r w:rsidR="00424427" w:rsidRPr="00424427">
              <w:rPr>
                <w:noProof/>
                <w:webHidden/>
              </w:rPr>
            </w:r>
            <w:r w:rsidR="00424427" w:rsidRPr="00424427">
              <w:rPr>
                <w:noProof/>
                <w:webHidden/>
              </w:rPr>
              <w:fldChar w:fldCharType="separate"/>
            </w:r>
            <w:r w:rsidR="002D2DC2">
              <w:rPr>
                <w:noProof/>
                <w:webHidden/>
              </w:rPr>
              <w:t>73</w:t>
            </w:r>
            <w:r w:rsidR="00424427" w:rsidRPr="00424427">
              <w:rPr>
                <w:noProof/>
                <w:webHidden/>
              </w:rPr>
              <w:fldChar w:fldCharType="end"/>
            </w:r>
          </w:hyperlink>
        </w:p>
        <w:p w:rsidR="00424427" w:rsidRPr="00424427" w:rsidRDefault="00FB3EA4">
          <w:pPr>
            <w:pStyle w:val="TDC2"/>
            <w:tabs>
              <w:tab w:val="left" w:pos="880"/>
              <w:tab w:val="right" w:leader="dot" w:pos="8828"/>
            </w:tabs>
            <w:rPr>
              <w:rFonts w:eastAsiaTheme="minorEastAsia"/>
              <w:noProof/>
              <w:lang w:eastAsia="es-CR"/>
            </w:rPr>
          </w:pPr>
          <w:hyperlink w:anchor="_Toc50906713" w:history="1">
            <w:r w:rsidR="00424427" w:rsidRPr="00424427">
              <w:rPr>
                <w:rStyle w:val="Hipervnculo"/>
                <w:rFonts w:ascii="Arial" w:hAnsi="Arial" w:cs="Arial"/>
                <w:noProof/>
              </w:rPr>
              <w:t>4.3</w:t>
            </w:r>
            <w:r w:rsidR="00424427" w:rsidRPr="00424427">
              <w:rPr>
                <w:rFonts w:eastAsiaTheme="minorEastAsia"/>
                <w:noProof/>
                <w:lang w:eastAsia="es-CR"/>
              </w:rPr>
              <w:tab/>
            </w:r>
            <w:r w:rsidR="00424427" w:rsidRPr="00424427">
              <w:rPr>
                <w:rStyle w:val="Hipervnculo"/>
                <w:rFonts w:ascii="Arial" w:hAnsi="Arial" w:cs="Arial"/>
                <w:noProof/>
              </w:rPr>
              <w:t>Las estrategias institucionales de implementación y gestión del Área Marina de Pesca Responsable Paquera – Tambor</w:t>
            </w:r>
            <w:r w:rsidR="00424427" w:rsidRPr="00424427">
              <w:rPr>
                <w:noProof/>
                <w:webHidden/>
              </w:rPr>
              <w:tab/>
            </w:r>
            <w:r w:rsidR="00424427" w:rsidRPr="00424427">
              <w:rPr>
                <w:noProof/>
                <w:webHidden/>
              </w:rPr>
              <w:fldChar w:fldCharType="begin"/>
            </w:r>
            <w:r w:rsidR="00424427" w:rsidRPr="00424427">
              <w:rPr>
                <w:noProof/>
                <w:webHidden/>
              </w:rPr>
              <w:instrText xml:space="preserve"> PAGEREF _Toc50906713 \h </w:instrText>
            </w:r>
            <w:r w:rsidR="00424427" w:rsidRPr="00424427">
              <w:rPr>
                <w:noProof/>
                <w:webHidden/>
              </w:rPr>
            </w:r>
            <w:r w:rsidR="00424427" w:rsidRPr="00424427">
              <w:rPr>
                <w:noProof/>
                <w:webHidden/>
              </w:rPr>
              <w:fldChar w:fldCharType="separate"/>
            </w:r>
            <w:r w:rsidR="002D2DC2">
              <w:rPr>
                <w:noProof/>
                <w:webHidden/>
              </w:rPr>
              <w:t>90</w:t>
            </w:r>
            <w:r w:rsidR="00424427" w:rsidRPr="00424427">
              <w:rPr>
                <w:noProof/>
                <w:webHidden/>
              </w:rPr>
              <w:fldChar w:fldCharType="end"/>
            </w:r>
          </w:hyperlink>
        </w:p>
        <w:p w:rsidR="00424427" w:rsidRPr="00424427" w:rsidRDefault="00FB3EA4">
          <w:pPr>
            <w:pStyle w:val="TDC2"/>
            <w:tabs>
              <w:tab w:val="left" w:pos="880"/>
              <w:tab w:val="right" w:leader="dot" w:pos="8828"/>
            </w:tabs>
            <w:rPr>
              <w:rFonts w:eastAsiaTheme="minorEastAsia"/>
              <w:noProof/>
              <w:lang w:eastAsia="es-CR"/>
            </w:rPr>
          </w:pPr>
          <w:hyperlink w:anchor="_Toc50906714" w:history="1">
            <w:r w:rsidR="00424427" w:rsidRPr="00424427">
              <w:rPr>
                <w:rStyle w:val="Hipervnculo"/>
                <w:rFonts w:ascii="Arial" w:hAnsi="Arial" w:cs="Arial"/>
                <w:noProof/>
              </w:rPr>
              <w:t>4.4</w:t>
            </w:r>
            <w:r w:rsidR="00424427" w:rsidRPr="00424427">
              <w:rPr>
                <w:rFonts w:eastAsiaTheme="minorEastAsia"/>
                <w:noProof/>
                <w:lang w:eastAsia="es-CR"/>
              </w:rPr>
              <w:tab/>
            </w:r>
            <w:r w:rsidR="00424427" w:rsidRPr="00424427">
              <w:rPr>
                <w:rStyle w:val="Hipervnculo"/>
                <w:rFonts w:ascii="Arial" w:hAnsi="Arial" w:cs="Arial"/>
                <w:noProof/>
              </w:rPr>
              <w:t>Los proceso de planificación y participación local en el Área de Pesca Responsable Paquera – Tambor</w:t>
            </w:r>
            <w:r w:rsidR="00424427" w:rsidRPr="00424427">
              <w:rPr>
                <w:noProof/>
                <w:webHidden/>
              </w:rPr>
              <w:tab/>
            </w:r>
            <w:r w:rsidR="00424427" w:rsidRPr="00424427">
              <w:rPr>
                <w:noProof/>
                <w:webHidden/>
              </w:rPr>
              <w:fldChar w:fldCharType="begin"/>
            </w:r>
            <w:r w:rsidR="00424427" w:rsidRPr="00424427">
              <w:rPr>
                <w:noProof/>
                <w:webHidden/>
              </w:rPr>
              <w:instrText xml:space="preserve"> PAGEREF _Toc50906714 \h </w:instrText>
            </w:r>
            <w:r w:rsidR="00424427" w:rsidRPr="00424427">
              <w:rPr>
                <w:noProof/>
                <w:webHidden/>
              </w:rPr>
            </w:r>
            <w:r w:rsidR="00424427" w:rsidRPr="00424427">
              <w:rPr>
                <w:noProof/>
                <w:webHidden/>
              </w:rPr>
              <w:fldChar w:fldCharType="separate"/>
            </w:r>
            <w:r w:rsidR="002D2DC2">
              <w:rPr>
                <w:noProof/>
                <w:webHidden/>
              </w:rPr>
              <w:t>103</w:t>
            </w:r>
            <w:r w:rsidR="00424427" w:rsidRPr="00424427">
              <w:rPr>
                <w:noProof/>
                <w:webHidden/>
              </w:rPr>
              <w:fldChar w:fldCharType="end"/>
            </w:r>
          </w:hyperlink>
        </w:p>
        <w:p w:rsidR="00424427" w:rsidRPr="00424427" w:rsidRDefault="00FB3EA4">
          <w:pPr>
            <w:pStyle w:val="TDC2"/>
            <w:tabs>
              <w:tab w:val="left" w:pos="880"/>
              <w:tab w:val="right" w:leader="dot" w:pos="8828"/>
            </w:tabs>
            <w:rPr>
              <w:rFonts w:eastAsiaTheme="minorEastAsia"/>
              <w:noProof/>
              <w:lang w:eastAsia="es-CR"/>
            </w:rPr>
          </w:pPr>
          <w:hyperlink w:anchor="_Toc50906715" w:history="1">
            <w:r w:rsidR="00424427" w:rsidRPr="00424427">
              <w:rPr>
                <w:rStyle w:val="Hipervnculo"/>
                <w:rFonts w:ascii="Arial" w:hAnsi="Arial" w:cs="Arial"/>
                <w:noProof/>
              </w:rPr>
              <w:t>4.5</w:t>
            </w:r>
            <w:r w:rsidR="00424427" w:rsidRPr="00424427">
              <w:rPr>
                <w:rFonts w:eastAsiaTheme="minorEastAsia"/>
                <w:noProof/>
                <w:lang w:eastAsia="es-CR"/>
              </w:rPr>
              <w:tab/>
            </w:r>
            <w:r w:rsidR="00424427" w:rsidRPr="00424427">
              <w:rPr>
                <w:rStyle w:val="Hipervnculo"/>
                <w:rFonts w:ascii="Arial" w:hAnsi="Arial" w:cs="Arial"/>
                <w:noProof/>
              </w:rPr>
              <w:t>Análisis del vínculo entre las estrategias institucionales de implementación y gestión con los procesos de planificación local del AMPR Paquera-Tambor</w:t>
            </w:r>
            <w:r w:rsidR="00424427" w:rsidRPr="00424427">
              <w:rPr>
                <w:noProof/>
                <w:webHidden/>
              </w:rPr>
              <w:tab/>
            </w:r>
            <w:r w:rsidR="00424427" w:rsidRPr="00424427">
              <w:rPr>
                <w:noProof/>
                <w:webHidden/>
              </w:rPr>
              <w:fldChar w:fldCharType="begin"/>
            </w:r>
            <w:r w:rsidR="00424427" w:rsidRPr="00424427">
              <w:rPr>
                <w:noProof/>
                <w:webHidden/>
              </w:rPr>
              <w:instrText xml:space="preserve"> PAGEREF _Toc50906715 \h </w:instrText>
            </w:r>
            <w:r w:rsidR="00424427" w:rsidRPr="00424427">
              <w:rPr>
                <w:noProof/>
                <w:webHidden/>
              </w:rPr>
            </w:r>
            <w:r w:rsidR="00424427" w:rsidRPr="00424427">
              <w:rPr>
                <w:noProof/>
                <w:webHidden/>
              </w:rPr>
              <w:fldChar w:fldCharType="separate"/>
            </w:r>
            <w:r w:rsidR="002D2DC2">
              <w:rPr>
                <w:noProof/>
                <w:webHidden/>
              </w:rPr>
              <w:t>115</w:t>
            </w:r>
            <w:r w:rsidR="00424427" w:rsidRPr="00424427">
              <w:rPr>
                <w:noProof/>
                <w:webHidden/>
              </w:rPr>
              <w:fldChar w:fldCharType="end"/>
            </w:r>
          </w:hyperlink>
        </w:p>
        <w:p w:rsidR="00424427" w:rsidRDefault="00FB3EA4">
          <w:pPr>
            <w:pStyle w:val="TDC1"/>
            <w:rPr>
              <w:rFonts w:asciiTheme="minorHAnsi" w:eastAsiaTheme="minorEastAsia" w:hAnsiTheme="minorHAnsi" w:cstheme="minorBidi"/>
              <w:b w:val="0"/>
              <w:sz w:val="22"/>
              <w:szCs w:val="22"/>
              <w:lang w:eastAsia="es-CR"/>
            </w:rPr>
          </w:pPr>
          <w:hyperlink w:anchor="_Toc50906716" w:history="1">
            <w:r w:rsidR="00424427" w:rsidRPr="00F31B63">
              <w:rPr>
                <w:rStyle w:val="Hipervnculo"/>
              </w:rPr>
              <w:t>Capítulo V. Consideraciones finales</w:t>
            </w:r>
            <w:r w:rsidR="00424427">
              <w:rPr>
                <w:webHidden/>
              </w:rPr>
              <w:tab/>
            </w:r>
            <w:r w:rsidR="00424427">
              <w:rPr>
                <w:webHidden/>
              </w:rPr>
              <w:fldChar w:fldCharType="begin"/>
            </w:r>
            <w:r w:rsidR="00424427">
              <w:rPr>
                <w:webHidden/>
              </w:rPr>
              <w:instrText xml:space="preserve"> PAGEREF _Toc50906716 \h </w:instrText>
            </w:r>
            <w:r w:rsidR="00424427">
              <w:rPr>
                <w:webHidden/>
              </w:rPr>
            </w:r>
            <w:r w:rsidR="00424427">
              <w:rPr>
                <w:webHidden/>
              </w:rPr>
              <w:fldChar w:fldCharType="separate"/>
            </w:r>
            <w:r w:rsidR="002D2DC2">
              <w:rPr>
                <w:webHidden/>
              </w:rPr>
              <w:t>122</w:t>
            </w:r>
            <w:r w:rsidR="00424427">
              <w:rPr>
                <w:webHidden/>
              </w:rPr>
              <w:fldChar w:fldCharType="end"/>
            </w:r>
          </w:hyperlink>
        </w:p>
        <w:p w:rsidR="00424427" w:rsidRPr="00424427" w:rsidRDefault="00FB3EA4">
          <w:pPr>
            <w:pStyle w:val="TDC2"/>
            <w:tabs>
              <w:tab w:val="left" w:pos="880"/>
              <w:tab w:val="right" w:leader="dot" w:pos="8828"/>
            </w:tabs>
            <w:rPr>
              <w:rFonts w:eastAsiaTheme="minorEastAsia"/>
              <w:noProof/>
              <w:lang w:eastAsia="es-CR"/>
            </w:rPr>
          </w:pPr>
          <w:hyperlink w:anchor="_Toc50906717" w:history="1">
            <w:r w:rsidR="00424427" w:rsidRPr="00424427">
              <w:rPr>
                <w:rStyle w:val="Hipervnculo"/>
                <w:rFonts w:ascii="Arial" w:hAnsi="Arial" w:cs="Arial"/>
                <w:noProof/>
              </w:rPr>
              <w:t>5.1</w:t>
            </w:r>
            <w:r w:rsidR="00424427" w:rsidRPr="00424427">
              <w:rPr>
                <w:rFonts w:eastAsiaTheme="minorEastAsia"/>
                <w:noProof/>
                <w:lang w:eastAsia="es-CR"/>
              </w:rPr>
              <w:tab/>
            </w:r>
            <w:r w:rsidR="00424427" w:rsidRPr="00424427">
              <w:rPr>
                <w:rStyle w:val="Hipervnculo"/>
                <w:rFonts w:ascii="Arial" w:hAnsi="Arial" w:cs="Arial"/>
                <w:noProof/>
              </w:rPr>
              <w:t>Conclusiones</w:t>
            </w:r>
            <w:r w:rsidR="00424427" w:rsidRPr="00424427">
              <w:rPr>
                <w:noProof/>
                <w:webHidden/>
              </w:rPr>
              <w:tab/>
            </w:r>
            <w:r w:rsidR="00424427" w:rsidRPr="00424427">
              <w:rPr>
                <w:noProof/>
                <w:webHidden/>
              </w:rPr>
              <w:fldChar w:fldCharType="begin"/>
            </w:r>
            <w:r w:rsidR="00424427" w:rsidRPr="00424427">
              <w:rPr>
                <w:noProof/>
                <w:webHidden/>
              </w:rPr>
              <w:instrText xml:space="preserve"> PAGEREF _Toc50906717 \h </w:instrText>
            </w:r>
            <w:r w:rsidR="00424427" w:rsidRPr="00424427">
              <w:rPr>
                <w:noProof/>
                <w:webHidden/>
              </w:rPr>
            </w:r>
            <w:r w:rsidR="00424427" w:rsidRPr="00424427">
              <w:rPr>
                <w:noProof/>
                <w:webHidden/>
              </w:rPr>
              <w:fldChar w:fldCharType="separate"/>
            </w:r>
            <w:r w:rsidR="002D2DC2">
              <w:rPr>
                <w:noProof/>
                <w:webHidden/>
              </w:rPr>
              <w:t>123</w:t>
            </w:r>
            <w:r w:rsidR="00424427" w:rsidRPr="00424427">
              <w:rPr>
                <w:noProof/>
                <w:webHidden/>
              </w:rPr>
              <w:fldChar w:fldCharType="end"/>
            </w:r>
          </w:hyperlink>
        </w:p>
        <w:p w:rsidR="00424427" w:rsidRPr="00424427" w:rsidRDefault="00FB3EA4">
          <w:pPr>
            <w:pStyle w:val="TDC2"/>
            <w:tabs>
              <w:tab w:val="left" w:pos="880"/>
              <w:tab w:val="right" w:leader="dot" w:pos="8828"/>
            </w:tabs>
            <w:rPr>
              <w:rFonts w:eastAsiaTheme="minorEastAsia"/>
              <w:noProof/>
              <w:lang w:eastAsia="es-CR"/>
            </w:rPr>
          </w:pPr>
          <w:hyperlink w:anchor="_Toc50906718" w:history="1">
            <w:r w:rsidR="00424427" w:rsidRPr="00424427">
              <w:rPr>
                <w:rStyle w:val="Hipervnculo"/>
                <w:rFonts w:ascii="Arial" w:hAnsi="Arial" w:cs="Arial"/>
                <w:noProof/>
              </w:rPr>
              <w:t>5.2</w:t>
            </w:r>
            <w:r w:rsidR="00424427" w:rsidRPr="00424427">
              <w:rPr>
                <w:rFonts w:eastAsiaTheme="minorEastAsia"/>
                <w:noProof/>
                <w:lang w:eastAsia="es-CR"/>
              </w:rPr>
              <w:tab/>
            </w:r>
            <w:r w:rsidR="00424427" w:rsidRPr="00424427">
              <w:rPr>
                <w:rStyle w:val="Hipervnculo"/>
                <w:rFonts w:ascii="Arial" w:hAnsi="Arial" w:cs="Arial"/>
                <w:noProof/>
              </w:rPr>
              <w:t>Recomendaciones</w:t>
            </w:r>
            <w:r w:rsidR="00424427" w:rsidRPr="00424427">
              <w:rPr>
                <w:noProof/>
                <w:webHidden/>
              </w:rPr>
              <w:tab/>
            </w:r>
            <w:r w:rsidR="00424427" w:rsidRPr="00424427">
              <w:rPr>
                <w:noProof/>
                <w:webHidden/>
              </w:rPr>
              <w:fldChar w:fldCharType="begin"/>
            </w:r>
            <w:r w:rsidR="00424427" w:rsidRPr="00424427">
              <w:rPr>
                <w:noProof/>
                <w:webHidden/>
              </w:rPr>
              <w:instrText xml:space="preserve"> PAGEREF _Toc50906718 \h </w:instrText>
            </w:r>
            <w:r w:rsidR="00424427" w:rsidRPr="00424427">
              <w:rPr>
                <w:noProof/>
                <w:webHidden/>
              </w:rPr>
            </w:r>
            <w:r w:rsidR="00424427" w:rsidRPr="00424427">
              <w:rPr>
                <w:noProof/>
                <w:webHidden/>
              </w:rPr>
              <w:fldChar w:fldCharType="separate"/>
            </w:r>
            <w:r w:rsidR="002D2DC2">
              <w:rPr>
                <w:noProof/>
                <w:webHidden/>
              </w:rPr>
              <w:t>127</w:t>
            </w:r>
            <w:r w:rsidR="00424427" w:rsidRPr="00424427">
              <w:rPr>
                <w:noProof/>
                <w:webHidden/>
              </w:rPr>
              <w:fldChar w:fldCharType="end"/>
            </w:r>
          </w:hyperlink>
        </w:p>
        <w:p w:rsidR="00424427" w:rsidRPr="00424427" w:rsidRDefault="00FB3EA4">
          <w:pPr>
            <w:pStyle w:val="TDC2"/>
            <w:tabs>
              <w:tab w:val="left" w:pos="880"/>
              <w:tab w:val="right" w:leader="dot" w:pos="8828"/>
            </w:tabs>
            <w:rPr>
              <w:rFonts w:eastAsiaTheme="minorEastAsia"/>
              <w:noProof/>
              <w:lang w:eastAsia="es-CR"/>
            </w:rPr>
          </w:pPr>
          <w:hyperlink w:anchor="_Toc50906719" w:history="1">
            <w:r w:rsidR="00424427" w:rsidRPr="00424427">
              <w:rPr>
                <w:rStyle w:val="Hipervnculo"/>
                <w:rFonts w:ascii="Arial" w:hAnsi="Arial" w:cs="Arial"/>
                <w:noProof/>
              </w:rPr>
              <w:t>5.3</w:t>
            </w:r>
            <w:r w:rsidR="00424427" w:rsidRPr="00424427">
              <w:rPr>
                <w:rFonts w:eastAsiaTheme="minorEastAsia"/>
                <w:noProof/>
                <w:lang w:eastAsia="es-CR"/>
              </w:rPr>
              <w:tab/>
            </w:r>
            <w:r w:rsidR="00424427" w:rsidRPr="00424427">
              <w:rPr>
                <w:rStyle w:val="Hipervnculo"/>
                <w:rFonts w:ascii="Arial" w:hAnsi="Arial" w:cs="Arial"/>
                <w:noProof/>
              </w:rPr>
              <w:t>Alcances y limitaciones de la investigación</w:t>
            </w:r>
            <w:r w:rsidR="00424427" w:rsidRPr="00424427">
              <w:rPr>
                <w:noProof/>
                <w:webHidden/>
              </w:rPr>
              <w:tab/>
            </w:r>
            <w:r w:rsidR="00424427" w:rsidRPr="00424427">
              <w:rPr>
                <w:noProof/>
                <w:webHidden/>
              </w:rPr>
              <w:fldChar w:fldCharType="begin"/>
            </w:r>
            <w:r w:rsidR="00424427" w:rsidRPr="00424427">
              <w:rPr>
                <w:noProof/>
                <w:webHidden/>
              </w:rPr>
              <w:instrText xml:space="preserve"> PAGEREF _Toc50906719 \h </w:instrText>
            </w:r>
            <w:r w:rsidR="00424427" w:rsidRPr="00424427">
              <w:rPr>
                <w:noProof/>
                <w:webHidden/>
              </w:rPr>
            </w:r>
            <w:r w:rsidR="00424427" w:rsidRPr="00424427">
              <w:rPr>
                <w:noProof/>
                <w:webHidden/>
              </w:rPr>
              <w:fldChar w:fldCharType="separate"/>
            </w:r>
            <w:r w:rsidR="002D2DC2">
              <w:rPr>
                <w:noProof/>
                <w:webHidden/>
              </w:rPr>
              <w:t>128</w:t>
            </w:r>
            <w:r w:rsidR="00424427" w:rsidRPr="00424427">
              <w:rPr>
                <w:noProof/>
                <w:webHidden/>
              </w:rPr>
              <w:fldChar w:fldCharType="end"/>
            </w:r>
          </w:hyperlink>
        </w:p>
        <w:p w:rsidR="00424427" w:rsidRDefault="00FB3EA4">
          <w:pPr>
            <w:pStyle w:val="TDC1"/>
            <w:rPr>
              <w:rFonts w:asciiTheme="minorHAnsi" w:eastAsiaTheme="minorEastAsia" w:hAnsiTheme="minorHAnsi" w:cstheme="minorBidi"/>
              <w:b w:val="0"/>
              <w:sz w:val="22"/>
              <w:szCs w:val="22"/>
              <w:lang w:eastAsia="es-CR"/>
            </w:rPr>
          </w:pPr>
          <w:hyperlink w:anchor="_Toc50906720" w:history="1">
            <w:r w:rsidR="00424427" w:rsidRPr="00F31B63">
              <w:rPr>
                <w:rStyle w:val="Hipervnculo"/>
              </w:rPr>
              <w:t>Bibliografía</w:t>
            </w:r>
            <w:r w:rsidR="00424427">
              <w:rPr>
                <w:webHidden/>
              </w:rPr>
              <w:tab/>
            </w:r>
            <w:r w:rsidR="00424427">
              <w:rPr>
                <w:webHidden/>
              </w:rPr>
              <w:fldChar w:fldCharType="begin"/>
            </w:r>
            <w:r w:rsidR="00424427">
              <w:rPr>
                <w:webHidden/>
              </w:rPr>
              <w:instrText xml:space="preserve"> PAGEREF _Toc50906720 \h </w:instrText>
            </w:r>
            <w:r w:rsidR="00424427">
              <w:rPr>
                <w:webHidden/>
              </w:rPr>
            </w:r>
            <w:r w:rsidR="00424427">
              <w:rPr>
                <w:webHidden/>
              </w:rPr>
              <w:fldChar w:fldCharType="separate"/>
            </w:r>
            <w:r w:rsidR="002D2DC2">
              <w:rPr>
                <w:webHidden/>
              </w:rPr>
              <w:t>129</w:t>
            </w:r>
            <w:r w:rsidR="00424427">
              <w:rPr>
                <w:webHidden/>
              </w:rPr>
              <w:fldChar w:fldCharType="end"/>
            </w:r>
          </w:hyperlink>
        </w:p>
        <w:p w:rsidR="00424427" w:rsidRDefault="00FB3EA4">
          <w:pPr>
            <w:pStyle w:val="TDC1"/>
            <w:rPr>
              <w:rFonts w:asciiTheme="minorHAnsi" w:eastAsiaTheme="minorEastAsia" w:hAnsiTheme="minorHAnsi" w:cstheme="minorBidi"/>
              <w:b w:val="0"/>
              <w:sz w:val="22"/>
              <w:szCs w:val="22"/>
              <w:lang w:eastAsia="es-CR"/>
            </w:rPr>
          </w:pPr>
          <w:hyperlink w:anchor="_Toc50906721" w:history="1">
            <w:r w:rsidR="00424427" w:rsidRPr="00F31B63">
              <w:rPr>
                <w:rStyle w:val="Hipervnculo"/>
                <w:rFonts w:eastAsia="Times New Roman"/>
              </w:rPr>
              <w:t>Anexos</w:t>
            </w:r>
            <w:r w:rsidR="00424427">
              <w:rPr>
                <w:webHidden/>
              </w:rPr>
              <w:tab/>
            </w:r>
            <w:r w:rsidR="00424427">
              <w:rPr>
                <w:webHidden/>
              </w:rPr>
              <w:fldChar w:fldCharType="begin"/>
            </w:r>
            <w:r w:rsidR="00424427">
              <w:rPr>
                <w:webHidden/>
              </w:rPr>
              <w:instrText xml:space="preserve"> PAGEREF _Toc50906721 \h </w:instrText>
            </w:r>
            <w:r w:rsidR="00424427">
              <w:rPr>
                <w:webHidden/>
              </w:rPr>
            </w:r>
            <w:r w:rsidR="00424427">
              <w:rPr>
                <w:webHidden/>
              </w:rPr>
              <w:fldChar w:fldCharType="separate"/>
            </w:r>
            <w:r w:rsidR="002D2DC2">
              <w:rPr>
                <w:webHidden/>
              </w:rPr>
              <w:t>139</w:t>
            </w:r>
            <w:r w:rsidR="00424427">
              <w:rPr>
                <w:webHidden/>
              </w:rPr>
              <w:fldChar w:fldCharType="end"/>
            </w:r>
          </w:hyperlink>
        </w:p>
        <w:p w:rsidR="00477601" w:rsidRDefault="00477601" w:rsidP="00477601">
          <w:pPr>
            <w:spacing w:line="276" w:lineRule="auto"/>
          </w:pPr>
          <w:r w:rsidRPr="00EC1EEF">
            <w:rPr>
              <w:rFonts w:ascii="Arial" w:hAnsi="Arial" w:cs="Arial"/>
              <w:b/>
              <w:bCs/>
              <w:sz w:val="24"/>
              <w:szCs w:val="24"/>
              <w:lang w:val="es-ES"/>
            </w:rPr>
            <w:fldChar w:fldCharType="end"/>
          </w:r>
        </w:p>
      </w:sdtContent>
    </w:sdt>
    <w:p w:rsidR="00477601" w:rsidRPr="002257DF" w:rsidRDefault="00477601" w:rsidP="00477601">
      <w:pPr>
        <w:spacing w:line="360" w:lineRule="auto"/>
        <w:ind w:firstLine="708"/>
        <w:jc w:val="both"/>
        <w:rPr>
          <w:rFonts w:ascii="Arial" w:hAnsi="Arial" w:cs="Arial"/>
          <w:sz w:val="24"/>
        </w:rPr>
      </w:pPr>
    </w:p>
    <w:p w:rsidR="00477601" w:rsidRDefault="00477601" w:rsidP="00477601">
      <w:pPr>
        <w:rPr>
          <w:rFonts w:ascii="Arial" w:eastAsiaTheme="majorEastAsia" w:hAnsi="Arial" w:cstheme="majorBidi"/>
          <w:b/>
          <w:sz w:val="28"/>
          <w:szCs w:val="32"/>
        </w:rPr>
      </w:pPr>
      <w:bookmarkStart w:id="2" w:name="_Toc49628430"/>
      <w:r>
        <w:br w:type="page"/>
      </w:r>
    </w:p>
    <w:p w:rsidR="00477601" w:rsidRDefault="00477601" w:rsidP="00477601">
      <w:pPr>
        <w:pStyle w:val="Ttulo1"/>
        <w:spacing w:line="480" w:lineRule="auto"/>
      </w:pPr>
      <w:bookmarkStart w:id="3" w:name="_Toc50906683"/>
      <w:r w:rsidRPr="0049230F">
        <w:lastRenderedPageBreak/>
        <w:t>Í</w:t>
      </w:r>
      <w:r>
        <w:t xml:space="preserve">ndice de </w:t>
      </w:r>
      <w:bookmarkEnd w:id="2"/>
      <w:r>
        <w:t>Figuras</w:t>
      </w:r>
      <w:bookmarkEnd w:id="3"/>
    </w:p>
    <w:p w:rsidR="00477601" w:rsidRPr="00114D33" w:rsidRDefault="00477601" w:rsidP="00424427">
      <w:pPr>
        <w:pStyle w:val="TDC3"/>
        <w:ind w:left="0"/>
        <w:jc w:val="left"/>
        <w:rPr>
          <w:szCs w:val="24"/>
        </w:rPr>
      </w:pPr>
      <w:r w:rsidRPr="00114D33">
        <w:t xml:space="preserve">Figura N°1: Matriz de categorías teóricas </w:t>
      </w:r>
      <w:hyperlink w:anchor="_Toc522610234" w:history="1">
        <w:r w:rsidRPr="00114D33">
          <w:rPr>
            <w:webHidden/>
            <w:szCs w:val="24"/>
          </w:rPr>
          <w:tab/>
          <w:t>5</w:t>
        </w:r>
      </w:hyperlink>
      <w:r w:rsidRPr="00114D33">
        <w:rPr>
          <w:szCs w:val="24"/>
        </w:rPr>
        <w:t>6</w:t>
      </w:r>
    </w:p>
    <w:p w:rsidR="00477601" w:rsidRPr="00114D33" w:rsidRDefault="00477601" w:rsidP="00424427">
      <w:pPr>
        <w:pStyle w:val="TDC3"/>
        <w:ind w:left="0"/>
        <w:jc w:val="left"/>
      </w:pPr>
      <w:r w:rsidRPr="00114D33">
        <w:t xml:space="preserve">Figura N°2: Golfo de Nicoya </w:t>
      </w:r>
      <w:hyperlink w:anchor="_Toc522610234" w:history="1">
        <w:r w:rsidRPr="00114D33">
          <w:rPr>
            <w:webHidden/>
          </w:rPr>
          <w:tab/>
          <w:t>6</w:t>
        </w:r>
      </w:hyperlink>
      <w:r w:rsidR="00392909">
        <w:t>7</w:t>
      </w:r>
    </w:p>
    <w:p w:rsidR="00477601" w:rsidRPr="00114D33" w:rsidRDefault="00477601" w:rsidP="00424427">
      <w:pPr>
        <w:pStyle w:val="TDC3"/>
        <w:ind w:left="0"/>
        <w:jc w:val="left"/>
        <w:rPr>
          <w:szCs w:val="24"/>
        </w:rPr>
      </w:pPr>
      <w:r w:rsidRPr="00114D33">
        <w:t xml:space="preserve">Figura N°3: Ubicación territorial del extremo sur del Golfo de Nicoya </w:t>
      </w:r>
      <w:hyperlink w:anchor="_Toc522610234" w:history="1">
        <w:r w:rsidR="00392909">
          <w:rPr>
            <w:webHidden/>
            <w:szCs w:val="24"/>
          </w:rPr>
          <w:tab/>
        </w:r>
        <w:r w:rsidRPr="00114D33">
          <w:rPr>
            <w:webHidden/>
            <w:szCs w:val="24"/>
          </w:rPr>
          <w:t>6</w:t>
        </w:r>
      </w:hyperlink>
      <w:r w:rsidR="00392909">
        <w:rPr>
          <w:szCs w:val="24"/>
        </w:rPr>
        <w:t>7</w:t>
      </w:r>
    </w:p>
    <w:p w:rsidR="00477601" w:rsidRPr="00114D33" w:rsidRDefault="00477601" w:rsidP="00424427">
      <w:pPr>
        <w:pStyle w:val="TDC3"/>
        <w:ind w:left="0"/>
        <w:jc w:val="left"/>
        <w:rPr>
          <w:szCs w:val="24"/>
        </w:rPr>
      </w:pPr>
      <w:r w:rsidRPr="00114D33">
        <w:t>Figura N°4: Zonas de vida en el territorio sur del Golfo de Nicoya</w:t>
      </w:r>
      <w:hyperlink w:anchor="_Toc522610234" w:history="1">
        <w:r w:rsidRPr="00114D33">
          <w:rPr>
            <w:webHidden/>
            <w:szCs w:val="24"/>
          </w:rPr>
          <w:tab/>
          <w:t>6</w:t>
        </w:r>
        <w:r w:rsidR="00392909">
          <w:rPr>
            <w:webHidden/>
            <w:szCs w:val="24"/>
          </w:rPr>
          <w:t>8</w:t>
        </w:r>
      </w:hyperlink>
    </w:p>
    <w:p w:rsidR="00477601" w:rsidRPr="00114D33" w:rsidRDefault="00477601" w:rsidP="00424427">
      <w:pPr>
        <w:pStyle w:val="TDC3"/>
        <w:ind w:left="0"/>
        <w:jc w:val="left"/>
        <w:rPr>
          <w:szCs w:val="24"/>
        </w:rPr>
      </w:pPr>
      <w:r w:rsidRPr="00114D33">
        <w:t>Figura N°5: Delimitación de los espacios marítimos</w:t>
      </w:r>
      <w:hyperlink w:anchor="_Toc522610234" w:history="1">
        <w:r w:rsidRPr="00114D33">
          <w:rPr>
            <w:webHidden/>
            <w:szCs w:val="24"/>
          </w:rPr>
          <w:tab/>
          <w:t>7</w:t>
        </w:r>
      </w:hyperlink>
      <w:r w:rsidR="00392909">
        <w:rPr>
          <w:szCs w:val="24"/>
        </w:rPr>
        <w:t>5</w:t>
      </w:r>
    </w:p>
    <w:p w:rsidR="00477601" w:rsidRPr="00114D33" w:rsidRDefault="00477601" w:rsidP="00424427">
      <w:pPr>
        <w:pStyle w:val="TDC3"/>
        <w:ind w:left="0"/>
        <w:jc w:val="left"/>
        <w:rPr>
          <w:szCs w:val="24"/>
        </w:rPr>
      </w:pPr>
      <w:r w:rsidRPr="00114D33">
        <w:t>Figura N°6: Evolución jurídica e institucional de las AMPR</w:t>
      </w:r>
      <w:hyperlink w:anchor="_Toc522610234" w:history="1">
        <w:r w:rsidRPr="00114D33">
          <w:rPr>
            <w:webHidden/>
            <w:szCs w:val="24"/>
          </w:rPr>
          <w:tab/>
          <w:t>8</w:t>
        </w:r>
      </w:hyperlink>
      <w:r w:rsidR="00392909">
        <w:rPr>
          <w:szCs w:val="24"/>
        </w:rPr>
        <w:t>4</w:t>
      </w:r>
    </w:p>
    <w:p w:rsidR="00424427" w:rsidRDefault="00477601" w:rsidP="00424427">
      <w:pPr>
        <w:pStyle w:val="TDC3"/>
        <w:ind w:left="0"/>
        <w:jc w:val="left"/>
        <w:rPr>
          <w:szCs w:val="24"/>
        </w:rPr>
      </w:pPr>
      <w:r w:rsidRPr="00114D33">
        <w:t>Figura N°7: Sectores del AMPR Paquera-Tambor</w:t>
      </w:r>
      <w:hyperlink w:anchor="_Toc522610234" w:history="1">
        <w:r w:rsidRPr="00114D33">
          <w:rPr>
            <w:webHidden/>
            <w:szCs w:val="24"/>
          </w:rPr>
          <w:tab/>
          <w:t>9</w:t>
        </w:r>
      </w:hyperlink>
      <w:r w:rsidR="00392909">
        <w:rPr>
          <w:szCs w:val="24"/>
        </w:rPr>
        <w:t>4</w:t>
      </w:r>
    </w:p>
    <w:p w:rsidR="00477601" w:rsidRPr="00114D33" w:rsidRDefault="00477601" w:rsidP="00424427">
      <w:pPr>
        <w:pStyle w:val="TDC3"/>
        <w:ind w:left="0"/>
        <w:jc w:val="left"/>
        <w:rPr>
          <w:szCs w:val="24"/>
        </w:rPr>
      </w:pPr>
      <w:r w:rsidRPr="00114D33">
        <w:t xml:space="preserve">Figura N°8: Categorización de las fases de creación del AMPR </w:t>
      </w:r>
      <w:hyperlink w:anchor="_Toc522610234" w:history="1">
        <w:r w:rsidRPr="00114D33">
          <w:rPr>
            <w:webHidden/>
            <w:szCs w:val="24"/>
          </w:rPr>
          <w:tab/>
          <w:t>9</w:t>
        </w:r>
      </w:hyperlink>
      <w:r w:rsidR="00392909">
        <w:rPr>
          <w:szCs w:val="24"/>
        </w:rPr>
        <w:t>5</w:t>
      </w:r>
    </w:p>
    <w:p w:rsidR="00477601" w:rsidRPr="00114D33" w:rsidRDefault="00477601" w:rsidP="00424427">
      <w:pPr>
        <w:pStyle w:val="TDC3"/>
        <w:ind w:left="0"/>
        <w:jc w:val="left"/>
        <w:rPr>
          <w:szCs w:val="24"/>
        </w:rPr>
      </w:pPr>
      <w:r w:rsidRPr="00114D33">
        <w:t>Figura N°9: Modelo organizativo del AMPR Paquera-Tambor</w:t>
      </w:r>
      <w:hyperlink w:anchor="_Toc522610234" w:history="1">
        <w:r w:rsidRPr="00114D33">
          <w:rPr>
            <w:webHidden/>
            <w:szCs w:val="24"/>
          </w:rPr>
          <w:tab/>
        </w:r>
        <w:r w:rsidR="00392909">
          <w:rPr>
            <w:webHidden/>
            <w:szCs w:val="24"/>
          </w:rPr>
          <w:t>100</w:t>
        </w:r>
      </w:hyperlink>
    </w:p>
    <w:p w:rsidR="00477601" w:rsidRPr="00114D33" w:rsidRDefault="00477601" w:rsidP="00424427">
      <w:pPr>
        <w:pStyle w:val="TDC3"/>
        <w:ind w:left="0"/>
        <w:jc w:val="left"/>
      </w:pPr>
      <w:r w:rsidRPr="00114D33">
        <w:t>Figura N°10: Acciones de planificación local</w:t>
      </w:r>
      <w:hyperlink w:anchor="_Toc522610234" w:history="1">
        <w:r w:rsidRPr="00114D33">
          <w:rPr>
            <w:webHidden/>
          </w:rPr>
          <w:tab/>
          <w:t>10</w:t>
        </w:r>
      </w:hyperlink>
      <w:r w:rsidR="00A76CF9">
        <w:t>8</w:t>
      </w:r>
    </w:p>
    <w:p w:rsidR="00477601" w:rsidRPr="00114D33" w:rsidRDefault="00477601" w:rsidP="00424427">
      <w:pPr>
        <w:pStyle w:val="TDC3"/>
        <w:ind w:left="0"/>
        <w:jc w:val="left"/>
      </w:pPr>
      <w:r w:rsidRPr="00114D33">
        <w:t>Figura N°11: Muelle de Tambor</w:t>
      </w:r>
      <w:hyperlink w:anchor="_Toc522610234" w:history="1">
        <w:r w:rsidRPr="00114D33">
          <w:rPr>
            <w:webHidden/>
          </w:rPr>
          <w:tab/>
          <w:t>14</w:t>
        </w:r>
      </w:hyperlink>
      <w:r w:rsidR="00392909">
        <w:t>8</w:t>
      </w:r>
    </w:p>
    <w:p w:rsidR="00477601" w:rsidRPr="00114D33" w:rsidRDefault="00477601" w:rsidP="00424427">
      <w:pPr>
        <w:pStyle w:val="TDC3"/>
        <w:ind w:left="0"/>
        <w:jc w:val="left"/>
      </w:pPr>
      <w:r w:rsidRPr="00114D33">
        <w:t>Figura N°12: Lanchas de pesca</w:t>
      </w:r>
      <w:hyperlink w:anchor="_Toc522610234" w:history="1">
        <w:r w:rsidRPr="00114D33">
          <w:rPr>
            <w:webHidden/>
          </w:rPr>
          <w:tab/>
          <w:t>14</w:t>
        </w:r>
      </w:hyperlink>
      <w:r w:rsidR="00392909">
        <w:t>8</w:t>
      </w:r>
    </w:p>
    <w:p w:rsidR="00477601" w:rsidRPr="00114D33" w:rsidRDefault="00477601" w:rsidP="00424427">
      <w:pPr>
        <w:pStyle w:val="TDC3"/>
        <w:ind w:left="0"/>
        <w:jc w:val="left"/>
      </w:pPr>
      <w:r w:rsidRPr="00114D33">
        <w:t>Figura N°13: Planta de procesos</w:t>
      </w:r>
      <w:hyperlink w:anchor="_Toc522610234" w:history="1">
        <w:r w:rsidRPr="00114D33">
          <w:rPr>
            <w:webHidden/>
          </w:rPr>
          <w:tab/>
          <w:t>14</w:t>
        </w:r>
      </w:hyperlink>
      <w:r w:rsidR="00392909">
        <w:t>9</w:t>
      </w:r>
    </w:p>
    <w:p w:rsidR="00477601" w:rsidRPr="00114D33" w:rsidRDefault="00477601" w:rsidP="00424427">
      <w:pPr>
        <w:pStyle w:val="TDC3"/>
        <w:ind w:left="0"/>
        <w:jc w:val="left"/>
        <w:rPr>
          <w:szCs w:val="24"/>
        </w:rPr>
      </w:pPr>
      <w:r w:rsidRPr="00114D33">
        <w:t>Figura N°14: Guardacostas de Costa Rica</w:t>
      </w:r>
      <w:hyperlink w:anchor="_Toc522610234" w:history="1">
        <w:r w:rsidRPr="00114D33">
          <w:rPr>
            <w:webHidden/>
            <w:szCs w:val="24"/>
          </w:rPr>
          <w:tab/>
          <w:t>14</w:t>
        </w:r>
      </w:hyperlink>
      <w:r w:rsidR="00392909">
        <w:rPr>
          <w:szCs w:val="24"/>
        </w:rPr>
        <w:t>9</w:t>
      </w:r>
    </w:p>
    <w:p w:rsidR="00477601" w:rsidRPr="00114D33" w:rsidRDefault="00477601" w:rsidP="00424427">
      <w:pPr>
        <w:pStyle w:val="TDC3"/>
        <w:ind w:left="0"/>
        <w:jc w:val="left"/>
        <w:rPr>
          <w:szCs w:val="24"/>
        </w:rPr>
      </w:pPr>
      <w:r w:rsidRPr="00114D33">
        <w:t>Figura N°15: Infografía del AMPR Paquera - Tambor</w:t>
      </w:r>
      <w:hyperlink w:anchor="_Toc522610234" w:history="1">
        <w:r w:rsidRPr="00114D33">
          <w:rPr>
            <w:webHidden/>
            <w:szCs w:val="24"/>
          </w:rPr>
          <w:tab/>
          <w:t>1</w:t>
        </w:r>
      </w:hyperlink>
      <w:r w:rsidR="00392909">
        <w:rPr>
          <w:szCs w:val="24"/>
        </w:rPr>
        <w:t>50</w:t>
      </w:r>
    </w:p>
    <w:p w:rsidR="00477601" w:rsidRDefault="00477601" w:rsidP="00477601">
      <w:bookmarkStart w:id="4" w:name="_Toc49628431"/>
    </w:p>
    <w:p w:rsidR="00392909" w:rsidRDefault="00392909" w:rsidP="00477601"/>
    <w:p w:rsidR="00392909" w:rsidRDefault="00392909" w:rsidP="00477601"/>
    <w:p w:rsidR="00392909" w:rsidRDefault="00392909" w:rsidP="00477601"/>
    <w:p w:rsidR="00392909" w:rsidRDefault="00392909" w:rsidP="00477601"/>
    <w:p w:rsidR="00392909" w:rsidRDefault="00392909" w:rsidP="00477601"/>
    <w:p w:rsidR="00392909" w:rsidRDefault="00392909" w:rsidP="00477601"/>
    <w:p w:rsidR="00392909" w:rsidRDefault="00392909" w:rsidP="00477601"/>
    <w:p w:rsidR="00392909" w:rsidRDefault="00392909" w:rsidP="00477601"/>
    <w:p w:rsidR="00392909" w:rsidRDefault="00392909" w:rsidP="00477601">
      <w:pPr>
        <w:rPr>
          <w:rFonts w:ascii="Arial" w:eastAsiaTheme="majorEastAsia" w:hAnsi="Arial" w:cstheme="majorBidi"/>
          <w:b/>
          <w:sz w:val="28"/>
          <w:szCs w:val="32"/>
        </w:rPr>
      </w:pPr>
    </w:p>
    <w:p w:rsidR="00477601" w:rsidRPr="00573C71" w:rsidRDefault="00477601" w:rsidP="00477601">
      <w:pPr>
        <w:pStyle w:val="Ttulo1"/>
        <w:spacing w:line="480" w:lineRule="auto"/>
      </w:pPr>
      <w:bookmarkStart w:id="5" w:name="_Toc50906684"/>
      <w:r w:rsidRPr="00151984">
        <w:lastRenderedPageBreak/>
        <w:t>Í</w:t>
      </w:r>
      <w:r>
        <w:t>ndice de Tablas</w:t>
      </w:r>
      <w:bookmarkEnd w:id="4"/>
      <w:bookmarkEnd w:id="5"/>
    </w:p>
    <w:p w:rsidR="00477601" w:rsidRPr="00114D33" w:rsidRDefault="00477601" w:rsidP="00424427">
      <w:pPr>
        <w:pStyle w:val="TDC3"/>
        <w:ind w:left="0"/>
        <w:jc w:val="left"/>
        <w:rPr>
          <w:szCs w:val="24"/>
        </w:rPr>
      </w:pPr>
      <w:r w:rsidRPr="00114D33">
        <w:t>Tabla N°1: Tabla de las dimensiones empíricas</w:t>
      </w:r>
      <w:hyperlink w:anchor="_Toc522610234" w:history="1">
        <w:r w:rsidRPr="00114D33">
          <w:rPr>
            <w:webHidden/>
            <w:szCs w:val="24"/>
          </w:rPr>
          <w:tab/>
          <w:t>5</w:t>
        </w:r>
      </w:hyperlink>
      <w:r w:rsidRPr="00114D33">
        <w:rPr>
          <w:szCs w:val="24"/>
        </w:rPr>
        <w:t>8</w:t>
      </w:r>
    </w:p>
    <w:p w:rsidR="00477601" w:rsidRPr="00114D33" w:rsidRDefault="00477601" w:rsidP="00424427">
      <w:pPr>
        <w:pStyle w:val="TDC3"/>
        <w:ind w:left="0"/>
        <w:jc w:val="left"/>
      </w:pPr>
      <w:r w:rsidRPr="00114D33">
        <w:t>Tabla N°2: Zonas Bioclimáticas</w:t>
      </w:r>
      <w:hyperlink w:anchor="_Toc522610234" w:history="1">
        <w:r w:rsidRPr="00114D33">
          <w:rPr>
            <w:webHidden/>
          </w:rPr>
          <w:tab/>
        </w:r>
      </w:hyperlink>
      <w:r w:rsidR="00392909">
        <w:t>68</w:t>
      </w:r>
    </w:p>
    <w:p w:rsidR="00477601" w:rsidRPr="00114D33" w:rsidRDefault="00477601" w:rsidP="00424427">
      <w:pPr>
        <w:pStyle w:val="TDC3"/>
        <w:ind w:left="0"/>
        <w:jc w:val="left"/>
      </w:pPr>
      <w:r w:rsidRPr="00114D33">
        <w:t>Tabla N°3: Principales atractivos turísticos de Paquera y Cóbano</w:t>
      </w:r>
      <w:hyperlink w:anchor="_Toc522610234" w:history="1">
        <w:r w:rsidRPr="00114D33">
          <w:rPr>
            <w:webHidden/>
          </w:rPr>
          <w:tab/>
        </w:r>
      </w:hyperlink>
      <w:r w:rsidR="00392909">
        <w:t>69</w:t>
      </w:r>
    </w:p>
    <w:p w:rsidR="00477601" w:rsidRPr="00114D33" w:rsidRDefault="00477601" w:rsidP="00424427">
      <w:pPr>
        <w:pStyle w:val="TDC3"/>
        <w:ind w:left="0"/>
        <w:jc w:val="left"/>
      </w:pPr>
      <w:r w:rsidRPr="00114D33">
        <w:t>Tabla N°4: Índice de Desarrollo Social de Paquera y Cóbano</w:t>
      </w:r>
      <w:hyperlink w:anchor="_Toc522610234" w:history="1">
        <w:r w:rsidRPr="00114D33">
          <w:rPr>
            <w:webHidden/>
          </w:rPr>
          <w:tab/>
        </w:r>
      </w:hyperlink>
      <w:r w:rsidR="00392909">
        <w:t>70</w:t>
      </w:r>
    </w:p>
    <w:p w:rsidR="00477601" w:rsidRPr="00114D33" w:rsidRDefault="00477601" w:rsidP="00424427">
      <w:pPr>
        <w:pStyle w:val="TDC3"/>
        <w:ind w:left="0"/>
        <w:jc w:val="left"/>
      </w:pPr>
      <w:r w:rsidRPr="00114D33">
        <w:t>Tabla N°5: Caracterización de la infraestructura en Paquera y Cóbano</w:t>
      </w:r>
      <w:hyperlink w:anchor="_Toc522610234" w:history="1">
        <w:r w:rsidRPr="00114D33">
          <w:rPr>
            <w:webHidden/>
          </w:rPr>
          <w:tab/>
        </w:r>
      </w:hyperlink>
      <w:r w:rsidR="00392909">
        <w:t>72</w:t>
      </w:r>
    </w:p>
    <w:p w:rsidR="00477601" w:rsidRPr="00114D33" w:rsidRDefault="00477601" w:rsidP="00424427">
      <w:pPr>
        <w:pStyle w:val="TDC3"/>
        <w:ind w:left="0"/>
        <w:jc w:val="left"/>
      </w:pPr>
      <w:r w:rsidRPr="00114D33">
        <w:t>Tabla N°6: Principales requisitos para instaurar una AMPR en el país</w:t>
      </w:r>
      <w:hyperlink w:anchor="_Toc522610234" w:history="1">
        <w:r w:rsidRPr="00114D33">
          <w:rPr>
            <w:webHidden/>
          </w:rPr>
          <w:tab/>
        </w:r>
      </w:hyperlink>
      <w:r w:rsidRPr="00114D33">
        <w:t>91</w:t>
      </w:r>
    </w:p>
    <w:p w:rsidR="00477601" w:rsidRPr="00114D33" w:rsidRDefault="00477601" w:rsidP="00424427">
      <w:pPr>
        <w:pStyle w:val="TDC3"/>
        <w:ind w:left="0"/>
        <w:jc w:val="left"/>
      </w:pPr>
      <w:r w:rsidRPr="00114D33">
        <w:t>Tabla N°7: Fases de la creación del AMPR Paquera-Tambor</w:t>
      </w:r>
      <w:hyperlink w:anchor="_Toc522610234" w:history="1">
        <w:r w:rsidRPr="00114D33">
          <w:rPr>
            <w:webHidden/>
          </w:rPr>
          <w:tab/>
        </w:r>
      </w:hyperlink>
      <w:r w:rsidR="00392909">
        <w:t>93</w:t>
      </w:r>
    </w:p>
    <w:p w:rsidR="00477601" w:rsidRPr="00114D33" w:rsidRDefault="00477601" w:rsidP="00424427">
      <w:pPr>
        <w:pStyle w:val="TDC3"/>
        <w:ind w:left="0"/>
        <w:jc w:val="left"/>
        <w:rPr>
          <w:szCs w:val="24"/>
        </w:rPr>
      </w:pPr>
      <w:r w:rsidRPr="00114D33">
        <w:t xml:space="preserve">Tabla N°8: Comunidades y actores integrantes del AMPR Paquera-Tambor </w:t>
      </w:r>
      <w:hyperlink w:anchor="_Toc522610234" w:history="1">
        <w:r w:rsidRPr="00114D33">
          <w:rPr>
            <w:webHidden/>
            <w:szCs w:val="24"/>
          </w:rPr>
          <w:tab/>
          <w:t>10</w:t>
        </w:r>
      </w:hyperlink>
      <w:r w:rsidR="00392909">
        <w:rPr>
          <w:szCs w:val="24"/>
        </w:rPr>
        <w:t>6</w:t>
      </w:r>
    </w:p>
    <w:p w:rsidR="00477601" w:rsidRPr="00114D33" w:rsidRDefault="00477601" w:rsidP="00424427">
      <w:pPr>
        <w:pStyle w:val="TDC3"/>
        <w:ind w:left="0"/>
        <w:jc w:val="left"/>
      </w:pPr>
      <w:r w:rsidRPr="00114D33">
        <w:t xml:space="preserve">Tabla N°9: Matriz Metodológica </w:t>
      </w:r>
      <w:hyperlink w:anchor="_Toc522610234" w:history="1">
        <w:r w:rsidRPr="00114D33">
          <w:rPr>
            <w:webHidden/>
          </w:rPr>
          <w:tab/>
          <w:t>1</w:t>
        </w:r>
      </w:hyperlink>
      <w:r w:rsidR="00A76CF9">
        <w:t>39</w:t>
      </w:r>
    </w:p>
    <w:p w:rsidR="00477601" w:rsidRPr="00114D33" w:rsidRDefault="00477601" w:rsidP="00424427">
      <w:pPr>
        <w:pStyle w:val="TDC3"/>
        <w:ind w:left="0"/>
        <w:jc w:val="left"/>
      </w:pPr>
      <w:r w:rsidRPr="00114D33">
        <w:t xml:space="preserve">Tabla N°10: Tabla de Revisión Bibliográfica </w:t>
      </w:r>
      <w:hyperlink w:anchor="_Toc522610234" w:history="1">
        <w:r w:rsidRPr="00114D33">
          <w:rPr>
            <w:webHidden/>
            <w:szCs w:val="24"/>
          </w:rPr>
          <w:tab/>
          <w:t>1</w:t>
        </w:r>
      </w:hyperlink>
      <w:r w:rsidR="00A76CF9">
        <w:rPr>
          <w:szCs w:val="24"/>
        </w:rPr>
        <w:t>41</w:t>
      </w:r>
    </w:p>
    <w:p w:rsidR="00477601" w:rsidRDefault="00477601" w:rsidP="00477601">
      <w:pPr>
        <w:rPr>
          <w:rFonts w:ascii="Arial" w:eastAsiaTheme="majorEastAsia" w:hAnsi="Arial" w:cstheme="majorBidi"/>
          <w:b/>
          <w:sz w:val="28"/>
          <w:szCs w:val="32"/>
        </w:rPr>
      </w:pPr>
      <w:bookmarkStart w:id="6" w:name="_Toc49628432"/>
      <w:r>
        <w:br w:type="page"/>
      </w:r>
    </w:p>
    <w:p w:rsidR="00477601" w:rsidRPr="00151984" w:rsidRDefault="00477601" w:rsidP="00477601">
      <w:pPr>
        <w:pStyle w:val="Ttulo1"/>
        <w:spacing w:line="480" w:lineRule="auto"/>
      </w:pPr>
      <w:bookmarkStart w:id="7" w:name="_Toc50906685"/>
      <w:r>
        <w:lastRenderedPageBreak/>
        <w:t>Abreviaturas</w:t>
      </w:r>
      <w:bookmarkEnd w:id="6"/>
      <w:bookmarkEnd w:id="7"/>
    </w:p>
    <w:p w:rsidR="00477601" w:rsidRPr="00151984" w:rsidRDefault="00477601" w:rsidP="00477601">
      <w:pPr>
        <w:spacing w:line="360" w:lineRule="auto"/>
        <w:jc w:val="both"/>
        <w:rPr>
          <w:rFonts w:ascii="Arial" w:hAnsi="Arial" w:cs="Arial"/>
          <w:sz w:val="24"/>
        </w:rPr>
      </w:pPr>
      <w:r w:rsidRPr="00151984">
        <w:rPr>
          <w:rFonts w:ascii="Arial" w:hAnsi="Arial" w:cs="Arial"/>
          <w:b/>
          <w:sz w:val="24"/>
        </w:rPr>
        <w:t>INCOPESCA</w:t>
      </w:r>
      <w:r w:rsidRPr="00151984">
        <w:rPr>
          <w:rFonts w:ascii="Arial" w:hAnsi="Arial" w:cs="Arial"/>
          <w:sz w:val="24"/>
        </w:rPr>
        <w:t xml:space="preserve"> Instituto Nacional de Pesca y Acuicultura </w:t>
      </w:r>
    </w:p>
    <w:p w:rsidR="00477601" w:rsidRPr="00151984" w:rsidRDefault="00477601" w:rsidP="00477601">
      <w:pPr>
        <w:spacing w:line="360" w:lineRule="auto"/>
        <w:jc w:val="both"/>
        <w:rPr>
          <w:rFonts w:ascii="Arial" w:hAnsi="Arial" w:cs="Arial"/>
          <w:sz w:val="24"/>
        </w:rPr>
      </w:pPr>
      <w:r w:rsidRPr="00151984">
        <w:rPr>
          <w:rFonts w:ascii="Arial" w:hAnsi="Arial" w:cs="Arial"/>
          <w:b/>
          <w:sz w:val="24"/>
        </w:rPr>
        <w:t>MINAE</w:t>
      </w:r>
      <w:r w:rsidRPr="00151984">
        <w:rPr>
          <w:rFonts w:ascii="Arial" w:hAnsi="Arial" w:cs="Arial"/>
          <w:sz w:val="24"/>
        </w:rPr>
        <w:t xml:space="preserve"> Ministerio de Ambiente y Energía </w:t>
      </w:r>
    </w:p>
    <w:p w:rsidR="00477601" w:rsidRPr="00151984" w:rsidRDefault="00477601" w:rsidP="00477601">
      <w:pPr>
        <w:spacing w:line="360" w:lineRule="auto"/>
        <w:jc w:val="both"/>
        <w:rPr>
          <w:rFonts w:ascii="Arial" w:hAnsi="Arial" w:cs="Arial"/>
          <w:sz w:val="24"/>
        </w:rPr>
      </w:pPr>
      <w:r w:rsidRPr="00151984">
        <w:rPr>
          <w:rFonts w:ascii="Arial" w:hAnsi="Arial" w:cs="Arial"/>
          <w:b/>
          <w:sz w:val="24"/>
        </w:rPr>
        <w:t>AMPR</w:t>
      </w:r>
      <w:r w:rsidRPr="00151984">
        <w:rPr>
          <w:rFonts w:ascii="Arial" w:hAnsi="Arial" w:cs="Arial"/>
          <w:sz w:val="24"/>
        </w:rPr>
        <w:t xml:space="preserve"> Área Marina de Pesca Responsable </w:t>
      </w:r>
    </w:p>
    <w:p w:rsidR="00477601" w:rsidRPr="00151984" w:rsidRDefault="00477601" w:rsidP="00477601">
      <w:pPr>
        <w:spacing w:line="360" w:lineRule="auto"/>
        <w:jc w:val="both"/>
        <w:rPr>
          <w:rFonts w:ascii="Arial" w:hAnsi="Arial" w:cs="Arial"/>
          <w:sz w:val="24"/>
        </w:rPr>
      </w:pPr>
      <w:r w:rsidRPr="00151984">
        <w:rPr>
          <w:rFonts w:ascii="Arial" w:hAnsi="Arial" w:cs="Arial"/>
          <w:b/>
          <w:sz w:val="24"/>
        </w:rPr>
        <w:t>OEM</w:t>
      </w:r>
      <w:r w:rsidRPr="00151984">
        <w:rPr>
          <w:rFonts w:ascii="Arial" w:hAnsi="Arial" w:cs="Arial"/>
          <w:sz w:val="24"/>
        </w:rPr>
        <w:t xml:space="preserve"> Ordenamiento Espacial Marino </w:t>
      </w:r>
    </w:p>
    <w:p w:rsidR="00477601" w:rsidRPr="00151984" w:rsidRDefault="00477601" w:rsidP="00477601">
      <w:pPr>
        <w:spacing w:line="360" w:lineRule="auto"/>
        <w:jc w:val="both"/>
        <w:rPr>
          <w:rFonts w:ascii="Arial" w:hAnsi="Arial" w:cs="Arial"/>
          <w:sz w:val="24"/>
        </w:rPr>
      </w:pPr>
      <w:r w:rsidRPr="00151984">
        <w:rPr>
          <w:rFonts w:ascii="Arial" w:hAnsi="Arial" w:cs="Arial"/>
          <w:b/>
          <w:sz w:val="24"/>
        </w:rPr>
        <w:t>INDER</w:t>
      </w:r>
      <w:r w:rsidRPr="00151984">
        <w:rPr>
          <w:rFonts w:ascii="Arial" w:hAnsi="Arial" w:cs="Arial"/>
          <w:sz w:val="24"/>
        </w:rPr>
        <w:t xml:space="preserve"> Instituto Nacional de Desarrollo Rural </w:t>
      </w:r>
    </w:p>
    <w:p w:rsidR="00477601" w:rsidRPr="00151984" w:rsidRDefault="00477601" w:rsidP="00477601">
      <w:pPr>
        <w:spacing w:line="360" w:lineRule="auto"/>
        <w:jc w:val="both"/>
        <w:rPr>
          <w:rFonts w:ascii="Arial" w:hAnsi="Arial" w:cs="Arial"/>
          <w:sz w:val="24"/>
        </w:rPr>
      </w:pPr>
      <w:r w:rsidRPr="00151984">
        <w:rPr>
          <w:rFonts w:ascii="Arial" w:hAnsi="Arial" w:cs="Arial"/>
          <w:b/>
          <w:sz w:val="24"/>
        </w:rPr>
        <w:t>ASPARMAR</w:t>
      </w:r>
      <w:r w:rsidRPr="00151984">
        <w:rPr>
          <w:rFonts w:ascii="Arial" w:hAnsi="Arial" w:cs="Arial"/>
          <w:sz w:val="24"/>
        </w:rPr>
        <w:t xml:space="preserve"> Asociación Paquereña para el Aprovechamiento de los Recursos Marinos </w:t>
      </w:r>
    </w:p>
    <w:p w:rsidR="00477601" w:rsidRPr="00151984" w:rsidRDefault="00477601" w:rsidP="00477601">
      <w:pPr>
        <w:spacing w:line="360" w:lineRule="auto"/>
        <w:jc w:val="both"/>
        <w:rPr>
          <w:rFonts w:ascii="Arial" w:hAnsi="Arial" w:cs="Arial"/>
          <w:sz w:val="24"/>
        </w:rPr>
      </w:pPr>
      <w:r w:rsidRPr="00151984">
        <w:rPr>
          <w:rFonts w:ascii="Arial" w:hAnsi="Arial" w:cs="Arial"/>
          <w:b/>
          <w:sz w:val="24"/>
        </w:rPr>
        <w:t>SINAC</w:t>
      </w:r>
      <w:r w:rsidRPr="00151984">
        <w:rPr>
          <w:rFonts w:ascii="Arial" w:hAnsi="Arial" w:cs="Arial"/>
          <w:sz w:val="24"/>
        </w:rPr>
        <w:t xml:space="preserve"> Sistema Nacional de Áreas de Conservación </w:t>
      </w:r>
    </w:p>
    <w:p w:rsidR="00477601" w:rsidRPr="00151984" w:rsidRDefault="00477601" w:rsidP="00477601">
      <w:pPr>
        <w:spacing w:line="360" w:lineRule="auto"/>
        <w:jc w:val="both"/>
        <w:rPr>
          <w:rFonts w:ascii="Arial" w:hAnsi="Arial" w:cs="Arial"/>
          <w:sz w:val="24"/>
        </w:rPr>
      </w:pPr>
      <w:r w:rsidRPr="00151984">
        <w:rPr>
          <w:rFonts w:ascii="Arial" w:hAnsi="Arial" w:cs="Arial"/>
          <w:b/>
          <w:sz w:val="24"/>
        </w:rPr>
        <w:t>ABUZPA</w:t>
      </w:r>
      <w:r w:rsidRPr="00151984">
        <w:rPr>
          <w:rFonts w:ascii="Arial" w:hAnsi="Arial" w:cs="Arial"/>
          <w:sz w:val="24"/>
        </w:rPr>
        <w:t xml:space="preserve"> Asociación de Buzos de Paquera </w:t>
      </w:r>
    </w:p>
    <w:p w:rsidR="00477601" w:rsidRPr="00151984" w:rsidRDefault="00477601" w:rsidP="00477601">
      <w:pPr>
        <w:spacing w:line="360" w:lineRule="auto"/>
        <w:jc w:val="both"/>
        <w:rPr>
          <w:rFonts w:ascii="Arial" w:hAnsi="Arial" w:cs="Arial"/>
          <w:sz w:val="24"/>
        </w:rPr>
      </w:pPr>
      <w:r w:rsidRPr="00151984">
        <w:rPr>
          <w:rFonts w:ascii="Arial" w:hAnsi="Arial" w:cs="Arial"/>
          <w:b/>
          <w:sz w:val="24"/>
        </w:rPr>
        <w:t>ASAP</w:t>
      </w:r>
      <w:r w:rsidRPr="00151984">
        <w:rPr>
          <w:rFonts w:ascii="Arial" w:hAnsi="Arial" w:cs="Arial"/>
          <w:sz w:val="24"/>
        </w:rPr>
        <w:t xml:space="preserve"> Asociación de Acuicultores de Paquera </w:t>
      </w:r>
    </w:p>
    <w:p w:rsidR="00477601" w:rsidRPr="00151984" w:rsidRDefault="00477601" w:rsidP="00477601">
      <w:pPr>
        <w:spacing w:line="360" w:lineRule="auto"/>
        <w:jc w:val="both"/>
        <w:rPr>
          <w:rFonts w:ascii="Arial" w:hAnsi="Arial" w:cs="Arial"/>
          <w:sz w:val="24"/>
        </w:rPr>
      </w:pPr>
      <w:r w:rsidRPr="00151984">
        <w:rPr>
          <w:rFonts w:ascii="Arial" w:hAnsi="Arial" w:cs="Arial"/>
          <w:b/>
          <w:sz w:val="24"/>
        </w:rPr>
        <w:t>APEP</w:t>
      </w:r>
      <w:r w:rsidRPr="00151984">
        <w:rPr>
          <w:rFonts w:ascii="Arial" w:hAnsi="Arial" w:cs="Arial"/>
          <w:sz w:val="24"/>
        </w:rPr>
        <w:t xml:space="preserve"> Asociación de Pescadores de Paquera </w:t>
      </w:r>
    </w:p>
    <w:p w:rsidR="00477601" w:rsidRPr="00151984" w:rsidRDefault="00477601" w:rsidP="00477601">
      <w:pPr>
        <w:spacing w:line="360" w:lineRule="auto"/>
        <w:jc w:val="both"/>
        <w:rPr>
          <w:rFonts w:ascii="Arial" w:hAnsi="Arial" w:cs="Arial"/>
          <w:sz w:val="24"/>
        </w:rPr>
      </w:pPr>
      <w:r w:rsidRPr="00151984">
        <w:rPr>
          <w:rFonts w:ascii="Arial" w:hAnsi="Arial" w:cs="Arial"/>
          <w:b/>
          <w:sz w:val="24"/>
        </w:rPr>
        <w:t>MAG</w:t>
      </w:r>
      <w:r w:rsidRPr="00151984">
        <w:rPr>
          <w:rFonts w:ascii="Arial" w:hAnsi="Arial" w:cs="Arial"/>
          <w:sz w:val="24"/>
        </w:rPr>
        <w:t xml:space="preserve"> Ministerio de Agricultura y Ganadería </w:t>
      </w:r>
    </w:p>
    <w:p w:rsidR="00477601" w:rsidRDefault="00477601" w:rsidP="00477601">
      <w:pPr>
        <w:spacing w:line="360" w:lineRule="auto"/>
        <w:jc w:val="both"/>
        <w:rPr>
          <w:rFonts w:ascii="Arial" w:hAnsi="Arial" w:cs="Arial"/>
          <w:sz w:val="24"/>
        </w:rPr>
      </w:pPr>
      <w:r w:rsidRPr="00151984">
        <w:rPr>
          <w:rFonts w:ascii="Arial" w:hAnsi="Arial" w:cs="Arial"/>
          <w:b/>
          <w:sz w:val="24"/>
        </w:rPr>
        <w:t>POP</w:t>
      </w:r>
      <w:r w:rsidRPr="00151984">
        <w:rPr>
          <w:rFonts w:ascii="Arial" w:hAnsi="Arial" w:cs="Arial"/>
          <w:sz w:val="24"/>
        </w:rPr>
        <w:t xml:space="preserve"> Plan de Ordenamiento Pesquero</w:t>
      </w:r>
    </w:p>
    <w:p w:rsidR="00477601" w:rsidRDefault="00477601" w:rsidP="00477601">
      <w:pPr>
        <w:spacing w:line="360" w:lineRule="auto"/>
        <w:jc w:val="both"/>
        <w:rPr>
          <w:rFonts w:ascii="Arial" w:hAnsi="Arial" w:cs="Arial"/>
          <w:sz w:val="24"/>
          <w:szCs w:val="24"/>
        </w:rPr>
      </w:pPr>
      <w:r w:rsidRPr="0017697A">
        <w:rPr>
          <w:rFonts w:ascii="Arial" w:hAnsi="Arial" w:cs="Arial"/>
          <w:b/>
          <w:sz w:val="24"/>
        </w:rPr>
        <w:t>CONVEMAR</w:t>
      </w:r>
      <w:r>
        <w:rPr>
          <w:rFonts w:ascii="Arial" w:hAnsi="Arial" w:cs="Arial"/>
          <w:sz w:val="24"/>
        </w:rPr>
        <w:t xml:space="preserve"> </w:t>
      </w:r>
      <w:r>
        <w:rPr>
          <w:rFonts w:ascii="Arial" w:hAnsi="Arial" w:cs="Arial"/>
          <w:sz w:val="24"/>
          <w:szCs w:val="24"/>
        </w:rPr>
        <w:t>Convención de las Naciones unidas Sobre el Derecho al Mar</w:t>
      </w:r>
    </w:p>
    <w:p w:rsidR="00477601" w:rsidRDefault="00477601" w:rsidP="00477601">
      <w:pPr>
        <w:spacing w:line="360" w:lineRule="auto"/>
        <w:jc w:val="both"/>
        <w:rPr>
          <w:rFonts w:ascii="Arial" w:hAnsi="Arial" w:cs="Arial"/>
          <w:sz w:val="24"/>
          <w:szCs w:val="24"/>
        </w:rPr>
      </w:pPr>
      <w:r w:rsidRPr="0017697A">
        <w:rPr>
          <w:rFonts w:ascii="Arial" w:hAnsi="Arial" w:cs="Arial"/>
          <w:b/>
          <w:sz w:val="24"/>
          <w:szCs w:val="24"/>
        </w:rPr>
        <w:t>INA</w:t>
      </w:r>
      <w:r>
        <w:rPr>
          <w:rFonts w:ascii="Arial" w:hAnsi="Arial" w:cs="Arial"/>
          <w:sz w:val="24"/>
          <w:szCs w:val="24"/>
        </w:rPr>
        <w:t xml:space="preserve"> Instituto Nacional de Aprendizaje </w:t>
      </w:r>
    </w:p>
    <w:p w:rsidR="00477601" w:rsidRDefault="00477601" w:rsidP="00477601">
      <w:pPr>
        <w:spacing w:line="360" w:lineRule="auto"/>
        <w:jc w:val="both"/>
        <w:rPr>
          <w:rFonts w:ascii="Arial" w:hAnsi="Arial" w:cs="Arial"/>
          <w:sz w:val="24"/>
          <w:szCs w:val="24"/>
        </w:rPr>
      </w:pPr>
      <w:r>
        <w:rPr>
          <w:rFonts w:ascii="Arial" w:hAnsi="Arial" w:cs="Arial"/>
          <w:b/>
          <w:sz w:val="24"/>
          <w:szCs w:val="24"/>
        </w:rPr>
        <w:t>SENA</w:t>
      </w:r>
      <w:r w:rsidRPr="0017697A">
        <w:rPr>
          <w:rFonts w:ascii="Arial" w:hAnsi="Arial" w:cs="Arial"/>
          <w:b/>
          <w:sz w:val="24"/>
          <w:szCs w:val="24"/>
        </w:rPr>
        <w:t>SA</w:t>
      </w:r>
      <w:r>
        <w:rPr>
          <w:rFonts w:ascii="Arial" w:hAnsi="Arial" w:cs="Arial"/>
          <w:b/>
          <w:sz w:val="24"/>
          <w:szCs w:val="24"/>
        </w:rPr>
        <w:t xml:space="preserve"> </w:t>
      </w:r>
      <w:r>
        <w:rPr>
          <w:rFonts w:ascii="Arial" w:hAnsi="Arial" w:cs="Arial"/>
          <w:sz w:val="24"/>
          <w:szCs w:val="24"/>
        </w:rPr>
        <w:t xml:space="preserve">Servicio Nacional de Salud Animal </w:t>
      </w:r>
    </w:p>
    <w:p w:rsidR="00A510B5" w:rsidRPr="00A510B5" w:rsidRDefault="00477601" w:rsidP="002D2DC2">
      <w:pPr>
        <w:spacing w:line="360" w:lineRule="auto"/>
        <w:rPr>
          <w:rFonts w:ascii="Arial" w:hAnsi="Arial" w:cs="Arial"/>
          <w:b/>
          <w:sz w:val="24"/>
          <w:szCs w:val="24"/>
        </w:rPr>
      </w:pPr>
      <w:r w:rsidRPr="00496C9B">
        <w:rPr>
          <w:rFonts w:ascii="Arial" w:hAnsi="Arial" w:cs="Arial"/>
          <w:b/>
          <w:sz w:val="24"/>
          <w:szCs w:val="24"/>
        </w:rPr>
        <w:t>MIDEPLAN</w:t>
      </w:r>
      <w:r>
        <w:rPr>
          <w:rFonts w:ascii="Arial" w:hAnsi="Arial" w:cs="Arial"/>
          <w:b/>
          <w:sz w:val="24"/>
          <w:szCs w:val="24"/>
        </w:rPr>
        <w:t xml:space="preserve"> </w:t>
      </w:r>
      <w:r w:rsidRPr="00496C9B">
        <w:rPr>
          <w:rFonts w:ascii="Arial" w:hAnsi="Arial" w:cs="Arial"/>
          <w:sz w:val="24"/>
          <w:szCs w:val="24"/>
        </w:rPr>
        <w:t>Ministerio de Planificación Nacional y Política Económica</w:t>
      </w:r>
      <w:bookmarkStart w:id="8" w:name="_Toc49628434"/>
      <w:r w:rsidR="00A510B5">
        <w:rPr>
          <w:szCs w:val="26"/>
        </w:rPr>
        <w:br w:type="page"/>
      </w:r>
      <w:r w:rsidR="00A510B5" w:rsidRPr="00CA3C3F">
        <w:rPr>
          <w:rFonts w:ascii="Arial" w:eastAsia="Arial" w:hAnsi="Arial" w:cs="Arial"/>
          <w:sz w:val="24"/>
          <w:szCs w:val="24"/>
        </w:rPr>
        <w:lastRenderedPageBreak/>
        <w:t>INTEGRANTES DEL TRIBUNAL EXAMINADOR</w:t>
      </w:r>
    </w:p>
    <w:p w:rsidR="00A510B5" w:rsidRPr="00CA3C3F" w:rsidRDefault="00A510B5" w:rsidP="00A510B5">
      <w:pPr>
        <w:jc w:val="center"/>
        <w:rPr>
          <w:rFonts w:ascii="Arial" w:eastAsia="Arial" w:hAnsi="Arial" w:cs="Arial"/>
          <w:sz w:val="24"/>
          <w:szCs w:val="24"/>
        </w:rPr>
      </w:pPr>
      <w:r>
        <w:rPr>
          <w:rFonts w:ascii="Arial" w:eastAsia="Arial" w:hAnsi="Arial" w:cs="Arial"/>
          <w:noProof/>
          <w:sz w:val="24"/>
          <w:szCs w:val="24"/>
          <w:lang w:eastAsia="es-CR"/>
        </w:rPr>
        <w:drawing>
          <wp:anchor distT="0" distB="0" distL="114300" distR="114300" simplePos="0" relativeHeight="251685888" behindDoc="0" locked="0" layoutInCell="1" allowOverlap="1" wp14:anchorId="6EC04D1B" wp14:editId="625B0A08">
            <wp:simplePos x="0" y="0"/>
            <wp:positionH relativeFrom="margin">
              <wp:align>center</wp:align>
            </wp:positionH>
            <wp:positionV relativeFrom="paragraph">
              <wp:posOffset>178463</wp:posOffset>
            </wp:positionV>
            <wp:extent cx="798830" cy="320040"/>
            <wp:effectExtent l="0" t="0" r="1270" b="3810"/>
            <wp:wrapSquare wrapText="bothSides"/>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78ce1d5c-b688-4a45-ad53-6974131145a9.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798830" cy="320040"/>
                    </a:xfrm>
                    <a:prstGeom prst="rect">
                      <a:avLst/>
                    </a:prstGeom>
                  </pic:spPr>
                </pic:pic>
              </a:graphicData>
            </a:graphic>
            <wp14:sizeRelH relativeFrom="margin">
              <wp14:pctWidth>0</wp14:pctWidth>
            </wp14:sizeRelH>
            <wp14:sizeRelV relativeFrom="margin">
              <wp14:pctHeight>0</wp14:pctHeight>
            </wp14:sizeRelV>
          </wp:anchor>
        </w:drawing>
      </w:r>
    </w:p>
    <w:p w:rsidR="00A510B5" w:rsidRPr="00CA3C3F" w:rsidRDefault="00A510B5" w:rsidP="00A510B5">
      <w:pPr>
        <w:jc w:val="center"/>
        <w:rPr>
          <w:rFonts w:ascii="Arial" w:eastAsia="Arial" w:hAnsi="Arial" w:cs="Arial"/>
          <w:sz w:val="24"/>
          <w:szCs w:val="24"/>
        </w:rPr>
      </w:pPr>
      <w:r w:rsidRPr="00CA3C3F">
        <w:rPr>
          <w:rFonts w:ascii="Arial" w:eastAsia="Arial" w:hAnsi="Arial" w:cs="Arial"/>
          <w:sz w:val="24"/>
          <w:szCs w:val="24"/>
        </w:rPr>
        <w:t>___________________________________________</w:t>
      </w:r>
    </w:p>
    <w:p w:rsidR="00A510B5" w:rsidRDefault="00A510B5" w:rsidP="00A510B5">
      <w:pPr>
        <w:jc w:val="center"/>
        <w:rPr>
          <w:rFonts w:ascii="Arial" w:hAnsi="Arial" w:cs="Arial"/>
          <w:sz w:val="24"/>
          <w:szCs w:val="24"/>
        </w:rPr>
      </w:pPr>
      <w:r w:rsidRPr="00CA3C3F">
        <w:rPr>
          <w:rFonts w:ascii="Arial" w:hAnsi="Arial" w:cs="Arial"/>
          <w:sz w:val="24"/>
          <w:szCs w:val="24"/>
        </w:rPr>
        <w:t>M</w:t>
      </w:r>
      <w:r>
        <w:rPr>
          <w:rFonts w:ascii="Arial" w:hAnsi="Arial" w:cs="Arial"/>
          <w:sz w:val="24"/>
          <w:szCs w:val="24"/>
        </w:rPr>
        <w:t>. Sc</w:t>
      </w:r>
      <w:r w:rsidRPr="00CA3C3F">
        <w:rPr>
          <w:rFonts w:ascii="Arial" w:hAnsi="Arial" w:cs="Arial"/>
          <w:sz w:val="24"/>
          <w:szCs w:val="24"/>
        </w:rPr>
        <w:t xml:space="preserve">. </w:t>
      </w:r>
      <w:r>
        <w:rPr>
          <w:rFonts w:ascii="Arial" w:hAnsi="Arial" w:cs="Arial"/>
          <w:sz w:val="24"/>
          <w:szCs w:val="24"/>
        </w:rPr>
        <w:t>Mario Hernández Villalobos</w:t>
      </w:r>
    </w:p>
    <w:p w:rsidR="00A510B5" w:rsidRPr="00CA3C3F" w:rsidRDefault="00A510B5" w:rsidP="00A510B5">
      <w:pPr>
        <w:jc w:val="center"/>
        <w:rPr>
          <w:rFonts w:ascii="Arial" w:eastAsia="Arial" w:hAnsi="Arial" w:cs="Arial"/>
          <w:sz w:val="24"/>
          <w:szCs w:val="24"/>
        </w:rPr>
      </w:pPr>
      <w:r>
        <w:rPr>
          <w:rFonts w:ascii="Arial" w:eastAsia="Arial" w:hAnsi="Arial" w:cs="Arial"/>
          <w:noProof/>
          <w:sz w:val="24"/>
          <w:szCs w:val="24"/>
          <w:lang w:eastAsia="es-CR"/>
        </w:rPr>
        <w:drawing>
          <wp:anchor distT="0" distB="0" distL="114300" distR="114300" simplePos="0" relativeHeight="251687936" behindDoc="0" locked="0" layoutInCell="1" allowOverlap="1" wp14:anchorId="599CAD3F" wp14:editId="6AAF29A5">
            <wp:simplePos x="0" y="0"/>
            <wp:positionH relativeFrom="margin">
              <wp:align>center</wp:align>
            </wp:positionH>
            <wp:positionV relativeFrom="paragraph">
              <wp:posOffset>279391</wp:posOffset>
            </wp:positionV>
            <wp:extent cx="614045" cy="735330"/>
            <wp:effectExtent l="0" t="0" r="0" b="7620"/>
            <wp:wrapSquare wrapText="bothSides"/>
            <wp:docPr id="11"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2bf9f6f2-9aa5-43e0-b999-c750ccb7010b.jpg"/>
                    <pic:cNvPicPr/>
                  </pic:nvPicPr>
                  <pic:blipFill>
                    <a:blip r:embed="rId9" cstate="print">
                      <a:extLst>
                        <a:ext uri="{28A0092B-C50C-407E-A947-70E740481C1C}">
                          <a14:useLocalDpi xmlns:a14="http://schemas.microsoft.com/office/drawing/2010/main" val="0"/>
                        </a:ext>
                      </a:extLst>
                    </a:blip>
                    <a:stretch>
                      <a:fillRect/>
                    </a:stretch>
                  </pic:blipFill>
                  <pic:spPr>
                    <a:xfrm>
                      <a:off x="0" y="0"/>
                      <a:ext cx="614045" cy="735330"/>
                    </a:xfrm>
                    <a:prstGeom prst="rect">
                      <a:avLst/>
                    </a:prstGeom>
                  </pic:spPr>
                </pic:pic>
              </a:graphicData>
            </a:graphic>
            <wp14:sizeRelH relativeFrom="margin">
              <wp14:pctWidth>0</wp14:pctWidth>
            </wp14:sizeRelH>
            <wp14:sizeRelV relativeFrom="margin">
              <wp14:pctHeight>0</wp14:pctHeight>
            </wp14:sizeRelV>
          </wp:anchor>
        </w:drawing>
      </w:r>
      <w:r w:rsidRPr="00CA3C3F">
        <w:rPr>
          <w:rFonts w:ascii="Arial" w:eastAsia="Arial" w:hAnsi="Arial" w:cs="Arial"/>
          <w:sz w:val="24"/>
          <w:szCs w:val="24"/>
        </w:rPr>
        <w:t>Representante</w:t>
      </w:r>
      <w:r>
        <w:rPr>
          <w:rFonts w:ascii="Arial" w:eastAsia="Arial" w:hAnsi="Arial" w:cs="Arial"/>
          <w:sz w:val="24"/>
          <w:szCs w:val="24"/>
        </w:rPr>
        <w:t xml:space="preserve"> del Decano,</w:t>
      </w:r>
      <w:r w:rsidRPr="00CA3C3F">
        <w:rPr>
          <w:rFonts w:ascii="Arial" w:eastAsia="Arial" w:hAnsi="Arial" w:cs="Arial"/>
          <w:sz w:val="24"/>
          <w:szCs w:val="24"/>
        </w:rPr>
        <w:t xml:space="preserve"> Facultad de Ciencias Sociales</w:t>
      </w:r>
    </w:p>
    <w:p w:rsidR="00A510B5" w:rsidRPr="00CA3C3F" w:rsidRDefault="00A510B5" w:rsidP="00A510B5">
      <w:pPr>
        <w:jc w:val="center"/>
        <w:rPr>
          <w:rFonts w:ascii="Arial" w:eastAsia="Arial" w:hAnsi="Arial" w:cs="Arial"/>
          <w:sz w:val="24"/>
          <w:szCs w:val="24"/>
        </w:rPr>
      </w:pPr>
    </w:p>
    <w:p w:rsidR="00A510B5" w:rsidRPr="00CA3C3F" w:rsidRDefault="00A510B5" w:rsidP="00A510B5">
      <w:pPr>
        <w:jc w:val="center"/>
        <w:rPr>
          <w:rFonts w:ascii="Arial" w:eastAsia="Arial" w:hAnsi="Arial" w:cs="Arial"/>
          <w:sz w:val="24"/>
          <w:szCs w:val="24"/>
        </w:rPr>
      </w:pPr>
    </w:p>
    <w:p w:rsidR="00A510B5" w:rsidRPr="00CA3C3F" w:rsidRDefault="00A510B5" w:rsidP="00A510B5">
      <w:pPr>
        <w:jc w:val="center"/>
        <w:rPr>
          <w:rFonts w:ascii="Arial" w:eastAsia="Arial" w:hAnsi="Arial" w:cs="Arial"/>
          <w:sz w:val="24"/>
          <w:szCs w:val="24"/>
        </w:rPr>
      </w:pPr>
      <w:r w:rsidRPr="00CA3C3F">
        <w:rPr>
          <w:rFonts w:ascii="Arial" w:eastAsia="Arial" w:hAnsi="Arial" w:cs="Arial"/>
          <w:sz w:val="24"/>
          <w:szCs w:val="24"/>
        </w:rPr>
        <w:t>__________________________________________</w:t>
      </w:r>
    </w:p>
    <w:p w:rsidR="00A510B5" w:rsidRDefault="00A510B5" w:rsidP="00A510B5">
      <w:pPr>
        <w:jc w:val="center"/>
        <w:rPr>
          <w:rFonts w:ascii="Arial" w:eastAsia="Arial" w:hAnsi="Arial" w:cs="Arial"/>
          <w:sz w:val="24"/>
          <w:szCs w:val="24"/>
        </w:rPr>
      </w:pPr>
      <w:r>
        <w:rPr>
          <w:rFonts w:ascii="Arial" w:hAnsi="Arial" w:cs="Arial"/>
          <w:color w:val="000000" w:themeColor="text1"/>
          <w:sz w:val="24"/>
          <w:szCs w:val="24"/>
          <w:shd w:val="clear" w:color="auto" w:fill="FFFFFF"/>
        </w:rPr>
        <w:t>Lic. Jazmin Pereira Ortega</w:t>
      </w:r>
    </w:p>
    <w:p w:rsidR="00A510B5" w:rsidRPr="00CA3C3F" w:rsidRDefault="00A510B5" w:rsidP="00A510B5">
      <w:pPr>
        <w:jc w:val="center"/>
        <w:rPr>
          <w:rFonts w:ascii="Arial" w:eastAsia="Arial" w:hAnsi="Arial" w:cs="Arial"/>
          <w:sz w:val="24"/>
          <w:szCs w:val="24"/>
        </w:rPr>
      </w:pPr>
      <w:r w:rsidRPr="00CA3C3F">
        <w:rPr>
          <w:rFonts w:ascii="Arial" w:eastAsia="Arial" w:hAnsi="Arial" w:cs="Arial"/>
          <w:sz w:val="24"/>
          <w:szCs w:val="24"/>
        </w:rPr>
        <w:t>Representante</w:t>
      </w:r>
      <w:r>
        <w:rPr>
          <w:rFonts w:ascii="Arial" w:eastAsia="Arial" w:hAnsi="Arial" w:cs="Arial"/>
          <w:sz w:val="24"/>
          <w:szCs w:val="24"/>
        </w:rPr>
        <w:t xml:space="preserve"> de Dirección,</w:t>
      </w:r>
      <w:r w:rsidRPr="00CA3C3F">
        <w:rPr>
          <w:rFonts w:ascii="Arial" w:eastAsia="Arial" w:hAnsi="Arial" w:cs="Arial"/>
          <w:sz w:val="24"/>
          <w:szCs w:val="24"/>
        </w:rPr>
        <w:t xml:space="preserve"> Escuela de</w:t>
      </w:r>
      <w:r>
        <w:rPr>
          <w:rFonts w:ascii="Arial" w:eastAsia="Arial" w:hAnsi="Arial" w:cs="Arial"/>
          <w:sz w:val="24"/>
          <w:szCs w:val="24"/>
        </w:rPr>
        <w:t xml:space="preserve"> </w:t>
      </w:r>
      <w:r w:rsidRPr="00CA3C3F">
        <w:rPr>
          <w:rFonts w:ascii="Arial" w:eastAsia="Arial" w:hAnsi="Arial" w:cs="Arial"/>
          <w:sz w:val="24"/>
          <w:szCs w:val="24"/>
        </w:rPr>
        <w:t>Planificación y Promoción Social</w:t>
      </w:r>
    </w:p>
    <w:p w:rsidR="00A510B5" w:rsidRDefault="00A510B5" w:rsidP="00A510B5">
      <w:pPr>
        <w:tabs>
          <w:tab w:val="center" w:pos="6120"/>
          <w:tab w:val="left" w:pos="8020"/>
        </w:tabs>
        <w:ind w:left="2880"/>
        <w:rPr>
          <w:rFonts w:ascii="Arial" w:hAnsi="Arial" w:cs="Arial"/>
          <w:color w:val="000000" w:themeColor="text1"/>
          <w:sz w:val="24"/>
          <w:szCs w:val="24"/>
          <w:shd w:val="clear" w:color="auto" w:fill="FFFFFF"/>
        </w:rPr>
      </w:pPr>
      <w:r w:rsidRPr="00114156">
        <w:rPr>
          <w:rFonts w:ascii="Arial" w:eastAsia="Arial" w:hAnsi="Arial" w:cs="Arial"/>
          <w:noProof/>
          <w:sz w:val="24"/>
          <w:szCs w:val="24"/>
          <w:lang w:eastAsia="es-CR"/>
        </w:rPr>
        <w:drawing>
          <wp:anchor distT="0" distB="0" distL="114300" distR="114300" simplePos="0" relativeHeight="251686912" behindDoc="0" locked="0" layoutInCell="1" allowOverlap="1" wp14:anchorId="5CDD7E06" wp14:editId="38389947">
            <wp:simplePos x="0" y="0"/>
            <wp:positionH relativeFrom="margin">
              <wp:align>center</wp:align>
            </wp:positionH>
            <wp:positionV relativeFrom="paragraph">
              <wp:posOffset>150837</wp:posOffset>
            </wp:positionV>
            <wp:extent cx="1097915" cy="520700"/>
            <wp:effectExtent l="0" t="0" r="6985" b="0"/>
            <wp:wrapSquare wrapText="bothSides"/>
            <wp:docPr id="12"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cstate="print">
                      <a:extLst>
                        <a:ext uri="{28A0092B-C50C-407E-A947-70E740481C1C}">
                          <a14:useLocalDpi xmlns:a14="http://schemas.microsoft.com/office/drawing/2010/main" val="0"/>
                        </a:ext>
                      </a:extLst>
                    </a:blip>
                    <a:stretch>
                      <a:fillRect/>
                    </a:stretch>
                  </pic:blipFill>
                  <pic:spPr>
                    <a:xfrm>
                      <a:off x="0" y="0"/>
                      <a:ext cx="1097915" cy="520700"/>
                    </a:xfrm>
                    <a:prstGeom prst="rect">
                      <a:avLst/>
                    </a:prstGeom>
                  </pic:spPr>
                </pic:pic>
              </a:graphicData>
            </a:graphic>
            <wp14:sizeRelH relativeFrom="margin">
              <wp14:pctWidth>0</wp14:pctWidth>
            </wp14:sizeRelH>
            <wp14:sizeRelV relativeFrom="margin">
              <wp14:pctHeight>0</wp14:pctHeight>
            </wp14:sizeRelV>
          </wp:anchor>
        </w:drawing>
      </w:r>
      <w:r>
        <w:rPr>
          <w:rFonts w:ascii="Arial" w:hAnsi="Arial" w:cs="Arial"/>
          <w:color w:val="000000" w:themeColor="text1"/>
          <w:sz w:val="24"/>
          <w:szCs w:val="24"/>
          <w:shd w:val="clear" w:color="auto" w:fill="FFFFFF"/>
        </w:rPr>
        <w:t xml:space="preserve">     </w:t>
      </w:r>
    </w:p>
    <w:p w:rsidR="00A510B5" w:rsidRPr="00CA3C3F" w:rsidRDefault="00A510B5" w:rsidP="00A510B5">
      <w:pPr>
        <w:tabs>
          <w:tab w:val="center" w:pos="6120"/>
          <w:tab w:val="left" w:pos="8020"/>
        </w:tabs>
        <w:ind w:left="2880"/>
        <w:rPr>
          <w:rFonts w:ascii="Arial" w:eastAsia="Arial" w:hAnsi="Arial" w:cs="Arial"/>
          <w:sz w:val="24"/>
          <w:szCs w:val="24"/>
        </w:rPr>
      </w:pPr>
    </w:p>
    <w:p w:rsidR="00A510B5" w:rsidRPr="00CA3C3F" w:rsidRDefault="00A510B5" w:rsidP="00A510B5">
      <w:pPr>
        <w:jc w:val="center"/>
        <w:rPr>
          <w:rFonts w:ascii="Arial" w:eastAsia="Arial" w:hAnsi="Arial" w:cs="Arial"/>
          <w:sz w:val="24"/>
          <w:szCs w:val="24"/>
        </w:rPr>
      </w:pPr>
      <w:r w:rsidRPr="00CA3C3F">
        <w:rPr>
          <w:rFonts w:ascii="Arial" w:eastAsia="Arial" w:hAnsi="Arial" w:cs="Arial"/>
          <w:sz w:val="24"/>
          <w:szCs w:val="24"/>
        </w:rPr>
        <w:t>__________________________________________</w:t>
      </w:r>
    </w:p>
    <w:p w:rsidR="00A510B5" w:rsidRDefault="00A510B5" w:rsidP="00A510B5">
      <w:pPr>
        <w:jc w:val="center"/>
        <w:rPr>
          <w:rFonts w:ascii="Arial" w:eastAsia="Arial" w:hAnsi="Arial" w:cs="Arial"/>
          <w:sz w:val="24"/>
          <w:szCs w:val="24"/>
        </w:rPr>
      </w:pPr>
      <w:r>
        <w:rPr>
          <w:rFonts w:ascii="Arial" w:hAnsi="Arial" w:cs="Arial"/>
          <w:color w:val="000000" w:themeColor="text1"/>
          <w:sz w:val="24"/>
          <w:szCs w:val="24"/>
          <w:shd w:val="clear" w:color="auto" w:fill="FFFFFF"/>
        </w:rPr>
        <w:t xml:space="preserve">     M. Sc</w:t>
      </w:r>
      <w:r w:rsidRPr="00F97824">
        <w:rPr>
          <w:rFonts w:ascii="Arial" w:hAnsi="Arial" w:cs="Arial"/>
          <w:color w:val="000000" w:themeColor="text1"/>
          <w:sz w:val="24"/>
          <w:szCs w:val="24"/>
          <w:shd w:val="clear" w:color="auto" w:fill="FFFFFF"/>
        </w:rPr>
        <w:t xml:space="preserve">. </w:t>
      </w:r>
      <w:r>
        <w:rPr>
          <w:rFonts w:ascii="Arial" w:hAnsi="Arial" w:cs="Arial"/>
          <w:color w:val="000000" w:themeColor="text1"/>
          <w:sz w:val="24"/>
          <w:szCs w:val="24"/>
          <w:shd w:val="clear" w:color="auto" w:fill="FFFFFF"/>
        </w:rPr>
        <w:t>Oscar Juárez Matute</w:t>
      </w:r>
    </w:p>
    <w:p w:rsidR="00A510B5" w:rsidRDefault="00A510B5" w:rsidP="00A510B5">
      <w:pPr>
        <w:jc w:val="center"/>
        <w:rPr>
          <w:rFonts w:ascii="Arial" w:eastAsia="Arial" w:hAnsi="Arial" w:cs="Arial"/>
          <w:sz w:val="24"/>
          <w:szCs w:val="24"/>
        </w:rPr>
      </w:pPr>
      <w:r>
        <w:rPr>
          <w:rFonts w:ascii="Arial" w:eastAsia="Arial" w:hAnsi="Arial" w:cs="Arial"/>
          <w:sz w:val="24"/>
          <w:szCs w:val="24"/>
        </w:rPr>
        <w:t>Tutor</w:t>
      </w:r>
    </w:p>
    <w:p w:rsidR="00A510B5" w:rsidRPr="00B270C5" w:rsidRDefault="00A510B5" w:rsidP="00A510B5">
      <w:pPr>
        <w:ind w:firstLine="720"/>
        <w:rPr>
          <w:rFonts w:ascii="Arial" w:hAnsi="Arial" w:cs="Arial"/>
          <w:color w:val="000000" w:themeColor="text1"/>
          <w:sz w:val="24"/>
          <w:szCs w:val="24"/>
        </w:rPr>
      </w:pPr>
      <w:r w:rsidRPr="00F97824">
        <w:rPr>
          <w:rFonts w:ascii="Arial" w:hAnsi="Arial" w:cs="Arial"/>
          <w:color w:val="000000" w:themeColor="text1"/>
          <w:sz w:val="24"/>
          <w:szCs w:val="24"/>
          <w:shd w:val="clear" w:color="auto" w:fill="FFFFFF"/>
        </w:rPr>
        <w:t xml:space="preserve"> </w:t>
      </w:r>
      <w:r w:rsidRPr="00F97824">
        <w:rPr>
          <w:rFonts w:ascii="Arial" w:hAnsi="Arial" w:cs="Arial"/>
          <w:color w:val="000000" w:themeColor="text1"/>
          <w:sz w:val="24"/>
          <w:szCs w:val="24"/>
          <w:shd w:val="clear" w:color="auto" w:fill="FFFFFF"/>
        </w:rPr>
        <w:tab/>
      </w:r>
      <w:r>
        <w:rPr>
          <w:rFonts w:ascii="Arial" w:hAnsi="Arial" w:cs="Arial"/>
          <w:color w:val="000000" w:themeColor="text1"/>
          <w:sz w:val="24"/>
          <w:szCs w:val="24"/>
          <w:shd w:val="clear" w:color="auto" w:fill="FFFFFF"/>
        </w:rPr>
        <w:tab/>
      </w:r>
      <w:r>
        <w:rPr>
          <w:rFonts w:ascii="Arial" w:hAnsi="Arial" w:cs="Arial"/>
          <w:color w:val="000000" w:themeColor="text1"/>
          <w:sz w:val="24"/>
          <w:szCs w:val="24"/>
          <w:shd w:val="clear" w:color="auto" w:fill="FFFFFF"/>
        </w:rPr>
        <w:tab/>
      </w:r>
    </w:p>
    <w:p w:rsidR="00A510B5" w:rsidRPr="00CA3C3F" w:rsidRDefault="00A510B5" w:rsidP="00A510B5">
      <w:pPr>
        <w:jc w:val="center"/>
        <w:rPr>
          <w:rFonts w:ascii="Arial" w:eastAsia="Arial" w:hAnsi="Arial" w:cs="Arial"/>
          <w:sz w:val="24"/>
          <w:szCs w:val="24"/>
        </w:rPr>
      </w:pPr>
      <w:r w:rsidRPr="00114156">
        <w:rPr>
          <w:rFonts w:ascii="Arial" w:eastAsia="Arial" w:hAnsi="Arial" w:cs="Arial"/>
          <w:noProof/>
          <w:sz w:val="24"/>
          <w:szCs w:val="24"/>
          <w:lang w:eastAsia="es-CR"/>
        </w:rPr>
        <w:drawing>
          <wp:anchor distT="0" distB="0" distL="114300" distR="114300" simplePos="0" relativeHeight="251688960" behindDoc="0" locked="0" layoutInCell="1" allowOverlap="1" wp14:anchorId="6E5CFE40" wp14:editId="0092C5B4">
            <wp:simplePos x="0" y="0"/>
            <wp:positionH relativeFrom="margin">
              <wp:align>center</wp:align>
            </wp:positionH>
            <wp:positionV relativeFrom="paragraph">
              <wp:posOffset>22636</wp:posOffset>
            </wp:positionV>
            <wp:extent cx="875665" cy="462280"/>
            <wp:effectExtent l="0" t="0" r="635" b="0"/>
            <wp:wrapSquare wrapText="bothSides"/>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extLst>
                        <a:ext uri="{28A0092B-C50C-407E-A947-70E740481C1C}">
                          <a14:useLocalDpi xmlns:a14="http://schemas.microsoft.com/office/drawing/2010/main" val="0"/>
                        </a:ext>
                      </a:extLst>
                    </a:blip>
                    <a:stretch>
                      <a:fillRect/>
                    </a:stretch>
                  </pic:blipFill>
                  <pic:spPr>
                    <a:xfrm>
                      <a:off x="0" y="0"/>
                      <a:ext cx="875665" cy="462280"/>
                    </a:xfrm>
                    <a:prstGeom prst="rect">
                      <a:avLst/>
                    </a:prstGeom>
                  </pic:spPr>
                </pic:pic>
              </a:graphicData>
            </a:graphic>
            <wp14:sizeRelH relativeFrom="margin">
              <wp14:pctWidth>0</wp14:pctWidth>
            </wp14:sizeRelH>
            <wp14:sizeRelV relativeFrom="margin">
              <wp14:pctHeight>0</wp14:pctHeight>
            </wp14:sizeRelV>
          </wp:anchor>
        </w:drawing>
      </w:r>
    </w:p>
    <w:p w:rsidR="00A510B5" w:rsidRPr="00CA3C3F" w:rsidRDefault="00A510B5" w:rsidP="00A510B5">
      <w:pPr>
        <w:jc w:val="center"/>
        <w:rPr>
          <w:rFonts w:ascii="Arial" w:eastAsia="Arial" w:hAnsi="Arial" w:cs="Arial"/>
          <w:sz w:val="24"/>
          <w:szCs w:val="24"/>
        </w:rPr>
      </w:pPr>
    </w:p>
    <w:p w:rsidR="00A510B5" w:rsidRPr="00CA3C3F" w:rsidRDefault="00A510B5" w:rsidP="00A510B5">
      <w:pPr>
        <w:jc w:val="center"/>
        <w:rPr>
          <w:rFonts w:ascii="Arial" w:eastAsia="Arial" w:hAnsi="Arial" w:cs="Arial"/>
          <w:sz w:val="24"/>
          <w:szCs w:val="24"/>
        </w:rPr>
      </w:pPr>
      <w:r w:rsidRPr="00CA3C3F">
        <w:rPr>
          <w:rFonts w:ascii="Arial" w:eastAsia="Arial" w:hAnsi="Arial" w:cs="Arial"/>
          <w:sz w:val="24"/>
          <w:szCs w:val="24"/>
        </w:rPr>
        <w:t>_______________________________________</w:t>
      </w:r>
    </w:p>
    <w:p w:rsidR="00A510B5" w:rsidRPr="00F97824" w:rsidRDefault="00A510B5" w:rsidP="00A510B5">
      <w:pPr>
        <w:jc w:val="center"/>
        <w:rPr>
          <w:rFonts w:ascii="Arial" w:hAnsi="Arial" w:cs="Arial"/>
          <w:color w:val="000000" w:themeColor="text1"/>
          <w:sz w:val="24"/>
          <w:szCs w:val="24"/>
          <w:shd w:val="clear" w:color="auto" w:fill="FFFFFF"/>
        </w:rPr>
      </w:pPr>
      <w:r>
        <w:rPr>
          <w:rFonts w:ascii="Arial" w:hAnsi="Arial" w:cs="Arial"/>
          <w:color w:val="000000" w:themeColor="text1"/>
          <w:sz w:val="24"/>
          <w:szCs w:val="24"/>
          <w:shd w:val="clear" w:color="auto" w:fill="FFFFFF"/>
        </w:rPr>
        <w:t>M. Sc. Isabel Calvo González</w:t>
      </w:r>
    </w:p>
    <w:p w:rsidR="00A510B5" w:rsidRDefault="00A510B5" w:rsidP="00A510B5">
      <w:pPr>
        <w:jc w:val="center"/>
        <w:rPr>
          <w:rFonts w:ascii="Arial" w:eastAsia="Arial" w:hAnsi="Arial" w:cs="Arial"/>
          <w:sz w:val="24"/>
          <w:szCs w:val="24"/>
        </w:rPr>
      </w:pPr>
      <w:r w:rsidRPr="00CA3C3F">
        <w:rPr>
          <w:rFonts w:ascii="Arial" w:eastAsia="Arial" w:hAnsi="Arial" w:cs="Arial"/>
          <w:sz w:val="24"/>
          <w:szCs w:val="24"/>
        </w:rPr>
        <w:t>Lector interno</w:t>
      </w:r>
    </w:p>
    <w:p w:rsidR="00A510B5" w:rsidRPr="00CA3C3F" w:rsidRDefault="00A510B5" w:rsidP="00A510B5">
      <w:pPr>
        <w:jc w:val="center"/>
        <w:rPr>
          <w:rFonts w:ascii="Arial" w:eastAsia="Arial" w:hAnsi="Arial" w:cs="Arial"/>
          <w:sz w:val="24"/>
          <w:szCs w:val="24"/>
        </w:rPr>
      </w:pPr>
      <w:r w:rsidRPr="00114156">
        <w:rPr>
          <w:rFonts w:ascii="Arial" w:eastAsia="Arial" w:hAnsi="Arial" w:cs="Arial"/>
          <w:noProof/>
          <w:sz w:val="24"/>
          <w:szCs w:val="24"/>
          <w:lang w:eastAsia="es-CR"/>
        </w:rPr>
        <w:drawing>
          <wp:anchor distT="0" distB="0" distL="114300" distR="114300" simplePos="0" relativeHeight="251689984" behindDoc="0" locked="0" layoutInCell="1" allowOverlap="1" wp14:anchorId="19B745F6" wp14:editId="2703B15B">
            <wp:simplePos x="0" y="0"/>
            <wp:positionH relativeFrom="margin">
              <wp:align>center</wp:align>
            </wp:positionH>
            <wp:positionV relativeFrom="paragraph">
              <wp:posOffset>282158</wp:posOffset>
            </wp:positionV>
            <wp:extent cx="967105" cy="504825"/>
            <wp:effectExtent l="0" t="0" r="4445" b="9525"/>
            <wp:wrapSquare wrapText="bothSides"/>
            <wp:docPr id="18" name="Imagen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cstate="print">
                      <a:extLst>
                        <a:ext uri="{28A0092B-C50C-407E-A947-70E740481C1C}">
                          <a14:useLocalDpi xmlns:a14="http://schemas.microsoft.com/office/drawing/2010/main" val="0"/>
                        </a:ext>
                      </a:extLst>
                    </a:blip>
                    <a:stretch>
                      <a:fillRect/>
                    </a:stretch>
                  </pic:blipFill>
                  <pic:spPr>
                    <a:xfrm>
                      <a:off x="0" y="0"/>
                      <a:ext cx="967105" cy="504825"/>
                    </a:xfrm>
                    <a:prstGeom prst="rect">
                      <a:avLst/>
                    </a:prstGeom>
                  </pic:spPr>
                </pic:pic>
              </a:graphicData>
            </a:graphic>
            <wp14:sizeRelH relativeFrom="margin">
              <wp14:pctWidth>0</wp14:pctWidth>
            </wp14:sizeRelH>
            <wp14:sizeRelV relativeFrom="margin">
              <wp14:pctHeight>0</wp14:pctHeight>
            </wp14:sizeRelV>
          </wp:anchor>
        </w:drawing>
      </w:r>
    </w:p>
    <w:p w:rsidR="00A510B5" w:rsidRPr="00CA3C3F" w:rsidRDefault="00A510B5" w:rsidP="00A510B5">
      <w:pPr>
        <w:jc w:val="center"/>
        <w:rPr>
          <w:rFonts w:ascii="Arial" w:eastAsia="Arial" w:hAnsi="Arial" w:cs="Arial"/>
          <w:sz w:val="24"/>
          <w:szCs w:val="24"/>
        </w:rPr>
      </w:pPr>
    </w:p>
    <w:p w:rsidR="00A510B5" w:rsidRPr="00CA3C3F" w:rsidRDefault="00A510B5" w:rsidP="00A510B5">
      <w:pPr>
        <w:jc w:val="center"/>
        <w:rPr>
          <w:rFonts w:ascii="Arial" w:eastAsia="Arial" w:hAnsi="Arial" w:cs="Arial"/>
          <w:sz w:val="24"/>
          <w:szCs w:val="24"/>
        </w:rPr>
      </w:pPr>
    </w:p>
    <w:p w:rsidR="00A510B5" w:rsidRPr="00CA3C3F" w:rsidRDefault="00A510B5" w:rsidP="00A510B5">
      <w:pPr>
        <w:jc w:val="center"/>
        <w:rPr>
          <w:rFonts w:ascii="Arial" w:eastAsia="Arial" w:hAnsi="Arial" w:cs="Arial"/>
          <w:sz w:val="24"/>
          <w:szCs w:val="24"/>
        </w:rPr>
      </w:pPr>
      <w:r w:rsidRPr="00CA3C3F">
        <w:rPr>
          <w:rFonts w:ascii="Arial" w:eastAsia="Arial" w:hAnsi="Arial" w:cs="Arial"/>
          <w:sz w:val="24"/>
          <w:szCs w:val="24"/>
        </w:rPr>
        <w:t>_</w:t>
      </w:r>
      <w:r>
        <w:rPr>
          <w:rFonts w:ascii="Arial" w:eastAsia="Arial" w:hAnsi="Arial" w:cs="Arial"/>
          <w:sz w:val="24"/>
          <w:szCs w:val="24"/>
        </w:rPr>
        <w:t>_______________________________</w:t>
      </w:r>
      <w:r w:rsidRPr="00CA3C3F">
        <w:rPr>
          <w:rFonts w:ascii="Arial" w:eastAsia="Arial" w:hAnsi="Arial" w:cs="Arial"/>
          <w:sz w:val="24"/>
          <w:szCs w:val="24"/>
        </w:rPr>
        <w:t>____________</w:t>
      </w:r>
    </w:p>
    <w:p w:rsidR="00A510B5" w:rsidRPr="00183935" w:rsidRDefault="00A510B5" w:rsidP="00A510B5">
      <w:pPr>
        <w:jc w:val="center"/>
        <w:rPr>
          <w:rFonts w:ascii="Arial" w:hAnsi="Arial" w:cs="Arial"/>
          <w:color w:val="000000"/>
          <w:sz w:val="24"/>
          <w:szCs w:val="24"/>
          <w:shd w:val="clear" w:color="auto" w:fill="FFFFFF"/>
        </w:rPr>
      </w:pPr>
      <w:r>
        <w:rPr>
          <w:rFonts w:ascii="Arial" w:hAnsi="Arial" w:cs="Arial"/>
          <w:color w:val="000000"/>
          <w:sz w:val="24"/>
          <w:szCs w:val="24"/>
          <w:shd w:val="clear" w:color="auto" w:fill="FFFFFF"/>
        </w:rPr>
        <w:t>M. Sc</w:t>
      </w:r>
      <w:r w:rsidRPr="00CA3C3F">
        <w:rPr>
          <w:rFonts w:ascii="Arial" w:hAnsi="Arial" w:cs="Arial"/>
          <w:color w:val="000000"/>
          <w:sz w:val="24"/>
          <w:szCs w:val="24"/>
          <w:shd w:val="clear" w:color="auto" w:fill="FFFFFF"/>
        </w:rPr>
        <w:t xml:space="preserve">. </w:t>
      </w:r>
      <w:r>
        <w:rPr>
          <w:rFonts w:ascii="Arial" w:hAnsi="Arial" w:cs="Arial"/>
          <w:color w:val="000000"/>
          <w:sz w:val="24"/>
          <w:szCs w:val="24"/>
          <w:shd w:val="clear" w:color="auto" w:fill="FFFFFF"/>
        </w:rPr>
        <w:t>Fernando Zeledón Torres</w:t>
      </w:r>
    </w:p>
    <w:p w:rsidR="00477601" w:rsidRPr="002D2DC2" w:rsidRDefault="002D2DC2" w:rsidP="002D2DC2">
      <w:pPr>
        <w:jc w:val="center"/>
        <w:rPr>
          <w:rFonts w:ascii="Arial" w:eastAsia="Arial" w:hAnsi="Arial" w:cs="Arial"/>
          <w:sz w:val="24"/>
          <w:szCs w:val="24"/>
        </w:rPr>
      </w:pPr>
      <w:r>
        <w:rPr>
          <w:rFonts w:ascii="Arial" w:eastAsia="Arial" w:hAnsi="Arial" w:cs="Arial"/>
          <w:sz w:val="24"/>
          <w:szCs w:val="24"/>
        </w:rPr>
        <w:t>Lector externo</w:t>
      </w:r>
    </w:p>
    <w:p w:rsidR="00477601" w:rsidRPr="006B0981" w:rsidRDefault="00477601" w:rsidP="00477601">
      <w:pPr>
        <w:pStyle w:val="Ttulo1"/>
        <w:spacing w:line="480" w:lineRule="auto"/>
        <w:rPr>
          <w:szCs w:val="26"/>
        </w:rPr>
      </w:pPr>
      <w:bookmarkStart w:id="9" w:name="_Toc50906686"/>
      <w:r w:rsidRPr="006B0981">
        <w:rPr>
          <w:szCs w:val="26"/>
        </w:rPr>
        <w:lastRenderedPageBreak/>
        <w:t>I</w:t>
      </w:r>
      <w:r>
        <w:rPr>
          <w:szCs w:val="26"/>
        </w:rPr>
        <w:t>ntroducción</w:t>
      </w:r>
      <w:bookmarkEnd w:id="8"/>
      <w:bookmarkEnd w:id="9"/>
    </w:p>
    <w:p w:rsidR="00477601" w:rsidRPr="006B0981" w:rsidRDefault="00477601" w:rsidP="00477601">
      <w:pPr>
        <w:spacing w:line="360" w:lineRule="auto"/>
        <w:ind w:firstLine="708"/>
        <w:jc w:val="both"/>
        <w:rPr>
          <w:rFonts w:ascii="Arial" w:hAnsi="Arial" w:cs="Arial"/>
          <w:sz w:val="24"/>
        </w:rPr>
      </w:pPr>
      <w:r w:rsidRPr="006B0981">
        <w:rPr>
          <w:rFonts w:ascii="Arial" w:hAnsi="Arial" w:cs="Arial"/>
          <w:sz w:val="24"/>
        </w:rPr>
        <w:t xml:space="preserve">Las políticas de pesca han significado para Costa Rica un instrumento de ordenamiento de los recursos marítimos, no obstante, a partir de las décadas de los 80s y 90s con la implementación de nuevos modelos políticos y económicos influenciados por tendencias neoliberales, los recursos </w:t>
      </w:r>
      <w:r>
        <w:rPr>
          <w:rFonts w:ascii="Arial" w:hAnsi="Arial" w:cs="Arial"/>
          <w:sz w:val="24"/>
        </w:rPr>
        <w:t>pesqueros se han visto amenazados, principalmente por la industrialización</w:t>
      </w:r>
      <w:r w:rsidRPr="006B0981">
        <w:rPr>
          <w:rFonts w:ascii="Arial" w:hAnsi="Arial" w:cs="Arial"/>
          <w:sz w:val="24"/>
        </w:rPr>
        <w:t>. Lo cierto es qu</w:t>
      </w:r>
      <w:r>
        <w:rPr>
          <w:rFonts w:ascii="Arial" w:hAnsi="Arial" w:cs="Arial"/>
          <w:sz w:val="24"/>
        </w:rPr>
        <w:t>e el tema de pesca continú</w:t>
      </w:r>
      <w:r w:rsidRPr="006B0981">
        <w:rPr>
          <w:rFonts w:ascii="Arial" w:hAnsi="Arial" w:cs="Arial"/>
          <w:sz w:val="24"/>
        </w:rPr>
        <w:t xml:space="preserve">a teniendo gran significancia en la economía del país. </w:t>
      </w:r>
    </w:p>
    <w:p w:rsidR="00477601" w:rsidRPr="006B0981" w:rsidRDefault="00477601" w:rsidP="00477601">
      <w:pPr>
        <w:spacing w:line="360" w:lineRule="auto"/>
        <w:ind w:firstLine="708"/>
        <w:jc w:val="both"/>
        <w:rPr>
          <w:rFonts w:ascii="Arial" w:hAnsi="Arial" w:cs="Arial"/>
          <w:sz w:val="24"/>
        </w:rPr>
      </w:pPr>
      <w:r w:rsidRPr="006B0981">
        <w:rPr>
          <w:rFonts w:ascii="Arial" w:hAnsi="Arial" w:cs="Arial"/>
          <w:sz w:val="24"/>
        </w:rPr>
        <w:t xml:space="preserve">Esta investigación está dirigida a analizar de manera crítica el papel que desempeña el Estado costarricense a través de sus instituciones públicas </w:t>
      </w:r>
      <w:r>
        <w:rPr>
          <w:rFonts w:ascii="Arial" w:hAnsi="Arial" w:cs="Arial"/>
          <w:sz w:val="24"/>
        </w:rPr>
        <w:t>en relación a la pesca</w:t>
      </w:r>
      <w:r w:rsidRPr="006B0981">
        <w:rPr>
          <w:rFonts w:ascii="Arial" w:hAnsi="Arial" w:cs="Arial"/>
          <w:sz w:val="24"/>
        </w:rPr>
        <w:t>, estudiando los procesos de planificación y desar</w:t>
      </w:r>
      <w:r>
        <w:rPr>
          <w:rFonts w:ascii="Arial" w:hAnsi="Arial" w:cs="Arial"/>
          <w:sz w:val="24"/>
        </w:rPr>
        <w:t xml:space="preserve">rollo local en zonas pesqueras </w:t>
      </w:r>
      <w:r w:rsidRPr="006B0981">
        <w:rPr>
          <w:rFonts w:ascii="Arial" w:hAnsi="Arial" w:cs="Arial"/>
          <w:sz w:val="24"/>
        </w:rPr>
        <w:t>específicamente en las comunidades de Tambor y Paquera del cantón de Puntarenas, desde la formulación e i</w:t>
      </w:r>
      <w:r>
        <w:rPr>
          <w:rFonts w:ascii="Arial" w:hAnsi="Arial" w:cs="Arial"/>
          <w:sz w:val="24"/>
        </w:rPr>
        <w:t>mplementación del proyecto del Área Marina de Pesca R</w:t>
      </w:r>
      <w:r w:rsidRPr="006B0981">
        <w:rPr>
          <w:rFonts w:ascii="Arial" w:hAnsi="Arial" w:cs="Arial"/>
          <w:sz w:val="24"/>
        </w:rPr>
        <w:t xml:space="preserve">esponsable (AMPR) con un enfoque de planificación local. </w:t>
      </w:r>
    </w:p>
    <w:p w:rsidR="00477601" w:rsidRPr="006B0981" w:rsidRDefault="00477601" w:rsidP="00477601">
      <w:pPr>
        <w:spacing w:line="360" w:lineRule="auto"/>
        <w:ind w:firstLine="708"/>
        <w:jc w:val="both"/>
        <w:rPr>
          <w:rFonts w:ascii="Arial" w:hAnsi="Arial" w:cs="Arial"/>
          <w:sz w:val="24"/>
        </w:rPr>
      </w:pPr>
      <w:r w:rsidRPr="006B0981">
        <w:rPr>
          <w:rFonts w:ascii="Arial" w:hAnsi="Arial" w:cs="Arial"/>
          <w:sz w:val="24"/>
        </w:rPr>
        <w:t xml:space="preserve">Alrededor de este documento se han desarrollado de manera detallada el tema de investigación y su problemática, el cual trata de explicar las actuales metodologías que utilizan instituciones públicas en cuanto a la promoción y desarrollo de procesos de planificación y desarrollo local en comunidades vulnerables y excluidas del país, específicamente en comunidades pesqueras, además de cuáles son los mecanismos de participación local que suscitan el involucramiento de los actores locales en las tomas de decisiones. </w:t>
      </w:r>
    </w:p>
    <w:p w:rsidR="00477601" w:rsidRPr="006B0981" w:rsidRDefault="00477601" w:rsidP="00477601">
      <w:pPr>
        <w:spacing w:line="360" w:lineRule="auto"/>
        <w:ind w:firstLine="708"/>
        <w:jc w:val="both"/>
        <w:rPr>
          <w:rFonts w:ascii="Arial" w:hAnsi="Arial" w:cs="Arial"/>
          <w:sz w:val="24"/>
        </w:rPr>
      </w:pPr>
      <w:r w:rsidRPr="006B0981">
        <w:rPr>
          <w:rFonts w:ascii="Arial" w:hAnsi="Arial" w:cs="Arial"/>
          <w:sz w:val="24"/>
        </w:rPr>
        <w:t xml:space="preserve">Otro apartado de este estudio es el relacionado a los antecedentes del tema de investigación, en donde se realiza un abordaje sobre investigaciones previas que están relacionadas a la concepción del Estado y las políticas de pesca, paradigmas de planificación y participación local, además de un resumen del marco jurídico en el que se basa el tema pesquero del país, enfocándose principalmente en el </w:t>
      </w:r>
      <w:r>
        <w:rPr>
          <w:rFonts w:ascii="Arial" w:hAnsi="Arial" w:cs="Arial"/>
          <w:sz w:val="24"/>
        </w:rPr>
        <w:t>Instituto Costarricense de Pesca y Acuicultura</w:t>
      </w:r>
      <w:r w:rsidRPr="006B0981">
        <w:rPr>
          <w:rFonts w:ascii="Arial" w:hAnsi="Arial" w:cs="Arial"/>
          <w:sz w:val="24"/>
        </w:rPr>
        <w:t>, institución estatal rectora en el tema de pesca y acuicultura y que cuenta con presencia en las comunidades que se han elegido como casos de estudio.</w:t>
      </w:r>
    </w:p>
    <w:p w:rsidR="00477601" w:rsidRPr="006B0981" w:rsidRDefault="00477601" w:rsidP="00477601">
      <w:pPr>
        <w:spacing w:line="360" w:lineRule="auto"/>
        <w:ind w:firstLine="708"/>
        <w:jc w:val="both"/>
        <w:rPr>
          <w:rFonts w:ascii="Arial" w:hAnsi="Arial" w:cs="Arial"/>
          <w:sz w:val="24"/>
        </w:rPr>
      </w:pPr>
      <w:r w:rsidRPr="006B0981">
        <w:rPr>
          <w:rFonts w:ascii="Arial" w:hAnsi="Arial" w:cs="Arial"/>
          <w:sz w:val="24"/>
        </w:rPr>
        <w:lastRenderedPageBreak/>
        <w:t>Por otra parte, dentro d</w:t>
      </w:r>
      <w:r>
        <w:rPr>
          <w:rFonts w:ascii="Arial" w:hAnsi="Arial" w:cs="Arial"/>
          <w:sz w:val="24"/>
        </w:rPr>
        <w:t xml:space="preserve">el marco teórico se desarrollan </w:t>
      </w:r>
      <w:r w:rsidRPr="006B0981">
        <w:rPr>
          <w:rFonts w:ascii="Arial" w:hAnsi="Arial" w:cs="Arial"/>
          <w:sz w:val="24"/>
        </w:rPr>
        <w:t>los insumos y discusiones conceptuales que le darán sustento a esta investigación; utilizando así teorías principalmente neo-marxistas o de corte progresistas, que sostienen una vinculación verdadera entre el Estado y los sujetos, como forma de transformar las realidades desde lo local.</w:t>
      </w:r>
    </w:p>
    <w:p w:rsidR="00477601" w:rsidRPr="006B0981" w:rsidRDefault="00477601" w:rsidP="00477601">
      <w:pPr>
        <w:spacing w:line="360" w:lineRule="auto"/>
        <w:ind w:firstLine="708"/>
        <w:jc w:val="both"/>
        <w:rPr>
          <w:rFonts w:ascii="Arial" w:hAnsi="Arial" w:cs="Arial"/>
          <w:sz w:val="24"/>
        </w:rPr>
      </w:pPr>
      <w:r w:rsidRPr="006B0981">
        <w:rPr>
          <w:rFonts w:ascii="Arial" w:hAnsi="Arial" w:cs="Arial"/>
          <w:sz w:val="24"/>
        </w:rPr>
        <w:t xml:space="preserve">Esta investigación se basa en una serie de problemas o preguntas de investigación que el autor de manera subjetiva ha planteado, no obstante, estas problemáticas también se fundamentan en gran medida con el entramado teórico desarrollado en el capítulo II. Las preguntas de investigación constituyen uno de los instrumentos básicos dentro del análisis social, esta trata de responder a una serie de supuestos o proposiciones. </w:t>
      </w:r>
    </w:p>
    <w:p w:rsidR="00477601" w:rsidRPr="006B0981" w:rsidRDefault="00477601" w:rsidP="00477601">
      <w:pPr>
        <w:spacing w:line="360" w:lineRule="auto"/>
        <w:ind w:firstLine="708"/>
        <w:jc w:val="both"/>
        <w:rPr>
          <w:rFonts w:ascii="Arial" w:hAnsi="Arial" w:cs="Arial"/>
          <w:sz w:val="24"/>
        </w:rPr>
      </w:pPr>
      <w:r w:rsidRPr="006B0981">
        <w:rPr>
          <w:rFonts w:ascii="Arial" w:hAnsi="Arial" w:cs="Arial"/>
          <w:sz w:val="24"/>
        </w:rPr>
        <w:t xml:space="preserve">De lo anterior, se pretende realizar un análisis de la información recolectada por una serie de métodos y técnicas de investigación que se pretenden aplicar en las comunidades de Tambor y Paquera, las cuales pretenden tener un acercamiento con la realidad de estas localidades, y así no mantener sesgos metodológicos a la hora de establecer conclusiones. Algunas de estas técnicas serán la observación no participativa, entrevista, encuestas, entre otras. </w:t>
      </w:r>
    </w:p>
    <w:p w:rsidR="00477601" w:rsidRDefault="00477601" w:rsidP="00477601">
      <w:pPr>
        <w:spacing w:line="360" w:lineRule="auto"/>
        <w:ind w:firstLine="708"/>
        <w:jc w:val="both"/>
        <w:rPr>
          <w:rFonts w:ascii="Arial" w:hAnsi="Arial" w:cs="Arial"/>
          <w:sz w:val="24"/>
        </w:rPr>
      </w:pPr>
      <w:r w:rsidRPr="006B0981">
        <w:rPr>
          <w:rFonts w:ascii="Arial" w:hAnsi="Arial" w:cs="Arial"/>
          <w:sz w:val="24"/>
        </w:rPr>
        <w:t>Todo lo mencionado reviste de valor para la planificación</w:t>
      </w:r>
      <w:r>
        <w:rPr>
          <w:rFonts w:ascii="Arial" w:hAnsi="Arial" w:cs="Arial"/>
          <w:sz w:val="24"/>
        </w:rPr>
        <w:t xml:space="preserve"> local</w:t>
      </w:r>
      <w:r w:rsidRPr="006B0981">
        <w:rPr>
          <w:rFonts w:ascii="Arial" w:hAnsi="Arial" w:cs="Arial"/>
          <w:sz w:val="24"/>
        </w:rPr>
        <w:t>, ya que dichos estudios son necesarios para la multidiciplinariedad de una unidad académica que aboga por la solidaridad y que mantiene un carácter de transformación social.</w:t>
      </w:r>
      <w:r w:rsidRPr="00C17B7D">
        <w:rPr>
          <w:rFonts w:ascii="Arial" w:hAnsi="Arial" w:cs="Arial"/>
          <w:sz w:val="24"/>
        </w:rPr>
        <w:t xml:space="preserve"> </w:t>
      </w:r>
    </w:p>
    <w:p w:rsidR="00477601" w:rsidRDefault="00477601" w:rsidP="00477601">
      <w:pPr>
        <w:rPr>
          <w:rFonts w:ascii="Arial" w:eastAsiaTheme="majorEastAsia" w:hAnsi="Arial" w:cstheme="majorBidi"/>
          <w:b/>
          <w:sz w:val="28"/>
          <w:szCs w:val="26"/>
        </w:rPr>
      </w:pPr>
      <w:r>
        <w:rPr>
          <w:szCs w:val="26"/>
        </w:rPr>
        <w:br w:type="page"/>
      </w:r>
    </w:p>
    <w:p w:rsidR="00477601" w:rsidRDefault="00477601" w:rsidP="00477601">
      <w:pPr>
        <w:pStyle w:val="Ttulo1"/>
        <w:spacing w:line="480" w:lineRule="auto"/>
        <w:rPr>
          <w:szCs w:val="26"/>
        </w:rPr>
      </w:pPr>
      <w:bookmarkStart w:id="10" w:name="_Toc50906687"/>
      <w:r>
        <w:rPr>
          <w:szCs w:val="26"/>
        </w:rPr>
        <w:lastRenderedPageBreak/>
        <w:t>Capítulo I. El problema de investigación</w:t>
      </w:r>
      <w:bookmarkEnd w:id="10"/>
    </w:p>
    <w:p w:rsidR="00477601" w:rsidRPr="00694AC7" w:rsidRDefault="00477601" w:rsidP="00477601">
      <w:pPr>
        <w:pStyle w:val="Ttulo2"/>
        <w:numPr>
          <w:ilvl w:val="1"/>
          <w:numId w:val="10"/>
        </w:numPr>
        <w:spacing w:before="200" w:line="480" w:lineRule="auto"/>
        <w:rPr>
          <w:rFonts w:ascii="Arial" w:hAnsi="Arial" w:cs="Arial"/>
          <w:b/>
          <w:color w:val="00000A"/>
        </w:rPr>
      </w:pPr>
      <w:bookmarkStart w:id="11" w:name="_Toc49628436"/>
      <w:bookmarkStart w:id="12" w:name="_Toc522609755"/>
      <w:bookmarkStart w:id="13" w:name="_Toc522610228"/>
      <w:bookmarkStart w:id="14" w:name="_Toc50906688"/>
      <w:bookmarkEnd w:id="11"/>
      <w:bookmarkEnd w:id="12"/>
      <w:bookmarkEnd w:id="13"/>
      <w:r w:rsidRPr="00694AC7">
        <w:rPr>
          <w:rFonts w:ascii="Arial" w:hAnsi="Arial" w:cs="Arial"/>
          <w:b/>
          <w:color w:val="00000A"/>
        </w:rPr>
        <w:t>Tema de Investigación</w:t>
      </w:r>
      <w:bookmarkEnd w:id="14"/>
    </w:p>
    <w:p w:rsidR="00477601" w:rsidRDefault="00477601" w:rsidP="00477601">
      <w:pPr>
        <w:spacing w:line="360" w:lineRule="auto"/>
        <w:ind w:firstLine="708"/>
        <w:jc w:val="both"/>
        <w:rPr>
          <w:rFonts w:ascii="Arial" w:hAnsi="Arial" w:cs="Arial"/>
          <w:sz w:val="24"/>
        </w:rPr>
      </w:pPr>
      <w:r>
        <w:rPr>
          <w:rFonts w:ascii="Arial" w:hAnsi="Arial" w:cs="Arial"/>
          <w:sz w:val="24"/>
        </w:rPr>
        <w:t>Las estrategias institucionales de implementación y gestión del Área Marina de Pesca Responsable Paquera – Tambor desde un análisis de la planificación local.</w:t>
      </w:r>
    </w:p>
    <w:p w:rsidR="00477601" w:rsidRPr="00694AC7" w:rsidRDefault="00477601" w:rsidP="00477601">
      <w:pPr>
        <w:pStyle w:val="Ttulo2"/>
        <w:numPr>
          <w:ilvl w:val="1"/>
          <w:numId w:val="10"/>
        </w:numPr>
        <w:spacing w:before="200" w:line="480" w:lineRule="auto"/>
        <w:rPr>
          <w:rFonts w:ascii="Arial" w:hAnsi="Arial" w:cs="Arial"/>
          <w:b/>
          <w:color w:val="00000A"/>
        </w:rPr>
      </w:pPr>
      <w:bookmarkStart w:id="15" w:name="_Toc522609756"/>
      <w:bookmarkStart w:id="16" w:name="_Toc522610229"/>
      <w:bookmarkStart w:id="17" w:name="_Toc49628437"/>
      <w:bookmarkStart w:id="18" w:name="_Toc50906689"/>
      <w:bookmarkEnd w:id="15"/>
      <w:bookmarkEnd w:id="16"/>
      <w:bookmarkEnd w:id="17"/>
      <w:r w:rsidRPr="00694AC7">
        <w:rPr>
          <w:rFonts w:ascii="Arial" w:hAnsi="Arial" w:cs="Arial"/>
          <w:b/>
          <w:color w:val="00000A"/>
        </w:rPr>
        <w:t>Planteamiento del Problema y Objeto de Estudio</w:t>
      </w:r>
      <w:bookmarkEnd w:id="18"/>
    </w:p>
    <w:p w:rsidR="00477601" w:rsidRDefault="00477601" w:rsidP="00477601">
      <w:pPr>
        <w:spacing w:line="360" w:lineRule="auto"/>
        <w:ind w:firstLine="708"/>
        <w:jc w:val="both"/>
        <w:rPr>
          <w:rFonts w:ascii="Arial" w:hAnsi="Arial" w:cs="Arial"/>
          <w:sz w:val="24"/>
        </w:rPr>
      </w:pPr>
      <w:r>
        <w:rPr>
          <w:rFonts w:ascii="Arial" w:hAnsi="Arial" w:cs="Arial"/>
          <w:sz w:val="24"/>
        </w:rPr>
        <w:t>El problema de investigación de este estudio se centra en las políticas públicas pesqueras de Costa Rica, específicamente en el proyecto del AMPR en las comunidades de Tambor y Paquera del Golfo de Nicoya.</w:t>
      </w:r>
    </w:p>
    <w:p w:rsidR="00477601" w:rsidRDefault="00477601" w:rsidP="00477601">
      <w:pPr>
        <w:spacing w:line="360" w:lineRule="auto"/>
        <w:ind w:firstLine="708"/>
        <w:jc w:val="both"/>
        <w:rPr>
          <w:rFonts w:ascii="Arial" w:hAnsi="Arial" w:cs="Arial"/>
          <w:sz w:val="24"/>
        </w:rPr>
      </w:pPr>
      <w:r>
        <w:rPr>
          <w:rFonts w:ascii="Arial" w:hAnsi="Arial" w:cs="Arial"/>
          <w:sz w:val="24"/>
        </w:rPr>
        <w:t>El presente apartado tiene como objetivo central; contextualizar y problematizar la situación y las iniciativas desarrolladas en Paquera y Tambor sobre la pesca responsable. A partir de eso, se analiza de manera crítica el papel del Estado y las dinámicas de planificación y participación local en dichos procesos.</w:t>
      </w:r>
    </w:p>
    <w:p w:rsidR="00477601" w:rsidRDefault="00477601" w:rsidP="00477601">
      <w:pPr>
        <w:spacing w:line="360" w:lineRule="auto"/>
        <w:ind w:firstLine="708"/>
        <w:jc w:val="both"/>
        <w:rPr>
          <w:rFonts w:ascii="Arial" w:hAnsi="Arial" w:cs="Arial"/>
          <w:sz w:val="24"/>
        </w:rPr>
      </w:pPr>
      <w:r>
        <w:rPr>
          <w:rFonts w:ascii="Arial" w:hAnsi="Arial" w:cs="Arial"/>
          <w:sz w:val="24"/>
        </w:rPr>
        <w:t>Es importante mencionar que el presente estudio se enmarca dentro de una zona geográfica costera, por lo que se presentan características un tanto particulares, principalmente relacionadas a que son zonas periféricas donde no existe una presencia institucional importante y que, históricamente, han demostrado tener deficiencias en temas de cohesión social, abastecimiento de servicios básicos y desarrollo en general.</w:t>
      </w:r>
    </w:p>
    <w:p w:rsidR="00477601" w:rsidRDefault="00477601" w:rsidP="00477601">
      <w:pPr>
        <w:spacing w:line="360" w:lineRule="auto"/>
        <w:ind w:firstLine="708"/>
        <w:jc w:val="both"/>
        <w:rPr>
          <w:rFonts w:ascii="Arial" w:hAnsi="Arial" w:cs="Arial"/>
          <w:sz w:val="24"/>
        </w:rPr>
      </w:pPr>
      <w:r>
        <w:rPr>
          <w:rFonts w:ascii="Arial" w:hAnsi="Arial" w:cs="Arial"/>
          <w:sz w:val="24"/>
        </w:rPr>
        <w:t>La desigualdad que presentan algunas zonas periféricas del país, incluyendo las comunidades costeras acá analizadas, se puede analizar desde diversas perspectivas y una de ellas es a través de la relación entre los ingresos y su distribución; es evidente que la mayor riqueza del país se concentra en el valle central y en las cabeceras de las principales ciudades del país, desplazando y/o excluyendo a comunidades que geográficamente se encuentran más alejadas (Montero, 2016, p. 90).</w:t>
      </w:r>
    </w:p>
    <w:p w:rsidR="00477601" w:rsidRDefault="00477601" w:rsidP="00477601">
      <w:pPr>
        <w:spacing w:line="360" w:lineRule="auto"/>
        <w:ind w:firstLine="708"/>
        <w:jc w:val="both"/>
        <w:rPr>
          <w:rFonts w:ascii="Arial" w:hAnsi="Arial" w:cs="Arial"/>
          <w:sz w:val="24"/>
        </w:rPr>
      </w:pPr>
      <w:r>
        <w:rPr>
          <w:rFonts w:ascii="Arial" w:hAnsi="Arial" w:cs="Arial"/>
          <w:sz w:val="24"/>
        </w:rPr>
        <w:lastRenderedPageBreak/>
        <w:t xml:space="preserve">El coeficiente de Gini es un indicador que se utiliza para medir la desigualdad de las personas en la sociedad, su valor varía entre 0 y 1, cuando este se acerca a 1 muestra que existe una mayor desigualdad o concentración de la riqueza. Según datos del INEC para el año 2017, el coeficiente de Gini de Costa Rica fue de 0.51, respondiendo así a un intermedio entre la distribución de los ingresos, lo que lo coloca en un panorama no tan desfavorable en cuanto a la medición macro de la situación del país sobre la distribución del ingreso. </w:t>
      </w:r>
    </w:p>
    <w:p w:rsidR="00477601" w:rsidRDefault="00477601" w:rsidP="00477601">
      <w:pPr>
        <w:spacing w:line="360" w:lineRule="auto"/>
        <w:ind w:firstLine="708"/>
        <w:jc w:val="both"/>
        <w:rPr>
          <w:rFonts w:ascii="Arial" w:hAnsi="Arial" w:cs="Arial"/>
          <w:sz w:val="24"/>
        </w:rPr>
      </w:pPr>
      <w:r>
        <w:rPr>
          <w:rFonts w:ascii="Arial" w:hAnsi="Arial" w:cs="Arial"/>
          <w:sz w:val="24"/>
        </w:rPr>
        <w:t>Sin embargo, y desde otra perspectiva de análisis, se considera otro medidor que es el índice de desarrollo social (IDS) realizado por el MIDEPLAN, el cual mantiene una metodología bastante integral en cuanto a su cálculo, ya que analiza cada cantón y distrito del país según las condiciones de cinco dimensiones específicas: económica, participación social, salud, educativa y seguridad. Los distritos de Paquera y Cóbano –donde se ubica el poblado que abarca el AMPR- se colocan dentro de la categoría de comunidades con un nivel bajo de desarrollo relativo; Cóbano se ubica en la posición 313 y Paquera en la 320, de un total de 483 distritos.</w:t>
      </w:r>
    </w:p>
    <w:p w:rsidR="00477601" w:rsidRDefault="00477601" w:rsidP="00477601">
      <w:pPr>
        <w:spacing w:line="360" w:lineRule="auto"/>
        <w:ind w:firstLine="708"/>
        <w:jc w:val="both"/>
        <w:rPr>
          <w:rFonts w:ascii="Arial" w:hAnsi="Arial" w:cs="Arial"/>
          <w:sz w:val="24"/>
        </w:rPr>
      </w:pPr>
      <w:r>
        <w:rPr>
          <w:rFonts w:ascii="Arial" w:hAnsi="Arial" w:cs="Arial"/>
          <w:sz w:val="24"/>
        </w:rPr>
        <w:t xml:space="preserve">Según lo anterior, a nivel macro pueden existir indicadores que reflejan panoramas propicios para el país, no obstante, al segregarlos por cantones y específicamente en distritos, es posible observar como existe una gran brecha entre el desarrollo de las comunidades urbanas y las rurales, claramente esto responde a las políticas públicas de distribución de las riquezas. </w:t>
      </w:r>
    </w:p>
    <w:p w:rsidR="00477601" w:rsidRDefault="00477601" w:rsidP="00477601">
      <w:pPr>
        <w:spacing w:line="360" w:lineRule="auto"/>
        <w:ind w:firstLine="708"/>
        <w:jc w:val="both"/>
      </w:pPr>
      <w:r>
        <w:rPr>
          <w:rFonts w:ascii="Arial" w:hAnsi="Arial" w:cs="Arial"/>
          <w:sz w:val="24"/>
        </w:rPr>
        <w:t xml:space="preserve">Desde una perspectiva estatal, la actividad de la pesca se puede problematizar desde la gobernanza; existen paradigmas que abogan por una triangulación en cuanto a la acción política-institucional. El contexto de la actual sociedad postmoderna, altamente diversa, dinámica y compleja requiere dar respuestas más plurales y que impliquen a una más amplia gama de actores, desde el Estado a la sociedad civil. Así, se produce un reparto de responsabilidades entre el sector público (Estado), el sector privado (mercado) y el tercer sector (sociedad civil) (Martinelli, 2004). Partiendo de lo anterior, es innegable que muchas prácticas políticas en el tema de pesca del país no integran a la diversidad de actores de la </w:t>
      </w:r>
      <w:r>
        <w:rPr>
          <w:rFonts w:ascii="Arial" w:hAnsi="Arial" w:cs="Arial"/>
          <w:sz w:val="24"/>
        </w:rPr>
        <w:lastRenderedPageBreak/>
        <w:t xml:space="preserve">sociedad, sino que muchas veces el aparato estatal desarrolla políticas, programas y proyectos de manera jerarquizada o centralizada. </w:t>
      </w:r>
    </w:p>
    <w:p w:rsidR="00477601" w:rsidRDefault="00477601" w:rsidP="00477601">
      <w:pPr>
        <w:spacing w:line="360" w:lineRule="auto"/>
        <w:ind w:firstLine="708"/>
        <w:jc w:val="both"/>
        <w:rPr>
          <w:rFonts w:ascii="Arial" w:hAnsi="Arial" w:cs="Arial"/>
          <w:sz w:val="24"/>
        </w:rPr>
      </w:pPr>
      <w:r>
        <w:rPr>
          <w:rFonts w:ascii="Arial" w:hAnsi="Arial" w:cs="Arial"/>
          <w:sz w:val="24"/>
        </w:rPr>
        <w:t xml:space="preserve">Según Chávez (2008), desde la década de 1980, algunos estudios y registros revelaron que los recursos pesqueros costarricenses estaban comenzando a ser sobreexplotados; este problema empeoró con el pasar de los años, ya que no existía una verdadera promoción gubernamental de incentivos que mejoraran el desarrollo del sector pesquero, principalmente en la pesca industrial. Ha aumentado el uso de artes de pesca ilegales; lo que conlleva a que existan conflictos entre pescadores por la creciente escasez de recursos y la poca sostenibilidad ambiental (p. 10). </w:t>
      </w:r>
    </w:p>
    <w:p w:rsidR="00477601" w:rsidRDefault="00477601" w:rsidP="00477601">
      <w:pPr>
        <w:spacing w:line="360" w:lineRule="auto"/>
        <w:ind w:firstLine="708"/>
        <w:jc w:val="both"/>
        <w:rPr>
          <w:rFonts w:ascii="Arial" w:hAnsi="Arial" w:cs="Arial"/>
          <w:sz w:val="24"/>
        </w:rPr>
      </w:pPr>
      <w:r>
        <w:rPr>
          <w:rFonts w:ascii="Arial" w:hAnsi="Arial" w:cs="Arial"/>
          <w:sz w:val="24"/>
        </w:rPr>
        <w:t xml:space="preserve">Las AMPR han sido instrumentos ejecutados en diversas comunidades por el Estado costarricense para revertir en cierta medida las problemáticas sociales, económicas y ambientales que ha presentado el sector pesquero desde hace varios años, sin embargo, son muchos los factores que se deben de considerar a la hora de implementar estos proyectos, tales como la sensibilidad ambiental, la participación de las comunidades en las tomas de decisiones y la gestión, un adecuado monitoreo y evaluación sobre la ejecución, y sobre todo, que exista  verdadera confianza y armonía entre los actores involucrados. </w:t>
      </w:r>
    </w:p>
    <w:p w:rsidR="00477601" w:rsidRDefault="00477601" w:rsidP="00477601">
      <w:pPr>
        <w:spacing w:line="360" w:lineRule="auto"/>
        <w:ind w:firstLine="708"/>
        <w:jc w:val="both"/>
        <w:rPr>
          <w:rFonts w:ascii="Arial" w:hAnsi="Arial" w:cs="Arial"/>
          <w:sz w:val="24"/>
        </w:rPr>
      </w:pPr>
      <w:r>
        <w:rPr>
          <w:rFonts w:ascii="Arial" w:hAnsi="Arial" w:cs="Arial"/>
          <w:sz w:val="24"/>
        </w:rPr>
        <w:t xml:space="preserve">Ahora bien, es relevante contextualizar algunos de los principales problemas que presentan las comunidades analizadas en este estudio, para ello se presenta a continuación un diagnostico comunitario resumido tanto de Paquera como de Tambor. </w:t>
      </w:r>
    </w:p>
    <w:p w:rsidR="00477601" w:rsidRDefault="00477601" w:rsidP="00477601">
      <w:pPr>
        <w:spacing w:line="360" w:lineRule="auto"/>
        <w:ind w:firstLine="708"/>
        <w:jc w:val="both"/>
        <w:rPr>
          <w:rFonts w:ascii="Arial" w:hAnsi="Arial" w:cs="Arial"/>
          <w:sz w:val="24"/>
        </w:rPr>
      </w:pPr>
      <w:r>
        <w:rPr>
          <w:rFonts w:ascii="Arial" w:hAnsi="Arial" w:cs="Arial"/>
          <w:sz w:val="24"/>
        </w:rPr>
        <w:t xml:space="preserve">Paquera es un distrito perteneciente al cantón de Puntarenas en el extremo sureste de la Península de Nicoya, posee un área de 337.88 km2 y 77.2 km de costa. Posee un total de 2.686 habitantes de los cuales 1.315 son mujeres y 1.374 son hombres (INEC, 2017). </w:t>
      </w:r>
    </w:p>
    <w:p w:rsidR="00477601" w:rsidRDefault="00477601" w:rsidP="00477601">
      <w:pPr>
        <w:spacing w:line="360" w:lineRule="auto"/>
        <w:ind w:firstLine="708"/>
        <w:jc w:val="both"/>
      </w:pPr>
      <w:r>
        <w:rPr>
          <w:rFonts w:ascii="Arial" w:hAnsi="Arial" w:cs="Arial"/>
          <w:sz w:val="24"/>
          <w:szCs w:val="24"/>
        </w:rPr>
        <w:t xml:space="preserve">Existen problemas críticos respecto a los servicios básicos, tres cuartas partes de las viviendas carecen de agua por tubería o ninguna recibe agua por acueducto, mientras que el 10% carece de electricidad y de un sanitario apropiado. </w:t>
      </w:r>
      <w:r>
        <w:rPr>
          <w:rFonts w:ascii="Arial" w:hAnsi="Arial" w:cs="Arial"/>
          <w:sz w:val="24"/>
          <w:szCs w:val="24"/>
        </w:rPr>
        <w:lastRenderedPageBreak/>
        <w:t>Por otra parte, las principales actividades económicas son la pesca y el turismo, también la ganadería, la agricultura y, en menor porcentaje, la industria.</w:t>
      </w:r>
    </w:p>
    <w:p w:rsidR="00477601" w:rsidRDefault="00477601" w:rsidP="00477601">
      <w:pPr>
        <w:spacing w:line="360" w:lineRule="auto"/>
        <w:ind w:firstLine="708"/>
        <w:jc w:val="both"/>
        <w:rPr>
          <w:rFonts w:ascii="Arial" w:hAnsi="Arial" w:cs="Arial"/>
          <w:sz w:val="24"/>
          <w:szCs w:val="23"/>
        </w:rPr>
      </w:pPr>
      <w:r>
        <w:rPr>
          <w:rFonts w:ascii="Arial" w:hAnsi="Arial" w:cs="Arial"/>
          <w:sz w:val="24"/>
          <w:szCs w:val="23"/>
        </w:rPr>
        <w:t>Cabe destacar que la pesca es la actividad más sobresaliente en los pobladores y muchos de ellos deben ir hasta el Puerto de Puntarenas a vender sus productos, lastimosamente, el ingreso es bajo y solamente les ayuda a subsistir, debido a las trabas entre intermediarios y porque no se asigna un precio justo al pescado, por ende, es más ardua la labor que realizan estas personas en altamar que el dinero que reciben.</w:t>
      </w:r>
    </w:p>
    <w:p w:rsidR="00477601" w:rsidRDefault="00477601" w:rsidP="00477601">
      <w:pPr>
        <w:spacing w:line="360" w:lineRule="auto"/>
        <w:ind w:firstLine="708"/>
        <w:jc w:val="both"/>
        <w:rPr>
          <w:rFonts w:ascii="Arial" w:hAnsi="Arial" w:cs="Arial"/>
          <w:sz w:val="24"/>
        </w:rPr>
      </w:pPr>
      <w:r>
        <w:rPr>
          <w:rFonts w:ascii="Arial" w:hAnsi="Arial" w:cs="Arial"/>
          <w:sz w:val="24"/>
        </w:rPr>
        <w:t xml:space="preserve">Por otra parte, Tambor se ubica en el cantón Central de Puntarenas, viven un total de 250 personas, de las cuales 142 son hombres y 108 son mujeres. Solo 86 personas trabajan, 41 estudian y 48 se dedican a actividades u oficios domésticos (mujeres), el resto están desocupados, pensionados o jubilados. Del total de personas, 35 no poseen ningún tipo de seguro. (EPPS, 2016, p. 18-19). </w:t>
      </w:r>
    </w:p>
    <w:p w:rsidR="00477601" w:rsidRDefault="00477601" w:rsidP="00477601">
      <w:pPr>
        <w:spacing w:line="360" w:lineRule="auto"/>
        <w:ind w:firstLine="708"/>
        <w:jc w:val="both"/>
        <w:rPr>
          <w:rFonts w:ascii="Arial" w:hAnsi="Arial" w:cs="Arial"/>
          <w:sz w:val="24"/>
        </w:rPr>
      </w:pPr>
      <w:r>
        <w:rPr>
          <w:rFonts w:ascii="Arial" w:hAnsi="Arial" w:cs="Arial"/>
          <w:sz w:val="24"/>
        </w:rPr>
        <w:t xml:space="preserve">Las principales actividades económicas son la pesca y el turismo. En cuanto a la presencia Estatal, Tambor se rige a partir del Consejo Municipal del Distrito de Cóbano. Dentro de las principales organizaciones se encuentran: la Asociación de Desarrollo de Tambor, la Cámara de Turismo de Tambor, el Comité Bandera Azul, el Comité de Salud, el Comité de Cementerio, el Grupo de Mujeres de Playa Tambor y la Asociación de Pescadores de Playa Tambor. </w:t>
      </w:r>
    </w:p>
    <w:p w:rsidR="00477601" w:rsidRDefault="00477601" w:rsidP="00477601">
      <w:pPr>
        <w:spacing w:line="360" w:lineRule="auto"/>
        <w:ind w:firstLine="708"/>
        <w:jc w:val="both"/>
        <w:rPr>
          <w:rFonts w:ascii="Arial" w:hAnsi="Arial" w:cs="Arial"/>
          <w:sz w:val="24"/>
        </w:rPr>
      </w:pPr>
      <w:r>
        <w:rPr>
          <w:rFonts w:ascii="Arial" w:hAnsi="Arial" w:cs="Arial"/>
          <w:sz w:val="24"/>
        </w:rPr>
        <w:t xml:space="preserve">Los problemas diagnosticados por la Escuela de PPS en la comunidad de Tambor son: </w:t>
      </w:r>
    </w:p>
    <w:p w:rsidR="00477601" w:rsidRDefault="00477601" w:rsidP="00477601">
      <w:pPr>
        <w:pStyle w:val="Prrafodelista"/>
        <w:numPr>
          <w:ilvl w:val="0"/>
          <w:numId w:val="6"/>
        </w:numPr>
        <w:spacing w:line="360" w:lineRule="auto"/>
        <w:jc w:val="both"/>
        <w:rPr>
          <w:rFonts w:ascii="Arial" w:hAnsi="Arial" w:cs="Arial"/>
          <w:sz w:val="24"/>
        </w:rPr>
      </w:pPr>
      <w:r>
        <w:rPr>
          <w:rFonts w:ascii="Arial" w:hAnsi="Arial" w:cs="Arial"/>
          <w:sz w:val="24"/>
        </w:rPr>
        <w:t xml:space="preserve">Falta de cohesión comunal. </w:t>
      </w:r>
    </w:p>
    <w:p w:rsidR="00477601" w:rsidRDefault="00477601" w:rsidP="00477601">
      <w:pPr>
        <w:pStyle w:val="Prrafodelista"/>
        <w:numPr>
          <w:ilvl w:val="0"/>
          <w:numId w:val="6"/>
        </w:numPr>
        <w:spacing w:line="360" w:lineRule="auto"/>
        <w:jc w:val="both"/>
        <w:rPr>
          <w:rFonts w:ascii="Arial" w:hAnsi="Arial" w:cs="Arial"/>
          <w:sz w:val="24"/>
        </w:rPr>
      </w:pPr>
      <w:r>
        <w:rPr>
          <w:rFonts w:ascii="Arial" w:hAnsi="Arial" w:cs="Arial"/>
          <w:sz w:val="24"/>
        </w:rPr>
        <w:t>Poca presencia estatal en cuanto a proyectos de iniciativa comunal.</w:t>
      </w:r>
    </w:p>
    <w:p w:rsidR="00477601" w:rsidRDefault="00477601" w:rsidP="00477601">
      <w:pPr>
        <w:spacing w:line="360" w:lineRule="auto"/>
        <w:ind w:firstLine="708"/>
        <w:jc w:val="both"/>
        <w:rPr>
          <w:rFonts w:ascii="Arial" w:hAnsi="Arial" w:cs="Arial"/>
          <w:sz w:val="24"/>
        </w:rPr>
      </w:pPr>
      <w:r>
        <w:rPr>
          <w:rFonts w:ascii="Arial" w:hAnsi="Arial" w:cs="Arial"/>
          <w:sz w:val="24"/>
        </w:rPr>
        <w:t xml:space="preserve">En la zona de Playa Tambor, también se desarrolló por parte del INCOPESCA el proyecto de AMPR, impulsada principalmente por el propio interés de la comunidad. </w:t>
      </w:r>
    </w:p>
    <w:p w:rsidR="00477601" w:rsidRDefault="00477601" w:rsidP="00477601">
      <w:pPr>
        <w:spacing w:line="360" w:lineRule="auto"/>
        <w:ind w:firstLine="708"/>
        <w:jc w:val="both"/>
      </w:pPr>
      <w:r>
        <w:rPr>
          <w:rFonts w:ascii="Arial" w:hAnsi="Arial" w:cs="Arial"/>
          <w:sz w:val="24"/>
        </w:rPr>
        <w:t xml:space="preserve">A partir de lo anterior, la limitación de este estudio se centrará principalmente en el rol que desempeña el Estado costarricense en zonas costeras, bajo un carácter crítico y transformador de la dinámica social y económica de estas </w:t>
      </w:r>
      <w:r>
        <w:rPr>
          <w:rFonts w:ascii="Arial" w:hAnsi="Arial" w:cs="Arial"/>
          <w:sz w:val="24"/>
        </w:rPr>
        <w:lastRenderedPageBreak/>
        <w:t xml:space="preserve">localidades. Este proyecto pretende reflejar una realidad macro a partir de ejemplos específicos, en donde se busca combinar aspectos de la participación local y el desarrollo endógeno relacionados con el papel del Estado en este tipo de dinámicas sociales y económicas en zonas costeras. En otras palabras, se busca crear un nuevo concepto o una nueva concepción de desarrollo local, mezclando diversas perspectivas. Se aterriza la problematización de esta investigación en las siguientes preguntas: </w:t>
      </w:r>
    </w:p>
    <w:p w:rsidR="00477601" w:rsidRDefault="00477601" w:rsidP="00477601">
      <w:pPr>
        <w:pStyle w:val="Prrafodelista"/>
        <w:numPr>
          <w:ilvl w:val="0"/>
          <w:numId w:val="6"/>
        </w:numPr>
        <w:spacing w:line="360" w:lineRule="auto"/>
        <w:jc w:val="both"/>
        <w:rPr>
          <w:rFonts w:ascii="Arial" w:hAnsi="Arial" w:cs="Arial"/>
          <w:sz w:val="24"/>
        </w:rPr>
      </w:pPr>
      <w:r>
        <w:rPr>
          <w:rFonts w:ascii="Arial" w:hAnsi="Arial" w:cs="Arial"/>
          <w:sz w:val="24"/>
        </w:rPr>
        <w:t>¿Cómo se han desarrollado las estrategias de implementación y gestión institucionales con relación al área marina de pesca responsable Paquera – Tambor?</w:t>
      </w:r>
    </w:p>
    <w:p w:rsidR="00477601" w:rsidRDefault="00477601" w:rsidP="00477601">
      <w:pPr>
        <w:pStyle w:val="Prrafodelista"/>
        <w:numPr>
          <w:ilvl w:val="0"/>
          <w:numId w:val="6"/>
        </w:numPr>
        <w:spacing w:line="360" w:lineRule="auto"/>
        <w:jc w:val="both"/>
        <w:rPr>
          <w:rFonts w:ascii="Arial" w:hAnsi="Arial" w:cs="Arial"/>
          <w:sz w:val="24"/>
        </w:rPr>
      </w:pPr>
      <w:r>
        <w:rPr>
          <w:rFonts w:ascii="Arial" w:hAnsi="Arial" w:cs="Arial"/>
          <w:sz w:val="24"/>
        </w:rPr>
        <w:t xml:space="preserve">¿Qué implicaciones han tenido dichas estrategias con relación a la planificación llevada a cabo por los actores locales? </w:t>
      </w:r>
    </w:p>
    <w:p w:rsidR="00477601" w:rsidRPr="00694AC7" w:rsidRDefault="00477601" w:rsidP="00477601">
      <w:pPr>
        <w:pStyle w:val="Ttulo2"/>
        <w:numPr>
          <w:ilvl w:val="1"/>
          <w:numId w:val="10"/>
        </w:numPr>
        <w:spacing w:before="200" w:line="480" w:lineRule="auto"/>
        <w:rPr>
          <w:b/>
        </w:rPr>
      </w:pPr>
      <w:bookmarkStart w:id="19" w:name="_Toc49628438"/>
      <w:bookmarkStart w:id="20" w:name="_Toc50906690"/>
      <w:r w:rsidRPr="00694AC7">
        <w:rPr>
          <w:rFonts w:ascii="Arial" w:hAnsi="Arial" w:cs="Arial"/>
          <w:b/>
          <w:color w:val="00000A"/>
        </w:rPr>
        <w:t>Objeto de Estudio</w:t>
      </w:r>
      <w:bookmarkEnd w:id="19"/>
      <w:bookmarkEnd w:id="20"/>
      <w:r w:rsidRPr="00694AC7">
        <w:rPr>
          <w:rFonts w:ascii="Arial" w:hAnsi="Arial" w:cs="Arial"/>
          <w:b/>
          <w:color w:val="00000A"/>
        </w:rPr>
        <w:t xml:space="preserve"> </w:t>
      </w:r>
    </w:p>
    <w:p w:rsidR="00477601" w:rsidRDefault="00477601" w:rsidP="00477601">
      <w:pPr>
        <w:spacing w:line="360" w:lineRule="auto"/>
        <w:ind w:firstLine="708"/>
        <w:jc w:val="both"/>
        <w:rPr>
          <w:rFonts w:ascii="Arial" w:hAnsi="Arial" w:cs="Arial"/>
          <w:sz w:val="24"/>
        </w:rPr>
      </w:pPr>
      <w:r>
        <w:rPr>
          <w:rFonts w:ascii="Arial" w:hAnsi="Arial" w:cs="Arial"/>
          <w:sz w:val="24"/>
        </w:rPr>
        <w:t>El objeto de estudio de la presente investigación es un análisis de la relación entre las estrategias de implementación y gestión institucional con la planificación local en el área marina de pesca responsable Paquera – Tambor en el Golfo de Nicoya, del 2014 a la actualidad.</w:t>
      </w:r>
    </w:p>
    <w:p w:rsidR="00477601" w:rsidRDefault="00477601" w:rsidP="00477601">
      <w:pPr>
        <w:spacing w:line="360" w:lineRule="auto"/>
        <w:ind w:firstLine="708"/>
        <w:jc w:val="both"/>
        <w:rPr>
          <w:rFonts w:ascii="Arial" w:hAnsi="Arial" w:cs="Arial"/>
          <w:sz w:val="24"/>
        </w:rPr>
      </w:pPr>
      <w:r>
        <w:rPr>
          <w:rFonts w:ascii="Arial" w:hAnsi="Arial" w:cs="Arial"/>
          <w:sz w:val="24"/>
        </w:rPr>
        <w:t xml:space="preserve">La delimitación teórica del presente objeto de estudio se relaciona principalmente con las categorías empíricas que ofrecen un previo acercamiento con los conceptos y teorías que sostienen este estudio. Esta delimitación se logra resumir en las significaciones: acción comunitaria, planificación local, políticas públicas, participación social, gestión y administración pública. </w:t>
      </w:r>
    </w:p>
    <w:p w:rsidR="00477601" w:rsidRDefault="00477601" w:rsidP="00477601">
      <w:pPr>
        <w:spacing w:line="360" w:lineRule="auto"/>
        <w:ind w:firstLine="708"/>
        <w:jc w:val="both"/>
      </w:pPr>
      <w:r>
        <w:rPr>
          <w:rFonts w:ascii="Arial" w:hAnsi="Arial" w:cs="Arial"/>
          <w:sz w:val="24"/>
        </w:rPr>
        <w:t xml:space="preserve">Por otro lado, la metodología de esta investigación se delimita a un estudio de carácter cualitativo, con un enfoque epistemológico interpretativo, ya que se posee como objetivo conocer, entender e interpretar los significados de las diversas realidades. En otras palabras, este estudio se resume como una investigación </w:t>
      </w:r>
      <w:r>
        <w:rPr>
          <w:rFonts w:ascii="Arial" w:hAnsi="Arial" w:cs="Arial"/>
          <w:i/>
          <w:sz w:val="24"/>
        </w:rPr>
        <w:t>analítica-descriptiva</w:t>
      </w:r>
      <w:r>
        <w:rPr>
          <w:rFonts w:ascii="Arial" w:hAnsi="Arial" w:cs="Arial"/>
          <w:sz w:val="24"/>
        </w:rPr>
        <w:t>, donde su objetivo es explicar y describir el objeto de estudio y, a partir de esas interpretaciones, analizar y obtener conclusiones.</w:t>
      </w:r>
    </w:p>
    <w:p w:rsidR="00477601" w:rsidRPr="00694AC7" w:rsidRDefault="00477601" w:rsidP="00477601">
      <w:pPr>
        <w:pStyle w:val="Ttulo2"/>
        <w:numPr>
          <w:ilvl w:val="1"/>
          <w:numId w:val="10"/>
        </w:numPr>
        <w:spacing w:before="200" w:line="480" w:lineRule="auto"/>
        <w:rPr>
          <w:rFonts w:ascii="Arial" w:hAnsi="Arial" w:cs="Arial"/>
          <w:b/>
          <w:color w:val="00000A"/>
        </w:rPr>
      </w:pPr>
      <w:bookmarkStart w:id="21" w:name="_Toc49628439"/>
      <w:bookmarkStart w:id="22" w:name="_Toc50906691"/>
      <w:bookmarkEnd w:id="21"/>
      <w:r w:rsidRPr="00694AC7">
        <w:rPr>
          <w:rFonts w:ascii="Arial" w:hAnsi="Arial" w:cs="Arial"/>
          <w:b/>
          <w:color w:val="00000A"/>
        </w:rPr>
        <w:lastRenderedPageBreak/>
        <w:t>Justificación</w:t>
      </w:r>
      <w:bookmarkEnd w:id="22"/>
    </w:p>
    <w:p w:rsidR="00477601" w:rsidRDefault="00477601" w:rsidP="00477601">
      <w:pPr>
        <w:spacing w:line="360" w:lineRule="auto"/>
        <w:ind w:firstLine="708"/>
        <w:jc w:val="both"/>
        <w:rPr>
          <w:rFonts w:ascii="Arial" w:eastAsia="Times New Roman" w:hAnsi="Arial" w:cs="Arial"/>
          <w:sz w:val="24"/>
          <w:szCs w:val="24"/>
        </w:rPr>
      </w:pPr>
      <w:r>
        <w:rPr>
          <w:rFonts w:ascii="Arial" w:eastAsia="Times New Roman" w:hAnsi="Arial" w:cs="Arial"/>
          <w:sz w:val="24"/>
          <w:szCs w:val="24"/>
        </w:rPr>
        <w:t xml:space="preserve">El estudio del papel y la presencia de las instituciones estatales en procesos de desarrollo local-costero y su vínculo con la planificación en lo referente a los actores locales, adquiere relevancia en la coyuntura en la que se encuentra el país actualmente, la cual presenta grandes retos y desafíos en cuanto a la gestión e implementación de políticas de desarrollo en estas zonas. </w:t>
      </w:r>
    </w:p>
    <w:p w:rsidR="00477601" w:rsidRDefault="00477601" w:rsidP="00477601">
      <w:pPr>
        <w:spacing w:line="360" w:lineRule="auto"/>
        <w:ind w:firstLine="708"/>
        <w:jc w:val="both"/>
        <w:rPr>
          <w:rFonts w:ascii="Arial" w:eastAsia="Times New Roman" w:hAnsi="Arial" w:cs="Arial"/>
          <w:sz w:val="24"/>
          <w:szCs w:val="24"/>
        </w:rPr>
      </w:pPr>
      <w:r>
        <w:rPr>
          <w:rFonts w:ascii="Arial" w:eastAsia="Times New Roman" w:hAnsi="Arial" w:cs="Arial"/>
          <w:sz w:val="24"/>
          <w:szCs w:val="24"/>
        </w:rPr>
        <w:t>Este trabajo mantiene como hilo conductor las tesis vinculantes entre la planificación y la participación de los actores locales en los procesos de desarrollo de las comunidades costeras de Paquera y Tambor.</w:t>
      </w:r>
    </w:p>
    <w:p w:rsidR="00477601" w:rsidRDefault="00477601" w:rsidP="00477601">
      <w:pPr>
        <w:spacing w:line="360" w:lineRule="auto"/>
        <w:ind w:firstLine="708"/>
        <w:jc w:val="both"/>
        <w:rPr>
          <w:rFonts w:ascii="Arial" w:eastAsia="Times New Roman" w:hAnsi="Arial" w:cs="Arial"/>
          <w:sz w:val="24"/>
          <w:szCs w:val="24"/>
        </w:rPr>
      </w:pPr>
      <w:r>
        <w:rPr>
          <w:rFonts w:ascii="Arial" w:eastAsia="Times New Roman" w:hAnsi="Arial" w:cs="Arial"/>
          <w:sz w:val="24"/>
          <w:szCs w:val="24"/>
        </w:rPr>
        <w:t>Ziccardi (2001) indica:</w:t>
      </w:r>
    </w:p>
    <w:p w:rsidR="00477601" w:rsidRDefault="00477601" w:rsidP="00477601">
      <w:pPr>
        <w:spacing w:line="360" w:lineRule="auto"/>
        <w:ind w:left="708" w:right="49"/>
        <w:jc w:val="both"/>
        <w:rPr>
          <w:rFonts w:ascii="Arial" w:eastAsia="Times New Roman" w:hAnsi="Arial" w:cs="Arial"/>
          <w:sz w:val="24"/>
          <w:szCs w:val="24"/>
        </w:rPr>
      </w:pPr>
      <w:r>
        <w:rPr>
          <w:rFonts w:ascii="Arial" w:eastAsia="Times New Roman" w:hAnsi="Arial" w:cs="Arial"/>
          <w:sz w:val="24"/>
          <w:szCs w:val="24"/>
        </w:rPr>
        <w:t xml:space="preserve">Los ciudadanos tienen que intervenir en las actividades públicas representando intereses particulares (no individuales)... y para una participación eficaz, deben generarse compromisos y condiciones institucionales donde exista el convencimiento de que la deliberación pública, la interacción social, la aceptación y el respeto por el pluralismo ideológico son prácticas y valores positivos y esenciales para vivir en democracia, que pueden y deben ejercerse en primer término en lo cotidiano y en el ámbito local, donde se da mayor proximidad entre autoridades y ciudadanos. (p. 7). </w:t>
      </w:r>
    </w:p>
    <w:p w:rsidR="00477601" w:rsidRDefault="00477601" w:rsidP="00477601">
      <w:pPr>
        <w:spacing w:line="360" w:lineRule="auto"/>
        <w:ind w:firstLine="708"/>
        <w:jc w:val="both"/>
      </w:pPr>
      <w:r>
        <w:rPr>
          <w:rFonts w:ascii="Arial" w:eastAsia="Times New Roman" w:hAnsi="Arial" w:cs="Arial"/>
          <w:sz w:val="24"/>
          <w:szCs w:val="24"/>
        </w:rPr>
        <w:t>Lo que indica esta autora es vital, y ahí está el valor de realizar una investigación donde se desarrolle de manera crítica el papel que actualmente realiza el aparato estatal y su institucionalidad  en las  diversas localidades, esto porque hay una verdadera importancia en comprender cómo en comunidades rurales-costeras la planificación y la participación social se puede ver muy afectada por decisiones que ocurren en niveles más macro, muchas de las cuales están diseñadas para servir a un público meta sin entender la heterogeneidad de la población.</w:t>
      </w:r>
    </w:p>
    <w:p w:rsidR="00477601" w:rsidRDefault="00477601" w:rsidP="00477601">
      <w:pPr>
        <w:spacing w:line="360" w:lineRule="auto"/>
        <w:ind w:firstLine="708"/>
        <w:jc w:val="both"/>
        <w:rPr>
          <w:rFonts w:ascii="Arial" w:eastAsia="Times New Roman" w:hAnsi="Arial" w:cs="Arial"/>
          <w:sz w:val="24"/>
          <w:szCs w:val="24"/>
        </w:rPr>
      </w:pPr>
      <w:r>
        <w:rPr>
          <w:rFonts w:ascii="Arial" w:eastAsia="Times New Roman" w:hAnsi="Arial" w:cs="Arial"/>
          <w:sz w:val="24"/>
          <w:szCs w:val="24"/>
        </w:rPr>
        <w:t xml:space="preserve">Existen diversos mecanismos locales basados en teorías que exponen que las personas pueden enriquecer sus propias comunidades como respuesta al déficit </w:t>
      </w:r>
      <w:r>
        <w:rPr>
          <w:rFonts w:ascii="Arial" w:eastAsia="Times New Roman" w:hAnsi="Arial" w:cs="Arial"/>
          <w:sz w:val="24"/>
          <w:szCs w:val="24"/>
        </w:rPr>
        <w:lastRenderedPageBreak/>
        <w:t xml:space="preserve">que presenta el gobierno en estos niveles. El conocimiento de estos nuevos paradigmas es una razón más que justifica dicho estudio, ya que ofrece dentro de la discusión académica alternativas que beneficiarían el desarrollo costero en Costa Rica. Como mencionó Ziccardi, el primer punto para fortalecer las democracias empieza desde lo local, es aquí donde las personas se hacen escuchar y donde tienen más relación con las autoridades. Sin embargo, la relación con estas instituciones también se ha visto debilitada, por lo que se torna necesario comprender los fenómenos que ocasionan dicho descontento de las comunidades hacia el Estado y su impacto en el desarrollo integral. </w:t>
      </w:r>
    </w:p>
    <w:p w:rsidR="00477601" w:rsidRDefault="00477601" w:rsidP="00477601">
      <w:pPr>
        <w:spacing w:line="360" w:lineRule="auto"/>
        <w:ind w:firstLine="708"/>
        <w:jc w:val="both"/>
        <w:rPr>
          <w:rFonts w:ascii="Arial" w:eastAsia="Times New Roman" w:hAnsi="Arial" w:cs="Arial"/>
          <w:sz w:val="24"/>
          <w:szCs w:val="24"/>
        </w:rPr>
      </w:pPr>
      <w:r>
        <w:rPr>
          <w:rFonts w:ascii="Arial" w:eastAsia="Times New Roman" w:hAnsi="Arial" w:cs="Arial"/>
          <w:sz w:val="24"/>
          <w:szCs w:val="24"/>
        </w:rPr>
        <w:t xml:space="preserve">Ahora bien, los casos de estudio acá presentados demuestran situaciones específicas, que logran explicar el comportamiento y la relación de las comunidades con el Estado y viceversa. La importancia de tomar estos casos de estudio está en que logran constatar teorías sobre la necesidad de establecer y abrir verdaderos canales de participación, fomentar y acuerpar iniciativas comunales y locales, considerar las realidades y condiciones específicas de cada lugar por parte del gobierno y sus instituciones. </w:t>
      </w:r>
    </w:p>
    <w:p w:rsidR="00477601" w:rsidRDefault="00477601" w:rsidP="00477601">
      <w:pPr>
        <w:spacing w:line="360" w:lineRule="auto"/>
        <w:ind w:firstLine="708"/>
        <w:jc w:val="both"/>
        <w:rPr>
          <w:rFonts w:ascii="Arial" w:eastAsia="Times New Roman" w:hAnsi="Arial" w:cs="Arial"/>
          <w:sz w:val="24"/>
          <w:szCs w:val="24"/>
        </w:rPr>
      </w:pPr>
      <w:r>
        <w:rPr>
          <w:rFonts w:ascii="Arial" w:eastAsia="Times New Roman" w:hAnsi="Arial" w:cs="Arial"/>
          <w:sz w:val="24"/>
          <w:szCs w:val="24"/>
        </w:rPr>
        <w:t xml:space="preserve">La pertinencia temática de esta investigación está en vislumbrar alternativas que comprendan las verdaderas necesidades de las comunidades, sus apreciaciones y sus consideraciones. Como lo menciona Granados, L (2009):  </w:t>
      </w:r>
    </w:p>
    <w:p w:rsidR="00477601" w:rsidRDefault="00477601" w:rsidP="00477601">
      <w:pPr>
        <w:spacing w:line="360" w:lineRule="auto"/>
        <w:ind w:left="708"/>
        <w:jc w:val="both"/>
        <w:rPr>
          <w:rFonts w:ascii="Arial" w:hAnsi="Arial" w:cs="Arial"/>
          <w:sz w:val="24"/>
        </w:rPr>
      </w:pPr>
      <w:r>
        <w:rPr>
          <w:rFonts w:ascii="Arial" w:hAnsi="Arial" w:cs="Arial"/>
          <w:sz w:val="24"/>
        </w:rPr>
        <w:t xml:space="preserve">Las expectativas y valores de un contexto, pueden no servir en otro y ser una fuente de fracasos. Cada localidad debe asumir la responsabilidad y la orientación del proceso de desarrollo y colaborar con el desarrollo de otras localidades. Debe reconocer las diferencias y contemplar la diversidad sociocultural. (p. 59). </w:t>
      </w:r>
    </w:p>
    <w:p w:rsidR="00477601" w:rsidRDefault="00477601" w:rsidP="00477601">
      <w:pPr>
        <w:spacing w:line="360" w:lineRule="auto"/>
        <w:ind w:firstLine="708"/>
        <w:jc w:val="both"/>
        <w:rPr>
          <w:rFonts w:ascii="Arial" w:hAnsi="Arial" w:cs="Arial"/>
          <w:sz w:val="24"/>
        </w:rPr>
      </w:pPr>
      <w:r>
        <w:rPr>
          <w:rFonts w:ascii="Arial" w:hAnsi="Arial" w:cs="Arial"/>
          <w:sz w:val="24"/>
        </w:rPr>
        <w:t xml:space="preserve">El entender esas dinámicas y expresiones es fundamental para el desarrollo de este estudio, ya que se parte del hecho de que la planificación y la participación local no deben interpretarse como un discurso demagogo y manipulador, sino que en realidad debe de ser considerado como algo transcendental, que se materialice en construcciones colectivas, donde las decisiones no sean tomadas únicamente por un colectivo selecto de personas o grupos de poder. </w:t>
      </w:r>
    </w:p>
    <w:p w:rsidR="00477601" w:rsidRDefault="00477601" w:rsidP="00477601">
      <w:pPr>
        <w:spacing w:line="360" w:lineRule="auto"/>
        <w:ind w:firstLine="708"/>
        <w:jc w:val="both"/>
        <w:rPr>
          <w:rFonts w:ascii="Arial" w:hAnsi="Arial" w:cs="Arial"/>
          <w:sz w:val="24"/>
        </w:rPr>
      </w:pPr>
      <w:r>
        <w:rPr>
          <w:rFonts w:ascii="Arial" w:hAnsi="Arial" w:cs="Arial"/>
          <w:sz w:val="24"/>
        </w:rPr>
        <w:lastRenderedPageBreak/>
        <w:t xml:space="preserve">Por otro lado, fenómenos como la globalización, la revolución tecnológica, el desarrollo en general y la consolidación de grandes potencias económicas han legitimado prácticas políticas excluyentes, centralizadas y jerarquizadas; que han desaparecido así culturas y capacidades que posee cualquier ser humano por naturaleza. Y eso es demostrado desde el antiguo pensamiento aristotélico, el cual concebía que los seres humanos por naturaleza sean seres sociables, poseen un instinto de sociedad y comunidad, de modo que está dentro de sus facultades desarrollar procesos colectivos que beneficien a sus respectivas localidades o comunidades. </w:t>
      </w:r>
    </w:p>
    <w:p w:rsidR="00477601" w:rsidRDefault="00477601" w:rsidP="00477601">
      <w:pPr>
        <w:spacing w:line="360" w:lineRule="auto"/>
        <w:ind w:firstLine="708"/>
        <w:jc w:val="both"/>
        <w:rPr>
          <w:rFonts w:ascii="Arial" w:hAnsi="Arial" w:cs="Arial"/>
          <w:sz w:val="24"/>
        </w:rPr>
      </w:pPr>
      <w:r>
        <w:rPr>
          <w:rFonts w:ascii="Arial" w:hAnsi="Arial" w:cs="Arial"/>
          <w:sz w:val="24"/>
        </w:rPr>
        <w:t>Dicho trabajo de investigación es relevante para la profesión de planificación económica y social, ya que desde su unidad académica en la Universidad Nacional, se pretende mantener una base teórica y práctica en beneficio para las poblaciones y grupos excluidos económica y socialmente, pero no de forma asistencialista –como otras instituciones públicas tradicionales-, sino llevando a cabo verdaderos mecanismos y herramientas de desarrollo local.</w:t>
      </w:r>
    </w:p>
    <w:p w:rsidR="00477601" w:rsidRDefault="00477601" w:rsidP="00477601">
      <w:pPr>
        <w:spacing w:line="360" w:lineRule="auto"/>
        <w:ind w:firstLine="708"/>
        <w:jc w:val="both"/>
        <w:rPr>
          <w:rFonts w:ascii="Arial" w:hAnsi="Arial" w:cs="Arial"/>
          <w:sz w:val="24"/>
        </w:rPr>
      </w:pPr>
      <w:r>
        <w:rPr>
          <w:rFonts w:ascii="Arial" w:hAnsi="Arial" w:cs="Arial"/>
          <w:sz w:val="24"/>
        </w:rPr>
        <w:t xml:space="preserve">Además, otra de las importancias que enmarcan esta investigación, es que existen muchos vacíos en cuanto al análisis crítico del papel que las instituciones estatales poseen en la gestión territorial del recurso pesquero y las diversas formas de involucramiento de las comunidades. </w:t>
      </w:r>
    </w:p>
    <w:p w:rsidR="00477601" w:rsidRDefault="00477601" w:rsidP="00477601">
      <w:pPr>
        <w:spacing w:line="360" w:lineRule="auto"/>
        <w:ind w:firstLine="708"/>
        <w:jc w:val="both"/>
      </w:pPr>
      <w:r>
        <w:rPr>
          <w:rFonts w:ascii="Arial" w:hAnsi="Arial" w:cs="Arial"/>
          <w:sz w:val="24"/>
        </w:rPr>
        <w:t xml:space="preserve">En cuanto al estudio de las AMPR, este trabajo ofrece una aproximación a la necesidad de darle mayor relevancia política e institucional a este tipo de herramientas públicas, que aunque no son las únicas para el fortalecimiento del desarrollo integral en estas zonas costeras, posee un peso significativo en la administración, asignación de recursos y evaluación de la mayor parte de acciones, siendo uno de los actores más importantes del proceso. </w:t>
      </w:r>
    </w:p>
    <w:p w:rsidR="00477601" w:rsidRDefault="00477601" w:rsidP="00477601">
      <w:pPr>
        <w:spacing w:line="360" w:lineRule="auto"/>
        <w:ind w:firstLine="708"/>
        <w:jc w:val="both"/>
        <w:rPr>
          <w:rFonts w:ascii="Arial" w:hAnsi="Arial" w:cs="Arial"/>
          <w:sz w:val="24"/>
        </w:rPr>
      </w:pPr>
      <w:r>
        <w:rPr>
          <w:rFonts w:ascii="Arial" w:hAnsi="Arial" w:cs="Arial"/>
          <w:sz w:val="24"/>
        </w:rPr>
        <w:t xml:space="preserve">En fin, este proceso académico-investigativo tiene como principal razón orientar esfuerzos para fortalecer y promover verdaderos canales de planificación local en las diversas comunidades en las cuales la Escuela de Planificación y Promoción Social posee injerencia, considerando esta unidad académica como un </w:t>
      </w:r>
      <w:r>
        <w:rPr>
          <w:rFonts w:ascii="Arial" w:hAnsi="Arial" w:cs="Arial"/>
          <w:sz w:val="24"/>
        </w:rPr>
        <w:lastRenderedPageBreak/>
        <w:t xml:space="preserve">actor político fundamental para un desarrollo local real, asertivo, comunitario e inclusivo. </w:t>
      </w:r>
    </w:p>
    <w:p w:rsidR="00477601" w:rsidRPr="00694AC7" w:rsidRDefault="00477601" w:rsidP="00477601">
      <w:pPr>
        <w:pStyle w:val="Ttulo2"/>
        <w:numPr>
          <w:ilvl w:val="1"/>
          <w:numId w:val="10"/>
        </w:numPr>
        <w:spacing w:before="200" w:line="480" w:lineRule="auto"/>
        <w:rPr>
          <w:rFonts w:ascii="Arial" w:hAnsi="Arial" w:cs="Arial"/>
          <w:b/>
          <w:color w:val="00000A"/>
        </w:rPr>
      </w:pPr>
      <w:bookmarkStart w:id="23" w:name="_Toc522610231"/>
      <w:bookmarkStart w:id="24" w:name="_Toc49628440"/>
      <w:bookmarkStart w:id="25" w:name="_Toc522609758"/>
      <w:bookmarkStart w:id="26" w:name="_Toc50906692"/>
      <w:bookmarkEnd w:id="23"/>
      <w:bookmarkEnd w:id="24"/>
      <w:bookmarkEnd w:id="25"/>
      <w:r w:rsidRPr="00694AC7">
        <w:rPr>
          <w:rFonts w:ascii="Arial" w:hAnsi="Arial" w:cs="Arial"/>
          <w:b/>
          <w:color w:val="00000A"/>
        </w:rPr>
        <w:t>Antecedentes</w:t>
      </w:r>
      <w:bookmarkEnd w:id="26"/>
    </w:p>
    <w:p w:rsidR="00477601" w:rsidRDefault="00477601" w:rsidP="00477601">
      <w:pPr>
        <w:spacing w:line="360" w:lineRule="auto"/>
        <w:ind w:firstLine="708"/>
        <w:jc w:val="both"/>
        <w:rPr>
          <w:rFonts w:ascii="Arial" w:hAnsi="Arial" w:cs="Arial"/>
          <w:bCs/>
          <w:sz w:val="24"/>
          <w:szCs w:val="24"/>
        </w:rPr>
      </w:pPr>
      <w:r>
        <w:rPr>
          <w:rFonts w:ascii="Arial" w:hAnsi="Arial" w:cs="Arial"/>
          <w:bCs/>
          <w:sz w:val="24"/>
          <w:szCs w:val="24"/>
        </w:rPr>
        <w:t xml:space="preserve">En la investigación social es necesario indagar sobre estudios que se han realizado previamente y que estén relacionados al objeto de estudio. En este apartado se detallará el estado del arte con base a la participación comunitaria, la relación Estado-localidad, la planificación local y demás conceptos que se relacionan con el objeto y problema de estudio propuesto previamente. </w:t>
      </w:r>
    </w:p>
    <w:p w:rsidR="00477601" w:rsidRDefault="00477601" w:rsidP="00477601">
      <w:pPr>
        <w:spacing w:line="360" w:lineRule="auto"/>
        <w:ind w:firstLine="708"/>
        <w:jc w:val="both"/>
        <w:rPr>
          <w:rFonts w:ascii="Arial" w:hAnsi="Arial" w:cs="Arial"/>
          <w:bCs/>
          <w:sz w:val="24"/>
          <w:szCs w:val="24"/>
        </w:rPr>
      </w:pPr>
      <w:r>
        <w:rPr>
          <w:rFonts w:ascii="Arial" w:hAnsi="Arial" w:cs="Arial"/>
          <w:bCs/>
          <w:sz w:val="24"/>
          <w:szCs w:val="24"/>
        </w:rPr>
        <w:t xml:space="preserve">Se analizan principalmente estudios de trabajos finales de graduación para optar por el grado de licenciatura y maestrías, además de artículos académicos y libros. </w:t>
      </w:r>
    </w:p>
    <w:p w:rsidR="00477601" w:rsidRDefault="00477601" w:rsidP="00477601">
      <w:pPr>
        <w:spacing w:line="360" w:lineRule="auto"/>
        <w:ind w:firstLine="708"/>
        <w:jc w:val="both"/>
      </w:pPr>
      <w:r>
        <w:rPr>
          <w:rFonts w:ascii="Arial" w:hAnsi="Arial" w:cs="Arial"/>
          <w:bCs/>
          <w:sz w:val="24"/>
          <w:szCs w:val="24"/>
        </w:rPr>
        <w:t xml:space="preserve">En primer orden, es relevante analizar los antecedentes sobre el concepto de Estado, ya que es un actor fundamental en todo este estudio. </w:t>
      </w:r>
      <w:r>
        <w:rPr>
          <w:rFonts w:ascii="Arial" w:eastAsia="Times New Roman" w:hAnsi="Arial" w:cs="Arial"/>
          <w:sz w:val="24"/>
          <w:szCs w:val="24"/>
          <w:highlight w:val="white"/>
          <w:lang w:eastAsia="es-CR"/>
        </w:rPr>
        <w:t xml:space="preserve">Al estudiar al Estado, muchas veces se cae en la tendencia de no considerar aspectos importantes para su adecuada categorización. El Estado es explicado desde enfoques marxistas, liberales, funcionalistas, entre otros, no obstante, estas concepciones se reducen a entender al Estado como un aparato coercitivo. </w:t>
      </w:r>
    </w:p>
    <w:p w:rsidR="00477601" w:rsidRDefault="00477601" w:rsidP="00477601">
      <w:pPr>
        <w:spacing w:line="360" w:lineRule="auto"/>
        <w:ind w:firstLine="708"/>
        <w:jc w:val="both"/>
        <w:rPr>
          <w:rFonts w:ascii="Arial" w:eastAsia="Times New Roman" w:hAnsi="Arial" w:cs="Arial"/>
          <w:sz w:val="24"/>
          <w:szCs w:val="24"/>
          <w:highlight w:val="white"/>
          <w:lang w:eastAsia="es-CR"/>
        </w:rPr>
      </w:pPr>
      <w:r>
        <w:rPr>
          <w:rFonts w:ascii="Arial" w:eastAsia="Times New Roman" w:hAnsi="Arial" w:cs="Arial"/>
          <w:sz w:val="24"/>
          <w:szCs w:val="24"/>
          <w:highlight w:val="white"/>
          <w:lang w:eastAsia="es-CR"/>
        </w:rPr>
        <w:t xml:space="preserve">El propio Michael Mann (2006) aboga por la crítica a la mayoría de teorías tradicionales sobre el Estado, que lo describen como un espacio, una arena, en la que las luchas de clases, grupos de interés e individuos se expresan e institucionalizan; olvidándose del poder autónomo significativo del Estado (p. 26). </w:t>
      </w:r>
    </w:p>
    <w:p w:rsidR="00477601" w:rsidRDefault="00477601" w:rsidP="00477601">
      <w:pPr>
        <w:spacing w:line="360" w:lineRule="auto"/>
        <w:ind w:firstLine="708"/>
        <w:jc w:val="both"/>
        <w:rPr>
          <w:rFonts w:ascii="Arial" w:eastAsia="Times New Roman" w:hAnsi="Arial" w:cs="Arial"/>
          <w:sz w:val="24"/>
          <w:szCs w:val="24"/>
          <w:highlight w:val="white"/>
          <w:lang w:eastAsia="es-CR"/>
        </w:rPr>
      </w:pPr>
      <w:r>
        <w:rPr>
          <w:rFonts w:ascii="Arial" w:eastAsia="Times New Roman" w:hAnsi="Arial" w:cs="Arial"/>
          <w:sz w:val="24"/>
          <w:szCs w:val="24"/>
          <w:highlight w:val="white"/>
          <w:lang w:eastAsia="es-CR"/>
        </w:rPr>
        <w:t xml:space="preserve">El Estado se crea sobre las bases y el capital social, este busca normalizar y regular de manera normativa y con fuerza la sociedad, donde se desarrollan relaciones sociales y territoriales para erigir fronteras con el exterior (p. 29). </w:t>
      </w:r>
    </w:p>
    <w:p w:rsidR="00477601" w:rsidRDefault="00477601" w:rsidP="00477601">
      <w:pPr>
        <w:spacing w:line="360" w:lineRule="auto"/>
        <w:ind w:firstLine="708"/>
        <w:jc w:val="both"/>
        <w:rPr>
          <w:rFonts w:ascii="Arial" w:eastAsia="Times New Roman" w:hAnsi="Arial" w:cs="Arial"/>
          <w:sz w:val="24"/>
          <w:szCs w:val="24"/>
          <w:highlight w:val="white"/>
          <w:lang w:eastAsia="es-CR"/>
        </w:rPr>
      </w:pPr>
      <w:r>
        <w:rPr>
          <w:rFonts w:ascii="Arial" w:eastAsia="Times New Roman" w:hAnsi="Arial" w:cs="Arial"/>
          <w:sz w:val="24"/>
          <w:szCs w:val="24"/>
          <w:highlight w:val="white"/>
          <w:lang w:eastAsia="es-CR"/>
        </w:rPr>
        <w:t xml:space="preserve">La concepción que Mann le da al Estado es sumamente interesante, donde deja de lado el aspecto funcional e institucional –asistencialista-; y lo relaciona explícitamente con el factor territorial, es el Estado quien delimita las fronteras y en </w:t>
      </w:r>
      <w:r>
        <w:rPr>
          <w:rFonts w:ascii="Arial" w:eastAsia="Times New Roman" w:hAnsi="Arial" w:cs="Arial"/>
          <w:sz w:val="24"/>
          <w:szCs w:val="24"/>
          <w:highlight w:val="white"/>
          <w:lang w:eastAsia="es-CR"/>
        </w:rPr>
        <w:lastRenderedPageBreak/>
        <w:t xml:space="preserve">cada uno de estos espacios, de cada Estado, existen formas diversas de sistemas políticos. </w:t>
      </w:r>
    </w:p>
    <w:p w:rsidR="00477601" w:rsidRDefault="00477601" w:rsidP="00477601">
      <w:pPr>
        <w:spacing w:line="360" w:lineRule="auto"/>
        <w:ind w:firstLine="708"/>
        <w:jc w:val="both"/>
        <w:rPr>
          <w:rFonts w:ascii="Arial" w:hAnsi="Arial" w:cs="Arial"/>
          <w:bCs/>
          <w:sz w:val="24"/>
          <w:szCs w:val="24"/>
        </w:rPr>
      </w:pPr>
      <w:r>
        <w:rPr>
          <w:rFonts w:ascii="Arial" w:hAnsi="Arial" w:cs="Arial"/>
          <w:bCs/>
          <w:sz w:val="24"/>
          <w:szCs w:val="24"/>
        </w:rPr>
        <w:t xml:space="preserve">Utilizando fuentes relacionadas a esa legitimidad de la diversidad de sistemas políticos y formas de organización local y comunitaria que le da Mann a un Estado o territorio determinado; desde Gamboa. M (2015) se desarrolla un estudio sobre el papel del Estado en las localidades del país, utilizando casos de estudio en donde el Estado y la comunidad mantienen una relación horizontal y un tanto solidaria; en ese trabajo se interpreta al Estado como garante y dador de legitimidad a las iniciativas que desde actores locales y comunales se formulan y plantean (p. 49). </w:t>
      </w:r>
    </w:p>
    <w:p w:rsidR="00477601" w:rsidRDefault="00477601" w:rsidP="00477601">
      <w:pPr>
        <w:spacing w:line="360" w:lineRule="auto"/>
        <w:ind w:firstLine="708"/>
        <w:jc w:val="both"/>
        <w:rPr>
          <w:rFonts w:ascii="Arial" w:hAnsi="Arial" w:cs="Arial"/>
          <w:bCs/>
          <w:sz w:val="24"/>
          <w:szCs w:val="24"/>
        </w:rPr>
      </w:pPr>
      <w:r>
        <w:rPr>
          <w:rFonts w:ascii="Arial" w:hAnsi="Arial" w:cs="Arial"/>
          <w:bCs/>
          <w:sz w:val="24"/>
          <w:szCs w:val="24"/>
        </w:rPr>
        <w:t>Por otro lado, es importante el papel descentralizador del Estado en estos procesos locales, en el caso de Costa Rica, las Asociaciones de Desarrollo mantienen un rol fundamental en las redes de organización comunal y local. En el mismo estudio de Gamboa, M (2015), se destaca que las asociaciones de desarrollo son llamadas a liderar de manera general las problemáticas de una comunidad. Pero de igual manera, estas organizaciones –que son estatales- deben mantener un rol de apertura y con miras a promover y apoyar realmente las iniciativas a nivel comunitario (p. 21).</w:t>
      </w:r>
    </w:p>
    <w:p w:rsidR="00477601" w:rsidRDefault="00477601" w:rsidP="00477601">
      <w:pPr>
        <w:spacing w:line="360" w:lineRule="auto"/>
        <w:ind w:firstLine="708"/>
        <w:jc w:val="both"/>
      </w:pPr>
      <w:r>
        <w:rPr>
          <w:rFonts w:ascii="Arial" w:hAnsi="Arial" w:cs="Arial"/>
          <w:bCs/>
          <w:sz w:val="24"/>
          <w:szCs w:val="24"/>
        </w:rPr>
        <w:t xml:space="preserve">Con base en la participación local y comunitaria, </w:t>
      </w:r>
      <w:r>
        <w:rPr>
          <w:rFonts w:ascii="Arial" w:eastAsia="Times New Roman" w:hAnsi="Arial" w:cs="Arial"/>
          <w:sz w:val="24"/>
          <w:szCs w:val="24"/>
        </w:rPr>
        <w:t xml:space="preserve">Guillen A, Sáenz K, Badii, M y Castillo, J (2009) abordaron el tema en una investigación titulada </w:t>
      </w:r>
      <w:r>
        <w:rPr>
          <w:rFonts w:ascii="Arial" w:eastAsia="Times New Roman" w:hAnsi="Arial" w:cs="Arial"/>
          <w:i/>
          <w:sz w:val="24"/>
          <w:szCs w:val="24"/>
        </w:rPr>
        <w:t>Origen, espacio y niveles de participación política</w:t>
      </w:r>
      <w:r>
        <w:rPr>
          <w:rFonts w:ascii="Arial" w:eastAsia="Times New Roman" w:hAnsi="Arial" w:cs="Arial"/>
          <w:sz w:val="24"/>
          <w:szCs w:val="24"/>
        </w:rPr>
        <w:t xml:space="preserve">. En este artículo se busca describir el porqué y el cómo de la participación ciudadana en los procesos democráticos, se busca también propiciar una mirada en cuanto a los espacios de la participación y cómo estos se han ido evolucionando.  Se hace un análisis de uno de los espacios más importantes para la participación que es el espacio local y cómo es la relación de este espacio con las autoridades (p. 179-80). </w:t>
      </w:r>
    </w:p>
    <w:p w:rsidR="00477601" w:rsidRDefault="00477601" w:rsidP="00477601">
      <w:pPr>
        <w:spacing w:line="360" w:lineRule="auto"/>
        <w:ind w:firstLine="708"/>
        <w:jc w:val="both"/>
        <w:rPr>
          <w:rFonts w:ascii="Arial" w:eastAsia="Times New Roman" w:hAnsi="Arial" w:cs="Arial"/>
          <w:sz w:val="24"/>
          <w:szCs w:val="24"/>
        </w:rPr>
      </w:pPr>
      <w:r>
        <w:rPr>
          <w:rFonts w:ascii="Arial" w:eastAsia="Times New Roman" w:hAnsi="Arial" w:cs="Arial"/>
          <w:sz w:val="24"/>
          <w:szCs w:val="24"/>
        </w:rPr>
        <w:t xml:space="preserve">También, y en relación con esto último, el texto desarrolla los diferentes niveles de participación de las personas, hacen una analogía muy interesante de los niveles y un termómetro, en cuanto dependiendo de la participación, es posible determinar la “temperatura” de la democracia en la sociedad. La metodología </w:t>
      </w:r>
      <w:r>
        <w:rPr>
          <w:rFonts w:ascii="Arial" w:eastAsia="Times New Roman" w:hAnsi="Arial" w:cs="Arial"/>
          <w:sz w:val="24"/>
          <w:szCs w:val="24"/>
        </w:rPr>
        <w:lastRenderedPageBreak/>
        <w:t xml:space="preserve">utilizada en este artículo es cualitativa, basado en la recolección bibliográfica de diferentes autores que han tratado acerca de la participación (p. 187). </w:t>
      </w:r>
    </w:p>
    <w:p w:rsidR="00477601" w:rsidRDefault="00477601" w:rsidP="00477601">
      <w:pPr>
        <w:spacing w:line="360" w:lineRule="auto"/>
        <w:ind w:firstLine="708"/>
        <w:jc w:val="both"/>
        <w:rPr>
          <w:rFonts w:ascii="Arial" w:eastAsia="Times New Roman" w:hAnsi="Arial" w:cs="Arial"/>
          <w:sz w:val="24"/>
          <w:szCs w:val="24"/>
        </w:rPr>
      </w:pPr>
      <w:r>
        <w:rPr>
          <w:rFonts w:ascii="Arial" w:eastAsia="Times New Roman" w:hAnsi="Arial" w:cs="Arial"/>
          <w:sz w:val="24"/>
          <w:szCs w:val="24"/>
        </w:rPr>
        <w:t>En las conclusiones de este trabajo se presenta que es posible encontrar un vínculo entre la participación y el desarrollo humano, asimismo, la importancia de verlo desde esta perspectiva, ya que presenta la participación como un acto de solidaridad humano entre todas las personas para que entre todos se pueda lograr desarrollar una mejor calidad de vida. Ante esto también se ha presentado que la participación es un tema que muchas veces ha sido limitado, sin embargo, es primordial que las sociedades atesoren este tema y puedan fortalecerlo (p. 192).</w:t>
      </w:r>
    </w:p>
    <w:p w:rsidR="00477601" w:rsidRDefault="00477601" w:rsidP="00477601">
      <w:pPr>
        <w:spacing w:line="360" w:lineRule="auto"/>
        <w:ind w:firstLine="708"/>
        <w:jc w:val="both"/>
        <w:rPr>
          <w:rFonts w:ascii="Arial" w:eastAsia="Times New Roman" w:hAnsi="Arial" w:cs="Arial"/>
          <w:sz w:val="24"/>
          <w:szCs w:val="24"/>
        </w:rPr>
      </w:pPr>
      <w:r>
        <w:rPr>
          <w:rFonts w:ascii="Arial" w:eastAsia="Times New Roman" w:hAnsi="Arial" w:cs="Arial"/>
          <w:sz w:val="24"/>
          <w:szCs w:val="24"/>
        </w:rPr>
        <w:t xml:space="preserve">En cuanto a las formas de desarrollo rural, enfocado principalmente en iniciativas de autogestión comunitarias, Dahl-Ostergaard, Moore, Ramírez, Wenner y Bonde (2003) desarrollaron un estudio enfocado principalmente en proyectos de desarrollo rural de autogestión comunitaria en México y Centroamérica. Sostienen que en cualquier sistema político existen importantes diferencias y diversidades políticas, económicas y sociales. Para lograr un verdadero desarrollo rural endógeno y comunitario es necesario considerar cuatro elementos fundamentales: 1) la participación de la comunidad, 2) la sostenibilidad y tipo de actuación, 3) la inclusión social y 4) el entorno propicio. (p. 53). </w:t>
      </w:r>
    </w:p>
    <w:p w:rsidR="00477601" w:rsidRDefault="00477601" w:rsidP="00477601">
      <w:pPr>
        <w:spacing w:line="360" w:lineRule="auto"/>
        <w:ind w:firstLine="708"/>
        <w:jc w:val="both"/>
        <w:rPr>
          <w:rFonts w:ascii="Arial" w:eastAsia="Times New Roman" w:hAnsi="Arial" w:cs="Arial"/>
          <w:sz w:val="24"/>
          <w:szCs w:val="24"/>
        </w:rPr>
      </w:pPr>
      <w:r>
        <w:rPr>
          <w:rFonts w:ascii="Arial" w:eastAsia="Times New Roman" w:hAnsi="Arial" w:cs="Arial"/>
          <w:sz w:val="24"/>
          <w:szCs w:val="24"/>
        </w:rPr>
        <w:t xml:space="preserve">Conjuntamente, abordan el tema con base en actores externos y/o internacionales, por ejemplo, demuestran que actores como el Banco Interamericano de Desarrollo (BID) colabora –financia- a los gobiernos y no directamente a las comunidades (p. 54). Esto a la visión general, jerarquizada y centralista que mantienen estos actores económicos internacionales y que se inclinan por propuestas e ideas principalmente neoliberales. </w:t>
      </w:r>
    </w:p>
    <w:p w:rsidR="00477601" w:rsidRDefault="00477601" w:rsidP="00477601">
      <w:pPr>
        <w:spacing w:line="360" w:lineRule="auto"/>
        <w:ind w:firstLine="708"/>
        <w:jc w:val="both"/>
      </w:pPr>
      <w:r>
        <w:rPr>
          <w:rFonts w:ascii="Arial" w:eastAsia="Times New Roman" w:hAnsi="Arial" w:cs="Arial"/>
          <w:sz w:val="24"/>
          <w:szCs w:val="24"/>
        </w:rPr>
        <w:t xml:space="preserve">Por otra parte, un tema relevante en este estudio es el de la descentralización; Rivera (2003) hace un aporte importante con el libro </w:t>
      </w:r>
      <w:r>
        <w:rPr>
          <w:rFonts w:ascii="Arial" w:eastAsia="Times New Roman" w:hAnsi="Arial" w:cs="Arial"/>
          <w:i/>
          <w:sz w:val="24"/>
          <w:szCs w:val="24"/>
        </w:rPr>
        <w:t>Descentralización y gestión local en América Latina</w:t>
      </w:r>
      <w:r>
        <w:rPr>
          <w:rFonts w:ascii="Arial" w:eastAsia="Times New Roman" w:hAnsi="Arial" w:cs="Arial"/>
          <w:sz w:val="24"/>
          <w:szCs w:val="24"/>
        </w:rPr>
        <w:t xml:space="preserve">, donde contextualiza sobre el tema y la región, y la importancia de la implementación de políticas públicas a nivel local, reestructurando la funcionalidad tradicional del Estado. Señala que </w:t>
      </w:r>
    </w:p>
    <w:p w:rsidR="00477601" w:rsidRDefault="00477601" w:rsidP="00477601">
      <w:pPr>
        <w:spacing w:line="360" w:lineRule="auto"/>
        <w:ind w:left="708"/>
        <w:jc w:val="both"/>
        <w:rPr>
          <w:rFonts w:ascii="Arial" w:eastAsia="Times New Roman" w:hAnsi="Arial" w:cs="Arial"/>
          <w:sz w:val="24"/>
          <w:szCs w:val="24"/>
        </w:rPr>
      </w:pPr>
      <w:r>
        <w:rPr>
          <w:rFonts w:ascii="Arial" w:eastAsia="Times New Roman" w:hAnsi="Arial" w:cs="Arial"/>
          <w:sz w:val="24"/>
          <w:szCs w:val="24"/>
        </w:rPr>
        <w:lastRenderedPageBreak/>
        <w:t>[…] es claro que dicha transformación estatal no se puede dar de forma sencilla, pues requiere, en cambio, de una re-conceptualización del Estado de parte de los individuos, de sus prácticas, de sus responsabilidades, de su sentido de la organización social y de la forma de enfrentar o planear el conflicto. (p. 171)</w:t>
      </w:r>
    </w:p>
    <w:p w:rsidR="00477601" w:rsidRDefault="00477601" w:rsidP="00477601">
      <w:pPr>
        <w:spacing w:line="360" w:lineRule="auto"/>
        <w:ind w:firstLine="708"/>
        <w:jc w:val="both"/>
        <w:rPr>
          <w:rFonts w:ascii="Arial" w:eastAsia="Times New Roman" w:hAnsi="Arial" w:cs="Arial"/>
          <w:sz w:val="24"/>
          <w:szCs w:val="24"/>
        </w:rPr>
      </w:pPr>
      <w:r>
        <w:rPr>
          <w:rFonts w:ascii="Arial" w:eastAsia="Times New Roman" w:hAnsi="Arial" w:cs="Arial"/>
          <w:sz w:val="24"/>
          <w:szCs w:val="24"/>
        </w:rPr>
        <w:t xml:space="preserve">Lo anterior es trasversal, pues a partir de esas concepciones desarrolladas anteriormente sobre desarrollo local, endógeno, participativo y solidario, es necesaria la reconfiguración de la funcionalidad del aparato estatal, en función de esas prácticas políticas descentralizadas y con verdadero impacto en la diversidad de realidades. </w:t>
      </w:r>
    </w:p>
    <w:p w:rsidR="00477601" w:rsidRDefault="00477601" w:rsidP="00477601">
      <w:pPr>
        <w:spacing w:line="360" w:lineRule="auto"/>
        <w:ind w:firstLine="708"/>
        <w:jc w:val="both"/>
      </w:pPr>
      <w:r>
        <w:rPr>
          <w:rFonts w:ascii="Arial" w:hAnsi="Arial" w:cs="Arial"/>
          <w:sz w:val="24"/>
          <w:szCs w:val="24"/>
        </w:rPr>
        <w:t xml:space="preserve">Calderón (2000), en su estudio </w:t>
      </w:r>
      <w:r>
        <w:rPr>
          <w:rFonts w:ascii="Arial" w:hAnsi="Arial" w:cs="Arial"/>
          <w:i/>
          <w:sz w:val="24"/>
          <w:szCs w:val="24"/>
        </w:rPr>
        <w:t>Descentralización, Gobiernos Locales, Participación Ciudadana</w:t>
      </w:r>
      <w:r>
        <w:rPr>
          <w:rFonts w:ascii="Arial" w:hAnsi="Arial" w:cs="Arial"/>
          <w:sz w:val="24"/>
          <w:szCs w:val="24"/>
        </w:rPr>
        <w:t xml:space="preserve">; manifiesta que en Costa Rica se ha planteado un </w:t>
      </w:r>
    </w:p>
    <w:p w:rsidR="00477601" w:rsidRDefault="00477601" w:rsidP="00477601">
      <w:pPr>
        <w:spacing w:line="360" w:lineRule="auto"/>
        <w:ind w:left="708"/>
        <w:jc w:val="both"/>
        <w:rPr>
          <w:rFonts w:ascii="Arial" w:hAnsi="Arial" w:cs="Arial"/>
          <w:sz w:val="24"/>
          <w:szCs w:val="24"/>
        </w:rPr>
      </w:pPr>
      <w:r>
        <w:rPr>
          <w:rFonts w:ascii="Arial" w:hAnsi="Arial" w:cs="Arial"/>
          <w:sz w:val="24"/>
          <w:szCs w:val="24"/>
        </w:rPr>
        <w:t>Proceso de descentralización desde “arriba”, el cual ha sido legitimado por la mayoría de los actores colectivos, sin analizarlos dentro de un marco que permita descodificar sus contenidos ideológicos, con miras a asentar un debate en torno a sus implicaciones legales, éticas y políticas, sociales y económicas, que permitan valorar sus alcances y limitaciones por lo menos en el corto y mediano plazo. (p. 30)</w:t>
      </w:r>
    </w:p>
    <w:p w:rsidR="00477601" w:rsidRDefault="00477601" w:rsidP="00477601">
      <w:pPr>
        <w:spacing w:line="360" w:lineRule="auto"/>
        <w:ind w:firstLine="708"/>
        <w:jc w:val="both"/>
      </w:pPr>
      <w:r>
        <w:rPr>
          <w:rFonts w:ascii="Arial" w:eastAsia="Times New Roman" w:hAnsi="Arial" w:cs="Arial"/>
          <w:sz w:val="24"/>
          <w:szCs w:val="24"/>
        </w:rPr>
        <w:t xml:space="preserve">En el año 1999, Nuria Cunill desarrolla una serie de conceptos procedentes de la participación en el ámbito local, a lo cual llamó </w:t>
      </w:r>
      <w:r>
        <w:rPr>
          <w:rFonts w:ascii="Arial" w:eastAsia="Times New Roman" w:hAnsi="Arial" w:cs="Arial"/>
          <w:i/>
          <w:sz w:val="24"/>
          <w:szCs w:val="24"/>
        </w:rPr>
        <w:t>Modalidades de Participación</w:t>
      </w:r>
      <w:r>
        <w:rPr>
          <w:rFonts w:ascii="Arial" w:eastAsia="Times New Roman" w:hAnsi="Arial" w:cs="Arial"/>
          <w:sz w:val="24"/>
          <w:szCs w:val="24"/>
        </w:rPr>
        <w:t xml:space="preserve">, las cuales son: </w:t>
      </w:r>
    </w:p>
    <w:p w:rsidR="00477601" w:rsidRDefault="00477601" w:rsidP="00477601">
      <w:pPr>
        <w:pStyle w:val="Prrafodelista"/>
        <w:numPr>
          <w:ilvl w:val="0"/>
          <w:numId w:val="7"/>
        </w:numPr>
        <w:spacing w:before="173" w:after="158" w:line="360" w:lineRule="auto"/>
        <w:jc w:val="both"/>
        <w:rPr>
          <w:rFonts w:ascii="Arial" w:hAnsi="Arial" w:cs="Arial"/>
          <w:sz w:val="24"/>
          <w:szCs w:val="24"/>
        </w:rPr>
      </w:pPr>
      <w:r>
        <w:rPr>
          <w:rFonts w:ascii="Arial" w:hAnsi="Arial" w:cs="Arial"/>
          <w:b/>
          <w:sz w:val="24"/>
          <w:szCs w:val="24"/>
        </w:rPr>
        <w:t>Participación ciudadana</w:t>
      </w:r>
      <w:r>
        <w:rPr>
          <w:rFonts w:ascii="Arial" w:hAnsi="Arial" w:cs="Arial"/>
          <w:sz w:val="24"/>
          <w:szCs w:val="24"/>
        </w:rPr>
        <w:t>: justifica crear nuevos mecanismos para que la administración conozca mejor las necesidades de sus administrados, obtenga la colaboración de éstos en la ejecución de algunas tareas o bien, para que se sustituya al Estado en la realización de determinadas funciones. Se considera que es un complemento a la democracia representativa.</w:t>
      </w:r>
    </w:p>
    <w:p w:rsidR="00477601" w:rsidRDefault="00477601" w:rsidP="00477601">
      <w:pPr>
        <w:pStyle w:val="Prrafodelista"/>
        <w:numPr>
          <w:ilvl w:val="0"/>
          <w:numId w:val="7"/>
        </w:numPr>
        <w:spacing w:before="173" w:after="158" w:line="360" w:lineRule="auto"/>
        <w:jc w:val="both"/>
      </w:pPr>
      <w:r>
        <w:rPr>
          <w:rFonts w:ascii="Arial" w:hAnsi="Arial" w:cs="Arial"/>
          <w:b/>
          <w:sz w:val="24"/>
          <w:szCs w:val="24"/>
        </w:rPr>
        <w:t>Participación social</w:t>
      </w:r>
      <w:r>
        <w:rPr>
          <w:rFonts w:ascii="Arial" w:hAnsi="Arial" w:cs="Arial"/>
          <w:sz w:val="24"/>
          <w:szCs w:val="24"/>
        </w:rPr>
        <w:t xml:space="preserve">: fenómenos de agrupación de los individuos en organizaciones a nivel de la sociedad civil para la defensa de sus intereses </w:t>
      </w:r>
      <w:r>
        <w:rPr>
          <w:rFonts w:ascii="Arial" w:hAnsi="Arial" w:cs="Arial"/>
          <w:sz w:val="24"/>
          <w:szCs w:val="24"/>
        </w:rPr>
        <w:lastRenderedPageBreak/>
        <w:t>sociales. Enuncia la pertenencia y el hecho de tener parte en la existencia de un grupo, de una asociación.</w:t>
      </w:r>
    </w:p>
    <w:p w:rsidR="00477601" w:rsidRDefault="00477601" w:rsidP="00477601">
      <w:pPr>
        <w:pStyle w:val="Prrafodelista"/>
        <w:numPr>
          <w:ilvl w:val="0"/>
          <w:numId w:val="7"/>
        </w:numPr>
        <w:spacing w:before="173" w:after="158" w:line="360" w:lineRule="auto"/>
        <w:jc w:val="both"/>
      </w:pPr>
      <w:r>
        <w:rPr>
          <w:rFonts w:ascii="Arial" w:hAnsi="Arial" w:cs="Arial"/>
          <w:b/>
          <w:sz w:val="24"/>
          <w:szCs w:val="24"/>
        </w:rPr>
        <w:t>Participación comunitaria</w:t>
      </w:r>
      <w:r>
        <w:rPr>
          <w:rFonts w:ascii="Arial" w:hAnsi="Arial" w:cs="Arial"/>
          <w:sz w:val="24"/>
          <w:szCs w:val="24"/>
        </w:rPr>
        <w:t>: supone una relación con el Estado pero en el sentido de meramente impulso asistencial de acciones, que son ejecutadas por la ciudadanía y que en general están referidas a cuestiones vinculadas a su vida más inmediata.</w:t>
      </w:r>
    </w:p>
    <w:p w:rsidR="00477601" w:rsidRDefault="00477601" w:rsidP="00477601">
      <w:pPr>
        <w:pStyle w:val="Prrafodelista"/>
        <w:numPr>
          <w:ilvl w:val="0"/>
          <w:numId w:val="7"/>
        </w:numPr>
        <w:spacing w:before="173" w:after="158" w:line="360" w:lineRule="auto"/>
        <w:jc w:val="both"/>
      </w:pPr>
      <w:r>
        <w:rPr>
          <w:rFonts w:ascii="Arial" w:hAnsi="Arial" w:cs="Arial"/>
          <w:b/>
          <w:sz w:val="24"/>
          <w:szCs w:val="24"/>
        </w:rPr>
        <w:t>Participación política</w:t>
      </w:r>
      <w:r>
        <w:rPr>
          <w:rFonts w:ascii="Arial" w:hAnsi="Arial" w:cs="Arial"/>
          <w:sz w:val="24"/>
          <w:szCs w:val="24"/>
        </w:rPr>
        <w:t>: intervención de las y los ciudadanos a través de los partidos políticos, en órganos de representación como parlamentos, concejos municipales y cualquier otro tipo que represente los intereses globales de una comunidad política u ordenamiento general tal como el municipio, la provincia, la región o el Estado.</w:t>
      </w:r>
    </w:p>
    <w:p w:rsidR="00477601" w:rsidRDefault="00477601" w:rsidP="00477601">
      <w:pPr>
        <w:spacing w:line="360" w:lineRule="auto"/>
        <w:ind w:firstLine="708"/>
        <w:jc w:val="both"/>
      </w:pPr>
      <w:r>
        <w:rPr>
          <w:rFonts w:ascii="Arial" w:eastAsia="Times New Roman" w:hAnsi="Arial" w:cs="Arial"/>
          <w:sz w:val="24"/>
          <w:szCs w:val="24"/>
        </w:rPr>
        <w:t xml:space="preserve">Dentro de todo este entramado de antecedentes, de conceptos y de teorías sobre el objeto de estudio, es necesario comprender el contexto de globalización en el que están inmersas las sociedades. Para eso, Valverde, J (2000), desarrolla en su trabajo: </w:t>
      </w:r>
      <w:r>
        <w:rPr>
          <w:rFonts w:ascii="Arial" w:eastAsia="Times New Roman" w:hAnsi="Arial" w:cs="Arial"/>
          <w:i/>
          <w:sz w:val="24"/>
          <w:szCs w:val="24"/>
        </w:rPr>
        <w:t xml:space="preserve">Globalización y Desarrollo local </w:t>
      </w:r>
      <w:r>
        <w:rPr>
          <w:rFonts w:ascii="Arial" w:eastAsia="Times New Roman" w:hAnsi="Arial" w:cs="Arial"/>
          <w:sz w:val="24"/>
          <w:szCs w:val="24"/>
        </w:rPr>
        <w:t xml:space="preserve">que </w:t>
      </w:r>
    </w:p>
    <w:p w:rsidR="00477601" w:rsidRDefault="00477601" w:rsidP="00477601">
      <w:pPr>
        <w:spacing w:line="360" w:lineRule="auto"/>
        <w:ind w:left="708"/>
        <w:jc w:val="both"/>
        <w:rPr>
          <w:rFonts w:ascii="Arial" w:hAnsi="Arial" w:cs="Arial"/>
          <w:sz w:val="24"/>
          <w:szCs w:val="24"/>
        </w:rPr>
      </w:pPr>
      <w:r>
        <w:rPr>
          <w:rFonts w:ascii="Arial" w:hAnsi="Arial" w:cs="Arial"/>
          <w:sz w:val="24"/>
          <w:szCs w:val="24"/>
        </w:rPr>
        <w:t xml:space="preserve">Las nuevas condiciones neoliberales, son una tendencia a nivel mundial, por lo que es inevitable concebir este cambio político fuera de la dinámica de la globalización, ya que por medio de su comprensión se muestra la articulación entre los procesos globales y locales, concebidas ambas categorías dentro de un único sistema social (capitalista) que asigna a cada región, territorio y/o localidad, un lugar específico en la división internacional del trabajo. (p. 31) </w:t>
      </w:r>
    </w:p>
    <w:p w:rsidR="00477601" w:rsidRDefault="00477601" w:rsidP="00477601">
      <w:pPr>
        <w:spacing w:line="360" w:lineRule="auto"/>
        <w:ind w:firstLine="708"/>
        <w:jc w:val="both"/>
      </w:pPr>
      <w:r>
        <w:rPr>
          <w:rFonts w:ascii="Arial" w:hAnsi="Arial" w:cs="Arial"/>
          <w:sz w:val="24"/>
          <w:szCs w:val="24"/>
        </w:rPr>
        <w:t>Lo anterior apunta más que todo a una crítica y a una concepción que se tiene de la participación local desde las tendencias neoliberales, las cuales son las más practicadas en la mayoría de sistemas, ya que se ven influenciadas por un sistema globalizado y dominante.</w:t>
      </w:r>
    </w:p>
    <w:p w:rsidR="00477601" w:rsidRDefault="00477601" w:rsidP="00477601">
      <w:pPr>
        <w:spacing w:line="360" w:lineRule="auto"/>
        <w:ind w:firstLine="708"/>
        <w:jc w:val="both"/>
        <w:rPr>
          <w:rFonts w:ascii="Arial" w:hAnsi="Arial" w:cs="Arial"/>
          <w:sz w:val="24"/>
          <w:szCs w:val="24"/>
        </w:rPr>
      </w:pPr>
      <w:r>
        <w:rPr>
          <w:rFonts w:ascii="Arial" w:hAnsi="Arial" w:cs="Arial"/>
          <w:sz w:val="24"/>
          <w:szCs w:val="24"/>
        </w:rPr>
        <w:t xml:space="preserve">Ahora bien, comprendiendo esta estructura teórica relacionada a todo el fenómeno del objeto de estudio, se torna necesario describir de manera general el contexto nacional e internacional en el tema de políticas de pesca en Costa Rica. </w:t>
      </w:r>
    </w:p>
    <w:p w:rsidR="00477601" w:rsidRDefault="00477601" w:rsidP="00477601">
      <w:pPr>
        <w:spacing w:line="360" w:lineRule="auto"/>
        <w:ind w:firstLine="708"/>
        <w:jc w:val="both"/>
        <w:rPr>
          <w:rFonts w:ascii="Arial" w:hAnsi="Arial" w:cs="Arial"/>
          <w:sz w:val="24"/>
          <w:szCs w:val="24"/>
        </w:rPr>
      </w:pPr>
      <w:r>
        <w:rPr>
          <w:rFonts w:ascii="Arial" w:hAnsi="Arial" w:cs="Arial"/>
          <w:sz w:val="24"/>
          <w:szCs w:val="24"/>
        </w:rPr>
        <w:lastRenderedPageBreak/>
        <w:t>Según Morales, A. Silva, M y González, C (s.f.) desde 1990 se han desarrollado acontecimientos importantes en el ámbito internacional que son fundamentales para el tema de pesca: 1) la Conferencia de las Naciones Unidas sobre Ambiente y Desarrollo y 2) la Conferencia Mundial de Costas; en donde principalmente se expone la necesidad de implementar un manejo costero integral, incluido el manejo de recursos vivos (p. 43).</w:t>
      </w:r>
    </w:p>
    <w:p w:rsidR="00477601" w:rsidRDefault="00477601" w:rsidP="00477601">
      <w:pPr>
        <w:spacing w:line="360" w:lineRule="auto"/>
        <w:ind w:firstLine="708"/>
        <w:jc w:val="both"/>
        <w:rPr>
          <w:rFonts w:ascii="Arial" w:hAnsi="Arial" w:cs="Arial"/>
          <w:sz w:val="24"/>
          <w:szCs w:val="24"/>
        </w:rPr>
      </w:pPr>
      <w:r>
        <w:rPr>
          <w:rFonts w:ascii="Arial" w:hAnsi="Arial" w:cs="Arial"/>
          <w:sz w:val="24"/>
          <w:szCs w:val="24"/>
        </w:rPr>
        <w:t xml:space="preserve">Realmente Costa Rica no se aferra directamente a una normativa internacional ya definida, sino más bien posee una legislación interna que van acorde a la lógica de las generalidades de dichos convenios internacionales. Dentro de la legislación costarricense acerca del tema pesquero, se podría mencionar las siguientes normas y regulaciones como las más importantes y que tienen cierto control jurídico sobre dicha actividad: </w:t>
      </w:r>
    </w:p>
    <w:p w:rsidR="00477601" w:rsidRDefault="00477601" w:rsidP="00477601">
      <w:pPr>
        <w:pStyle w:val="Prrafodelista"/>
        <w:numPr>
          <w:ilvl w:val="0"/>
          <w:numId w:val="8"/>
        </w:numPr>
        <w:spacing w:after="158" w:line="360" w:lineRule="auto"/>
        <w:jc w:val="both"/>
        <w:rPr>
          <w:rFonts w:ascii="Arial" w:hAnsi="Arial" w:cs="Arial"/>
          <w:sz w:val="24"/>
          <w:szCs w:val="24"/>
        </w:rPr>
      </w:pPr>
      <w:r>
        <w:rPr>
          <w:rFonts w:ascii="Arial" w:hAnsi="Arial" w:cs="Arial"/>
          <w:sz w:val="24"/>
          <w:szCs w:val="24"/>
        </w:rPr>
        <w:t>Constitución política.</w:t>
      </w:r>
    </w:p>
    <w:p w:rsidR="00477601" w:rsidRDefault="00477601" w:rsidP="00477601">
      <w:pPr>
        <w:pStyle w:val="Prrafodelista"/>
        <w:numPr>
          <w:ilvl w:val="0"/>
          <w:numId w:val="8"/>
        </w:numPr>
        <w:spacing w:after="158" w:line="360" w:lineRule="auto"/>
        <w:jc w:val="both"/>
        <w:rPr>
          <w:rFonts w:ascii="Arial" w:hAnsi="Arial" w:cs="Arial"/>
          <w:sz w:val="24"/>
          <w:szCs w:val="24"/>
        </w:rPr>
      </w:pPr>
      <w:r>
        <w:rPr>
          <w:rFonts w:ascii="Arial" w:hAnsi="Arial" w:cs="Arial"/>
          <w:sz w:val="24"/>
          <w:szCs w:val="24"/>
        </w:rPr>
        <w:t>Convenios internacionales.</w:t>
      </w:r>
    </w:p>
    <w:p w:rsidR="00477601" w:rsidRDefault="00477601" w:rsidP="00477601">
      <w:pPr>
        <w:pStyle w:val="Prrafodelista"/>
        <w:numPr>
          <w:ilvl w:val="0"/>
          <w:numId w:val="8"/>
        </w:numPr>
        <w:spacing w:after="158" w:line="360" w:lineRule="auto"/>
        <w:jc w:val="both"/>
        <w:rPr>
          <w:rFonts w:ascii="Arial" w:hAnsi="Arial" w:cs="Arial"/>
          <w:sz w:val="24"/>
          <w:szCs w:val="24"/>
        </w:rPr>
      </w:pPr>
      <w:r>
        <w:rPr>
          <w:rFonts w:ascii="Arial" w:hAnsi="Arial" w:cs="Arial"/>
          <w:sz w:val="24"/>
          <w:szCs w:val="24"/>
        </w:rPr>
        <w:t>Ley sobre la Zona Marítimo Terrestre.</w:t>
      </w:r>
    </w:p>
    <w:p w:rsidR="00477601" w:rsidRDefault="00477601" w:rsidP="00477601">
      <w:pPr>
        <w:pStyle w:val="Prrafodelista"/>
        <w:numPr>
          <w:ilvl w:val="0"/>
          <w:numId w:val="8"/>
        </w:numPr>
        <w:spacing w:after="158" w:line="360" w:lineRule="auto"/>
        <w:jc w:val="both"/>
        <w:rPr>
          <w:rFonts w:ascii="Arial" w:hAnsi="Arial" w:cs="Arial"/>
          <w:sz w:val="24"/>
          <w:szCs w:val="24"/>
        </w:rPr>
      </w:pPr>
      <w:r>
        <w:rPr>
          <w:rFonts w:ascii="Arial" w:hAnsi="Arial" w:cs="Arial"/>
          <w:sz w:val="24"/>
          <w:szCs w:val="24"/>
        </w:rPr>
        <w:t>Ley Orgánica del Ambiente.</w:t>
      </w:r>
    </w:p>
    <w:p w:rsidR="00477601" w:rsidRDefault="00477601" w:rsidP="00477601">
      <w:pPr>
        <w:pStyle w:val="Prrafodelista"/>
        <w:numPr>
          <w:ilvl w:val="0"/>
          <w:numId w:val="8"/>
        </w:numPr>
        <w:spacing w:after="158" w:line="360" w:lineRule="auto"/>
        <w:jc w:val="both"/>
        <w:rPr>
          <w:rFonts w:ascii="Arial" w:hAnsi="Arial" w:cs="Arial"/>
          <w:sz w:val="24"/>
          <w:szCs w:val="24"/>
        </w:rPr>
      </w:pPr>
      <w:r>
        <w:rPr>
          <w:rFonts w:ascii="Arial" w:hAnsi="Arial" w:cs="Arial"/>
          <w:sz w:val="24"/>
          <w:szCs w:val="24"/>
        </w:rPr>
        <w:t>Ley de Biodiversidad.</w:t>
      </w:r>
    </w:p>
    <w:p w:rsidR="00477601" w:rsidRDefault="00477601" w:rsidP="00477601">
      <w:pPr>
        <w:pStyle w:val="Prrafodelista"/>
        <w:numPr>
          <w:ilvl w:val="0"/>
          <w:numId w:val="8"/>
        </w:numPr>
        <w:spacing w:after="158" w:line="360" w:lineRule="auto"/>
        <w:jc w:val="both"/>
        <w:rPr>
          <w:rFonts w:ascii="Arial" w:hAnsi="Arial" w:cs="Arial"/>
          <w:sz w:val="24"/>
          <w:szCs w:val="24"/>
        </w:rPr>
      </w:pPr>
      <w:r>
        <w:rPr>
          <w:rFonts w:ascii="Arial" w:hAnsi="Arial" w:cs="Arial"/>
          <w:sz w:val="24"/>
          <w:szCs w:val="24"/>
        </w:rPr>
        <w:t>Ley de Pesca y Acuicultura.</w:t>
      </w:r>
    </w:p>
    <w:p w:rsidR="00477601" w:rsidRDefault="00477601" w:rsidP="00477601">
      <w:pPr>
        <w:pStyle w:val="Prrafodelista"/>
        <w:numPr>
          <w:ilvl w:val="0"/>
          <w:numId w:val="8"/>
        </w:numPr>
        <w:spacing w:after="158" w:line="360" w:lineRule="auto"/>
        <w:jc w:val="both"/>
        <w:rPr>
          <w:rFonts w:ascii="Arial" w:hAnsi="Arial" w:cs="Arial"/>
          <w:sz w:val="24"/>
          <w:szCs w:val="24"/>
        </w:rPr>
      </w:pPr>
      <w:r>
        <w:rPr>
          <w:rFonts w:ascii="Arial" w:hAnsi="Arial" w:cs="Arial"/>
          <w:sz w:val="24"/>
          <w:szCs w:val="24"/>
        </w:rPr>
        <w:t>Ley de Marinas y Atracaderos Turísticos.</w:t>
      </w:r>
    </w:p>
    <w:p w:rsidR="00477601" w:rsidRDefault="00477601" w:rsidP="00477601">
      <w:pPr>
        <w:pStyle w:val="Prrafodelista"/>
        <w:numPr>
          <w:ilvl w:val="0"/>
          <w:numId w:val="8"/>
        </w:numPr>
        <w:spacing w:after="158" w:line="360" w:lineRule="auto"/>
        <w:jc w:val="both"/>
        <w:rPr>
          <w:rFonts w:ascii="Arial" w:hAnsi="Arial" w:cs="Arial"/>
          <w:sz w:val="24"/>
          <w:szCs w:val="24"/>
        </w:rPr>
      </w:pPr>
      <w:r>
        <w:rPr>
          <w:rFonts w:ascii="Arial" w:hAnsi="Arial" w:cs="Arial"/>
          <w:sz w:val="24"/>
          <w:szCs w:val="24"/>
        </w:rPr>
        <w:t>Ley del Servicio Nacional de Guardacostas.</w:t>
      </w:r>
    </w:p>
    <w:p w:rsidR="00477601" w:rsidRDefault="00477601" w:rsidP="00477601">
      <w:pPr>
        <w:pStyle w:val="Prrafodelista"/>
        <w:numPr>
          <w:ilvl w:val="0"/>
          <w:numId w:val="8"/>
        </w:numPr>
        <w:spacing w:after="158" w:line="360" w:lineRule="auto"/>
        <w:jc w:val="both"/>
        <w:rPr>
          <w:rFonts w:ascii="Arial" w:hAnsi="Arial" w:cs="Arial"/>
          <w:sz w:val="24"/>
          <w:szCs w:val="24"/>
        </w:rPr>
      </w:pPr>
      <w:r>
        <w:rPr>
          <w:rFonts w:ascii="Arial" w:hAnsi="Arial" w:cs="Arial"/>
          <w:sz w:val="24"/>
          <w:szCs w:val="24"/>
        </w:rPr>
        <w:t>Ley de planificación urbana.</w:t>
      </w:r>
    </w:p>
    <w:p w:rsidR="00477601" w:rsidRDefault="00477601" w:rsidP="00477601">
      <w:pPr>
        <w:pStyle w:val="Prrafodelista"/>
        <w:numPr>
          <w:ilvl w:val="0"/>
          <w:numId w:val="8"/>
        </w:numPr>
        <w:spacing w:after="158" w:line="360" w:lineRule="auto"/>
        <w:jc w:val="both"/>
        <w:rPr>
          <w:rFonts w:ascii="Arial" w:hAnsi="Arial" w:cs="Arial"/>
          <w:sz w:val="24"/>
          <w:szCs w:val="24"/>
        </w:rPr>
      </w:pPr>
      <w:r>
        <w:rPr>
          <w:rFonts w:ascii="Arial" w:hAnsi="Arial" w:cs="Arial"/>
          <w:sz w:val="24"/>
          <w:szCs w:val="24"/>
        </w:rPr>
        <w:t>Leyes sectoriales de manejo costero.</w:t>
      </w:r>
    </w:p>
    <w:p w:rsidR="00477601" w:rsidRDefault="00477601" w:rsidP="00477601">
      <w:pPr>
        <w:pStyle w:val="Prrafodelista"/>
        <w:numPr>
          <w:ilvl w:val="0"/>
          <w:numId w:val="8"/>
        </w:numPr>
        <w:spacing w:after="158" w:line="360" w:lineRule="auto"/>
        <w:jc w:val="both"/>
        <w:rPr>
          <w:rFonts w:ascii="Arial" w:hAnsi="Arial" w:cs="Arial"/>
          <w:sz w:val="24"/>
          <w:szCs w:val="24"/>
        </w:rPr>
      </w:pPr>
      <w:r>
        <w:rPr>
          <w:rFonts w:ascii="Arial" w:hAnsi="Arial" w:cs="Arial"/>
          <w:sz w:val="24"/>
          <w:szCs w:val="24"/>
        </w:rPr>
        <w:t>Planes reguladores costeros.</w:t>
      </w:r>
    </w:p>
    <w:p w:rsidR="00477601" w:rsidRDefault="00477601" w:rsidP="00477601">
      <w:pPr>
        <w:pStyle w:val="Prrafodelista"/>
        <w:numPr>
          <w:ilvl w:val="0"/>
          <w:numId w:val="8"/>
        </w:numPr>
        <w:spacing w:after="158" w:line="360" w:lineRule="auto"/>
        <w:jc w:val="both"/>
        <w:rPr>
          <w:rFonts w:ascii="Arial" w:hAnsi="Arial" w:cs="Arial"/>
          <w:sz w:val="24"/>
          <w:szCs w:val="24"/>
        </w:rPr>
      </w:pPr>
      <w:r>
        <w:rPr>
          <w:rFonts w:ascii="Arial" w:hAnsi="Arial" w:cs="Arial"/>
          <w:sz w:val="24"/>
          <w:szCs w:val="24"/>
        </w:rPr>
        <w:t>Estrategia Nacional para la Gestión Integral de los Recursos Marino Costeros.</w:t>
      </w:r>
    </w:p>
    <w:p w:rsidR="00477601" w:rsidRDefault="00477601" w:rsidP="00477601">
      <w:pPr>
        <w:pStyle w:val="Prrafodelista"/>
        <w:spacing w:after="158" w:line="240" w:lineRule="auto"/>
        <w:ind w:left="1440"/>
        <w:jc w:val="both"/>
        <w:rPr>
          <w:rFonts w:ascii="Arial" w:hAnsi="Arial" w:cs="Arial"/>
          <w:sz w:val="24"/>
          <w:szCs w:val="24"/>
        </w:rPr>
      </w:pPr>
    </w:p>
    <w:p w:rsidR="00477601" w:rsidRDefault="00477601" w:rsidP="00477601">
      <w:pPr>
        <w:spacing w:line="360" w:lineRule="auto"/>
        <w:ind w:firstLine="708"/>
        <w:jc w:val="both"/>
        <w:rPr>
          <w:rFonts w:ascii="Arial" w:hAnsi="Arial" w:cs="Arial"/>
          <w:sz w:val="24"/>
          <w:szCs w:val="24"/>
        </w:rPr>
      </w:pPr>
      <w:r>
        <w:rPr>
          <w:rFonts w:ascii="Arial" w:hAnsi="Arial" w:cs="Arial"/>
          <w:sz w:val="24"/>
          <w:szCs w:val="24"/>
        </w:rPr>
        <w:t>El presente estudio se centra principalmente en el tipo de pesca comercial, que según el artículo 43 de la Ley de Pesca y Acuicultura categoriza este tipo de pesca en:</w:t>
      </w:r>
    </w:p>
    <w:p w:rsidR="00477601" w:rsidRDefault="00477601" w:rsidP="00477601">
      <w:pPr>
        <w:pStyle w:val="Prrafodelista"/>
        <w:numPr>
          <w:ilvl w:val="0"/>
          <w:numId w:val="9"/>
        </w:numPr>
        <w:spacing w:after="158" w:line="360" w:lineRule="auto"/>
        <w:jc w:val="both"/>
      </w:pPr>
      <w:r>
        <w:rPr>
          <w:rFonts w:ascii="Arial" w:hAnsi="Arial" w:cs="Arial"/>
          <w:b/>
          <w:i/>
          <w:sz w:val="24"/>
          <w:szCs w:val="24"/>
        </w:rPr>
        <w:lastRenderedPageBreak/>
        <w:t>Pequeña escala:</w:t>
      </w:r>
      <w:r>
        <w:rPr>
          <w:rFonts w:ascii="Arial" w:hAnsi="Arial" w:cs="Arial"/>
          <w:sz w:val="24"/>
          <w:szCs w:val="24"/>
        </w:rPr>
        <w:t xml:space="preserve"> es aquella realizada artesanalmente por personas físicas, sin mediar el uso de embarcación, en las aguas continentales o en la zona costera, o la pesca practicada a bordo de una embarcación con una autonomía para faenar hasta un máximo de tres millas náuticas del mar territorial costarricense.</w:t>
      </w:r>
    </w:p>
    <w:p w:rsidR="00477601" w:rsidRDefault="00477601" w:rsidP="00477601">
      <w:pPr>
        <w:pStyle w:val="Prrafodelista"/>
        <w:numPr>
          <w:ilvl w:val="0"/>
          <w:numId w:val="9"/>
        </w:numPr>
        <w:spacing w:after="158" w:line="360" w:lineRule="auto"/>
        <w:jc w:val="both"/>
      </w:pPr>
      <w:r>
        <w:rPr>
          <w:rFonts w:ascii="Arial" w:hAnsi="Arial" w:cs="Arial"/>
          <w:b/>
          <w:i/>
          <w:sz w:val="24"/>
          <w:szCs w:val="24"/>
        </w:rPr>
        <w:t>Mediana escala:</w:t>
      </w:r>
      <w:r>
        <w:rPr>
          <w:rFonts w:ascii="Arial" w:hAnsi="Arial" w:cs="Arial"/>
          <w:sz w:val="24"/>
          <w:szCs w:val="24"/>
        </w:rPr>
        <w:t xml:space="preserve"> es la pesca realizada por personas físicas o jurídicas a bordo de una embarcación con autonomía para faenar hasta un máximo de cuarenta millas náuticas inclusive.</w:t>
      </w:r>
    </w:p>
    <w:p w:rsidR="00477601" w:rsidRDefault="00477601" w:rsidP="00477601">
      <w:pPr>
        <w:pStyle w:val="Prrafodelista"/>
        <w:numPr>
          <w:ilvl w:val="0"/>
          <w:numId w:val="9"/>
        </w:numPr>
        <w:spacing w:after="158" w:line="360" w:lineRule="auto"/>
        <w:jc w:val="both"/>
      </w:pPr>
      <w:r>
        <w:rPr>
          <w:rFonts w:ascii="Arial" w:hAnsi="Arial" w:cs="Arial"/>
          <w:b/>
          <w:i/>
          <w:sz w:val="24"/>
          <w:szCs w:val="24"/>
        </w:rPr>
        <w:t>Avanzada:</w:t>
      </w:r>
      <w:r>
        <w:rPr>
          <w:rFonts w:ascii="Arial" w:hAnsi="Arial" w:cs="Arial"/>
          <w:sz w:val="24"/>
          <w:szCs w:val="24"/>
        </w:rPr>
        <w:t xml:space="preserve"> es aquella realizada por personas físicas o jurídicas, a bordo de una embarcación con autonomía para faenar más allá de las cuarenta millas náuticas, está orientada a la captura de especies pelágicas con palangre, y otras especies de importancia comercial, realizada por medios mecánicos.</w:t>
      </w:r>
    </w:p>
    <w:p w:rsidR="00477601" w:rsidRDefault="00477601" w:rsidP="00477601">
      <w:pPr>
        <w:pStyle w:val="Prrafodelista"/>
        <w:numPr>
          <w:ilvl w:val="0"/>
          <w:numId w:val="9"/>
        </w:numPr>
        <w:spacing w:after="158" w:line="360" w:lineRule="auto"/>
        <w:jc w:val="both"/>
      </w:pPr>
      <w:r>
        <w:rPr>
          <w:rFonts w:ascii="Arial" w:hAnsi="Arial" w:cs="Arial"/>
          <w:b/>
          <w:i/>
          <w:sz w:val="24"/>
          <w:szCs w:val="24"/>
        </w:rPr>
        <w:t>Semi industrial:</w:t>
      </w:r>
      <w:r>
        <w:rPr>
          <w:rFonts w:ascii="Arial" w:hAnsi="Arial" w:cs="Arial"/>
          <w:sz w:val="24"/>
          <w:szCs w:val="24"/>
        </w:rPr>
        <w:t xml:space="preserve"> es la realizada por personas físicas o jurídicas, utilizando embarcaciones orientadas a la extracción del camarón con red de arrastre, la sardina y el atún con red de cerco.</w:t>
      </w:r>
    </w:p>
    <w:p w:rsidR="00477601" w:rsidRDefault="00477601" w:rsidP="00477601">
      <w:pPr>
        <w:pStyle w:val="Prrafodelista"/>
        <w:numPr>
          <w:ilvl w:val="0"/>
          <w:numId w:val="9"/>
        </w:numPr>
        <w:spacing w:after="158" w:line="360" w:lineRule="auto"/>
        <w:jc w:val="both"/>
      </w:pPr>
      <w:r>
        <w:rPr>
          <w:rFonts w:ascii="Arial" w:hAnsi="Arial" w:cs="Arial"/>
          <w:b/>
          <w:i/>
          <w:sz w:val="24"/>
          <w:szCs w:val="24"/>
        </w:rPr>
        <w:t>Industrial:</w:t>
      </w:r>
      <w:r>
        <w:rPr>
          <w:rFonts w:ascii="Arial" w:hAnsi="Arial" w:cs="Arial"/>
          <w:sz w:val="24"/>
          <w:szCs w:val="24"/>
        </w:rPr>
        <w:t xml:space="preserve"> Pesca e industrialización efectuada por personas físicas o jurídicas, con embarcaciones capacitadas para efectuar a bordo labores de pesca, congelamiento, empaque e industrialización de sus capturas.</w:t>
      </w:r>
    </w:p>
    <w:p w:rsidR="00477601" w:rsidRDefault="00477601" w:rsidP="00477601">
      <w:pPr>
        <w:spacing w:line="360" w:lineRule="auto"/>
        <w:ind w:firstLine="708"/>
        <w:jc w:val="both"/>
        <w:rPr>
          <w:rFonts w:ascii="Arial" w:hAnsi="Arial" w:cs="Arial"/>
          <w:sz w:val="24"/>
          <w:szCs w:val="24"/>
        </w:rPr>
      </w:pPr>
      <w:r>
        <w:rPr>
          <w:rFonts w:ascii="Arial" w:hAnsi="Arial" w:cs="Arial"/>
          <w:sz w:val="24"/>
          <w:szCs w:val="24"/>
        </w:rPr>
        <w:t xml:space="preserve">Según la anterior categorización, el tipo de pesca en el que se centrará esta investigación será en pequeña y mediana escala, ya que son los utilizados principalmente en las comunidades de Paquera y Tambor. </w:t>
      </w:r>
    </w:p>
    <w:p w:rsidR="00477601" w:rsidRDefault="00477601" w:rsidP="00477601">
      <w:pPr>
        <w:spacing w:line="360" w:lineRule="auto"/>
        <w:ind w:firstLine="708"/>
        <w:jc w:val="both"/>
      </w:pPr>
      <w:r>
        <w:rPr>
          <w:rFonts w:ascii="Arial" w:hAnsi="Arial" w:cs="Arial"/>
          <w:sz w:val="24"/>
          <w:szCs w:val="24"/>
        </w:rPr>
        <w:t xml:space="preserve">En cuanto al tema sobre Áreas Marinas de Pesca Responsable (AMPR) en Costa Rica, como tema central en los estudios de caso de la investigación; mantiene antecedentes normativos muy detallados. El establecimiento de las AMPR encuentra fundamento jurídico en el Acuerdo de Junta Directiva AJDIP-138-2008, del INCOPESCA, en cuyo </w:t>
      </w:r>
      <w:r>
        <w:rPr>
          <w:rFonts w:ascii="Arial" w:hAnsi="Arial" w:cs="Arial"/>
          <w:i/>
          <w:sz w:val="24"/>
          <w:szCs w:val="24"/>
        </w:rPr>
        <w:t>Reglamento para el establecimiento de Áreas Marinas para la Pesca Responsable</w:t>
      </w:r>
      <w:r>
        <w:rPr>
          <w:rFonts w:ascii="Arial" w:hAnsi="Arial" w:cs="Arial"/>
          <w:sz w:val="24"/>
          <w:szCs w:val="24"/>
        </w:rPr>
        <w:t xml:space="preserve">, definen las AMPR como: </w:t>
      </w:r>
    </w:p>
    <w:p w:rsidR="00477601" w:rsidRDefault="00477601" w:rsidP="00477601">
      <w:pPr>
        <w:spacing w:line="360" w:lineRule="auto"/>
        <w:ind w:left="708"/>
        <w:jc w:val="both"/>
        <w:rPr>
          <w:rFonts w:ascii="Arial" w:hAnsi="Arial" w:cs="Arial"/>
          <w:sz w:val="24"/>
          <w:szCs w:val="24"/>
        </w:rPr>
      </w:pPr>
      <w:r>
        <w:rPr>
          <w:rFonts w:ascii="Arial" w:hAnsi="Arial" w:cs="Arial"/>
          <w:sz w:val="24"/>
          <w:szCs w:val="24"/>
        </w:rPr>
        <w:t xml:space="preserve">Áreas con características biológicas, pesqueras o socioculturales importantes, las cuales estarán delimitadas por coordenadas geográficas y otros mecanismos que permitan identificar sus límites y en las que se regula </w:t>
      </w:r>
      <w:r>
        <w:rPr>
          <w:rFonts w:ascii="Arial" w:hAnsi="Arial" w:cs="Arial"/>
          <w:sz w:val="24"/>
          <w:szCs w:val="24"/>
        </w:rPr>
        <w:lastRenderedPageBreak/>
        <w:t>la actividad pesquera, de modo particular para asegurar el aprovechamiento de los recursos pesqueros a largo plazo y en las que para su conservación, uso y manejo el INCOPESCA podrá contar con el apoyo de comunidades costeras y/o de otras instituciones. (2008)</w:t>
      </w:r>
    </w:p>
    <w:p w:rsidR="00477601" w:rsidRDefault="00477601" w:rsidP="00477601">
      <w:pPr>
        <w:spacing w:line="360" w:lineRule="auto"/>
        <w:ind w:firstLine="708"/>
        <w:jc w:val="both"/>
        <w:rPr>
          <w:rFonts w:ascii="Arial" w:hAnsi="Arial" w:cs="Arial"/>
          <w:sz w:val="24"/>
          <w:szCs w:val="24"/>
        </w:rPr>
      </w:pPr>
      <w:r>
        <w:rPr>
          <w:rFonts w:ascii="Arial" w:hAnsi="Arial" w:cs="Arial"/>
          <w:sz w:val="24"/>
          <w:szCs w:val="24"/>
        </w:rPr>
        <w:t xml:space="preserve">Mucho de este reglamento se sustenta en La Ley de Pesca y Acuicultura, Nº 8436, aprobada en marzo del 2005, que incluye en su artículo 2, sobre definiciones, pesca artesanal: </w:t>
      </w:r>
    </w:p>
    <w:p w:rsidR="00477601" w:rsidRDefault="00477601" w:rsidP="00477601">
      <w:pPr>
        <w:spacing w:line="360" w:lineRule="auto"/>
        <w:ind w:left="720"/>
        <w:jc w:val="both"/>
        <w:rPr>
          <w:rFonts w:ascii="Arial" w:hAnsi="Arial" w:cs="Arial"/>
          <w:sz w:val="24"/>
          <w:szCs w:val="24"/>
        </w:rPr>
      </w:pPr>
      <w:r>
        <w:rPr>
          <w:rFonts w:ascii="Arial" w:hAnsi="Arial" w:cs="Arial"/>
          <w:sz w:val="24"/>
          <w:szCs w:val="24"/>
        </w:rPr>
        <w:t>Actividad de pesca realizada en forma artesanal por personas físicas, con uso de embarcación, en las aguas continentales o en la zona costera y con una autonomía para faenar hasta un máximo de cinco millas náuticas del litoral, que se realiza con propósitos comerciales.</w:t>
      </w:r>
    </w:p>
    <w:p w:rsidR="00477601" w:rsidRDefault="00477601" w:rsidP="00477601">
      <w:pPr>
        <w:spacing w:line="360" w:lineRule="auto"/>
        <w:ind w:firstLine="708"/>
        <w:jc w:val="both"/>
        <w:rPr>
          <w:rFonts w:ascii="Arial" w:hAnsi="Arial" w:cs="Arial"/>
          <w:sz w:val="24"/>
          <w:szCs w:val="24"/>
        </w:rPr>
      </w:pPr>
      <w:r>
        <w:rPr>
          <w:rFonts w:ascii="Arial" w:hAnsi="Arial" w:cs="Arial"/>
          <w:sz w:val="24"/>
          <w:szCs w:val="24"/>
        </w:rPr>
        <w:t xml:space="preserve">Muchas investigaciones y proyectos, principalmente desarrollados por la Escuela de Planificación y Promoción Social de la Universidad Nacional de Costa Rica (EPPS), promueven herramientas de participación y cohesión comunal, además dan un acompañamiento técnico y metodológico para el desarrollo de iniciativas vinculadas a la pesca responsable. Ejemplo de esto son proyectos e investigaciones desarrolladas en Isla Venado, Playa Tambor, Lepanto, Paquera, Cabuya e Isla Caballo. (EPPS, 2016, p. 20). </w:t>
      </w:r>
    </w:p>
    <w:p w:rsidR="00477601" w:rsidRDefault="00477601" w:rsidP="00477601">
      <w:pPr>
        <w:spacing w:line="360" w:lineRule="auto"/>
        <w:ind w:firstLine="708"/>
        <w:jc w:val="both"/>
        <w:rPr>
          <w:rFonts w:ascii="Arial" w:hAnsi="Arial" w:cs="Arial"/>
          <w:sz w:val="24"/>
          <w:szCs w:val="24"/>
        </w:rPr>
      </w:pPr>
      <w:r>
        <w:rPr>
          <w:rFonts w:ascii="Arial" w:hAnsi="Arial" w:cs="Arial"/>
          <w:sz w:val="24"/>
          <w:szCs w:val="24"/>
        </w:rPr>
        <w:t>En cuanto a Paquera y Playa Tambor, comunidades que serán observadas y analizadas como objetos de estudio, ya se ha expuesto previamente en la contextualización y problematización algunos diagnósticos y estudios, demostrando cuáles son sus características, particularidades y demás aspectos a considerar para esta investigación; apoyado principalmente con diagnósticos comunales realizados por estudiantes de la EPPS (Aguilar, L. Zárate, R, 2016).</w:t>
      </w:r>
    </w:p>
    <w:p w:rsidR="00477601" w:rsidRDefault="00477601" w:rsidP="00477601">
      <w:pPr>
        <w:rPr>
          <w:rFonts w:ascii="Arial" w:hAnsi="Arial" w:cs="Arial"/>
          <w:sz w:val="24"/>
          <w:szCs w:val="24"/>
        </w:rPr>
      </w:pPr>
      <w:r>
        <w:rPr>
          <w:rFonts w:ascii="Arial" w:hAnsi="Arial" w:cs="Arial"/>
          <w:sz w:val="24"/>
          <w:szCs w:val="24"/>
        </w:rPr>
        <w:br w:type="page"/>
      </w:r>
    </w:p>
    <w:p w:rsidR="00477601" w:rsidRPr="00694AC7" w:rsidRDefault="00477601" w:rsidP="00477601">
      <w:pPr>
        <w:pStyle w:val="Ttulo2"/>
        <w:numPr>
          <w:ilvl w:val="1"/>
          <w:numId w:val="10"/>
        </w:numPr>
        <w:spacing w:before="200" w:line="480" w:lineRule="auto"/>
        <w:rPr>
          <w:rFonts w:ascii="Arial" w:hAnsi="Arial" w:cs="Arial"/>
          <w:b/>
        </w:rPr>
      </w:pPr>
      <w:bookmarkStart w:id="27" w:name="_Toc50906693"/>
      <w:r w:rsidRPr="00694AC7">
        <w:rPr>
          <w:rFonts w:ascii="Arial" w:hAnsi="Arial" w:cs="Arial"/>
          <w:b/>
          <w:color w:val="00000A"/>
        </w:rPr>
        <w:lastRenderedPageBreak/>
        <w:t>Objetivos</w:t>
      </w:r>
      <w:bookmarkEnd w:id="27"/>
    </w:p>
    <w:p w:rsidR="00477601" w:rsidRPr="005C27F9" w:rsidRDefault="00477601" w:rsidP="00477601">
      <w:pPr>
        <w:pStyle w:val="Ttulo3"/>
        <w:spacing w:after="240" w:line="360" w:lineRule="auto"/>
        <w:ind w:firstLine="708"/>
        <w:rPr>
          <w:b/>
        </w:rPr>
      </w:pPr>
      <w:bookmarkStart w:id="28" w:name="_Toc522610233"/>
      <w:bookmarkStart w:id="29" w:name="_Toc522609760"/>
      <w:bookmarkStart w:id="30" w:name="_Toc49628442"/>
      <w:bookmarkStart w:id="31" w:name="_Toc50906694"/>
      <w:r w:rsidRPr="005C27F9">
        <w:rPr>
          <w:rFonts w:ascii="Arial" w:hAnsi="Arial" w:cs="Arial"/>
          <w:b/>
          <w:color w:val="00000A"/>
        </w:rPr>
        <w:t>Objetivo General</w:t>
      </w:r>
      <w:bookmarkEnd w:id="28"/>
      <w:bookmarkEnd w:id="29"/>
      <w:bookmarkEnd w:id="30"/>
      <w:bookmarkEnd w:id="31"/>
      <w:r w:rsidRPr="005C27F9">
        <w:rPr>
          <w:rFonts w:ascii="Arial" w:hAnsi="Arial" w:cs="Arial"/>
          <w:b/>
          <w:color w:val="00000A"/>
        </w:rPr>
        <w:t xml:space="preserve"> </w:t>
      </w:r>
    </w:p>
    <w:p w:rsidR="00477601" w:rsidRDefault="00477601" w:rsidP="00477601">
      <w:pPr>
        <w:spacing w:line="360" w:lineRule="auto"/>
        <w:ind w:firstLine="708"/>
        <w:jc w:val="both"/>
        <w:rPr>
          <w:rFonts w:ascii="Arial" w:hAnsi="Arial" w:cs="Arial"/>
          <w:sz w:val="24"/>
        </w:rPr>
      </w:pPr>
      <w:r>
        <w:rPr>
          <w:rFonts w:ascii="Arial" w:hAnsi="Arial" w:cs="Arial"/>
          <w:sz w:val="24"/>
        </w:rPr>
        <w:t xml:space="preserve">Analizar las estrategias institucionales de implementación y gestión del Área Marina de Pesca Responsable Paquera – Tambor, en relación con la planificación local en el período 2014-2019. </w:t>
      </w:r>
    </w:p>
    <w:p w:rsidR="00477601" w:rsidRPr="005C27F9" w:rsidRDefault="00477601" w:rsidP="00477601">
      <w:pPr>
        <w:pStyle w:val="Ttulo3"/>
        <w:spacing w:after="240" w:line="360" w:lineRule="auto"/>
        <w:ind w:firstLine="708"/>
        <w:rPr>
          <w:b/>
        </w:rPr>
      </w:pPr>
      <w:bookmarkStart w:id="32" w:name="_Toc522610234"/>
      <w:bookmarkStart w:id="33" w:name="_Toc49628443"/>
      <w:bookmarkStart w:id="34" w:name="_Toc522609761"/>
      <w:bookmarkStart w:id="35" w:name="_Toc50906695"/>
      <w:r w:rsidRPr="005C27F9">
        <w:rPr>
          <w:rFonts w:ascii="Arial" w:hAnsi="Arial" w:cs="Arial"/>
          <w:b/>
          <w:color w:val="00000A"/>
        </w:rPr>
        <w:t>Objetivos Específicos</w:t>
      </w:r>
      <w:bookmarkEnd w:id="32"/>
      <w:bookmarkEnd w:id="33"/>
      <w:bookmarkEnd w:id="34"/>
      <w:bookmarkEnd w:id="35"/>
      <w:r w:rsidRPr="005C27F9">
        <w:rPr>
          <w:rFonts w:ascii="Arial" w:hAnsi="Arial" w:cs="Arial"/>
          <w:b/>
          <w:color w:val="00000A"/>
        </w:rPr>
        <w:t xml:space="preserve"> </w:t>
      </w:r>
    </w:p>
    <w:p w:rsidR="00477601" w:rsidRDefault="00477601" w:rsidP="00477601">
      <w:pPr>
        <w:pStyle w:val="Prrafodelista"/>
        <w:numPr>
          <w:ilvl w:val="0"/>
          <w:numId w:val="7"/>
        </w:numPr>
        <w:spacing w:after="158" w:line="360" w:lineRule="auto"/>
        <w:jc w:val="both"/>
        <w:rPr>
          <w:rFonts w:ascii="Arial" w:hAnsi="Arial" w:cs="Arial"/>
          <w:sz w:val="24"/>
        </w:rPr>
      </w:pPr>
      <w:r>
        <w:rPr>
          <w:rFonts w:ascii="Arial" w:hAnsi="Arial" w:cs="Arial"/>
          <w:sz w:val="24"/>
        </w:rPr>
        <w:t xml:space="preserve">Identificar la estructura jurídica e institucional en las que se fundamentan las estrategias de implementación y gestión del Área Marina de Pesca Responsable Paquera – Tambor. </w:t>
      </w:r>
    </w:p>
    <w:p w:rsidR="00477601" w:rsidRDefault="00477601" w:rsidP="00477601">
      <w:pPr>
        <w:pStyle w:val="Prrafodelista"/>
        <w:numPr>
          <w:ilvl w:val="0"/>
          <w:numId w:val="7"/>
        </w:numPr>
        <w:spacing w:after="158" w:line="360" w:lineRule="auto"/>
        <w:jc w:val="both"/>
        <w:rPr>
          <w:rFonts w:ascii="Arial" w:hAnsi="Arial" w:cs="Arial"/>
          <w:sz w:val="24"/>
        </w:rPr>
      </w:pPr>
      <w:r>
        <w:rPr>
          <w:rFonts w:ascii="Arial" w:hAnsi="Arial" w:cs="Arial"/>
          <w:sz w:val="24"/>
        </w:rPr>
        <w:t>Caracterizar las estrategias institucionales de implementación y gestión del Área Marina de Pesca Responsable Paquera – Tambor.</w:t>
      </w:r>
    </w:p>
    <w:p w:rsidR="00477601" w:rsidRDefault="00477601" w:rsidP="00477601">
      <w:pPr>
        <w:pStyle w:val="Prrafodelista"/>
        <w:numPr>
          <w:ilvl w:val="0"/>
          <w:numId w:val="7"/>
        </w:numPr>
        <w:spacing w:after="158" w:line="360" w:lineRule="auto"/>
        <w:jc w:val="both"/>
        <w:rPr>
          <w:rFonts w:ascii="Arial" w:hAnsi="Arial" w:cs="Arial"/>
          <w:sz w:val="24"/>
        </w:rPr>
      </w:pPr>
      <w:r>
        <w:rPr>
          <w:rFonts w:ascii="Arial" w:hAnsi="Arial" w:cs="Arial"/>
          <w:sz w:val="24"/>
        </w:rPr>
        <w:t>Caracterizar los procesos de planificación local en el Área Marina de Pesca Responsable Paquera – Tambor.</w:t>
      </w:r>
    </w:p>
    <w:p w:rsidR="00477601" w:rsidRDefault="00477601" w:rsidP="00477601">
      <w:pPr>
        <w:pStyle w:val="Prrafodelista"/>
        <w:numPr>
          <w:ilvl w:val="0"/>
          <w:numId w:val="7"/>
        </w:numPr>
        <w:spacing w:after="158" w:line="360" w:lineRule="auto"/>
        <w:jc w:val="both"/>
        <w:rPr>
          <w:rFonts w:ascii="Arial" w:hAnsi="Arial" w:cs="Arial"/>
          <w:sz w:val="24"/>
        </w:rPr>
      </w:pPr>
      <w:r>
        <w:rPr>
          <w:rFonts w:ascii="Arial" w:hAnsi="Arial" w:cs="Arial"/>
          <w:sz w:val="24"/>
        </w:rPr>
        <w:t xml:space="preserve">Determinar la vinculación entre las estrategias institucionales de implementación y gestión con los procesos de planificación local del Área Marina de Pesca Responsable Paquera – Tambor. </w:t>
      </w:r>
    </w:p>
    <w:p w:rsidR="00477601" w:rsidRDefault="00477601" w:rsidP="00477601">
      <w:pPr>
        <w:rPr>
          <w:rFonts w:ascii="Arial" w:eastAsiaTheme="majorEastAsia" w:hAnsi="Arial" w:cstheme="majorBidi"/>
          <w:b/>
          <w:sz w:val="28"/>
          <w:szCs w:val="32"/>
        </w:rPr>
      </w:pPr>
      <w:r>
        <w:br w:type="page"/>
      </w:r>
    </w:p>
    <w:p w:rsidR="00477601" w:rsidRDefault="00477601" w:rsidP="00477601">
      <w:pPr>
        <w:pStyle w:val="Ttulo1"/>
        <w:spacing w:line="480" w:lineRule="auto"/>
      </w:pPr>
      <w:bookmarkStart w:id="36" w:name="_Toc50906696"/>
      <w:r>
        <w:lastRenderedPageBreak/>
        <w:t>Capítulo II. Marco Teórico</w:t>
      </w:r>
      <w:bookmarkEnd w:id="36"/>
    </w:p>
    <w:p w:rsidR="00477601" w:rsidRDefault="00477601" w:rsidP="00477601">
      <w:pPr>
        <w:spacing w:line="360" w:lineRule="auto"/>
        <w:ind w:firstLine="700"/>
        <w:jc w:val="both"/>
        <w:rPr>
          <w:rFonts w:ascii="Arial" w:eastAsia="Times New Roman" w:hAnsi="Arial" w:cs="Arial"/>
          <w:sz w:val="24"/>
          <w:szCs w:val="24"/>
        </w:rPr>
      </w:pPr>
      <w:r>
        <w:rPr>
          <w:rFonts w:ascii="Arial" w:eastAsia="Times New Roman" w:hAnsi="Arial" w:cs="Arial"/>
          <w:sz w:val="24"/>
          <w:szCs w:val="24"/>
        </w:rPr>
        <w:t>En el siguiente apartado se plantea un acercamiento teórico del objeto de estudio de esta investigación, este análisis se nutre de resultados investigativos y teóricos relacionados a la planificación y participación local, las estructuras jurídicas e institucionales, la gestión institucional de políticas públicas y nuevos paradigmas de organización comunitaria y teoría sobre el Estado desde una perspectiva local.</w:t>
      </w:r>
    </w:p>
    <w:p w:rsidR="00477601" w:rsidRDefault="00477601" w:rsidP="00477601">
      <w:pPr>
        <w:spacing w:line="360" w:lineRule="auto"/>
        <w:ind w:firstLine="700"/>
        <w:jc w:val="both"/>
        <w:rPr>
          <w:rFonts w:ascii="Arial" w:eastAsia="Times New Roman" w:hAnsi="Arial" w:cs="Arial"/>
          <w:sz w:val="24"/>
          <w:szCs w:val="24"/>
        </w:rPr>
      </w:pPr>
      <w:r>
        <w:rPr>
          <w:rFonts w:ascii="Arial" w:eastAsia="Times New Roman" w:hAnsi="Arial" w:cs="Arial"/>
          <w:sz w:val="24"/>
          <w:szCs w:val="24"/>
        </w:rPr>
        <w:t>Para la presente investigación se utilizarán una serie de categorías teóricas las cuales son transversales en todo el documento. Las mismas se resumen en las siguientes: política pública, planificación local, implementación y gestión pública, participación social y acción comunitaria. Además, por efecto también aparecen conceptos tales como Estado, gobernanza, gobernabilidad, autogestión, entre otros.</w:t>
      </w:r>
    </w:p>
    <w:p w:rsidR="00477601" w:rsidRPr="004F0BD7" w:rsidRDefault="00477601" w:rsidP="00477601">
      <w:pPr>
        <w:pStyle w:val="Ttulo2"/>
        <w:numPr>
          <w:ilvl w:val="1"/>
          <w:numId w:val="14"/>
        </w:numPr>
        <w:spacing w:before="200" w:line="480" w:lineRule="auto"/>
        <w:rPr>
          <w:b/>
        </w:rPr>
      </w:pPr>
      <w:bookmarkStart w:id="37" w:name="_Toc49628445"/>
      <w:bookmarkStart w:id="38" w:name="_Toc50906697"/>
      <w:r w:rsidRPr="004F0BD7">
        <w:rPr>
          <w:rFonts w:ascii="Arial" w:hAnsi="Arial" w:cs="Arial"/>
          <w:b/>
          <w:color w:val="00000A"/>
        </w:rPr>
        <w:t>Estructura Jurídica e Institucional: Consideraciones generales</w:t>
      </w:r>
      <w:bookmarkEnd w:id="37"/>
      <w:bookmarkEnd w:id="38"/>
      <w:r w:rsidRPr="004F0BD7">
        <w:rPr>
          <w:rFonts w:ascii="Arial" w:hAnsi="Arial" w:cs="Arial"/>
          <w:b/>
          <w:color w:val="00000A"/>
        </w:rPr>
        <w:t xml:space="preserve"> </w:t>
      </w:r>
    </w:p>
    <w:p w:rsidR="00477601" w:rsidRDefault="00477601" w:rsidP="00477601">
      <w:pPr>
        <w:spacing w:before="240" w:line="360" w:lineRule="auto"/>
        <w:ind w:firstLine="708"/>
        <w:jc w:val="both"/>
        <w:rPr>
          <w:rFonts w:ascii="Arial" w:hAnsi="Arial" w:cs="Arial"/>
          <w:sz w:val="24"/>
          <w:szCs w:val="26"/>
        </w:rPr>
      </w:pPr>
      <w:r>
        <w:rPr>
          <w:rFonts w:ascii="Arial" w:hAnsi="Arial" w:cs="Arial"/>
          <w:sz w:val="24"/>
          <w:szCs w:val="26"/>
        </w:rPr>
        <w:t xml:space="preserve">Costa Rica, desde su fundación como república independiente en 1821, se promulga como un Estado de Derecho, pero, ¿Qué significa esto? Significa que la organización política de la vida social del país debe estar sujeta a la ley, abarcando desde la Constitución Política, los tratados internacionales, las leyes y reglamentos hasta toda otra normativa jurídica. Todas las personas que vivan en el país estarán sujetas a estas condiciones. La administración de este Estado de Derecho es de los poderes del Estado: Legislativo, Ejecutivo y Judicial.  </w:t>
      </w:r>
    </w:p>
    <w:p w:rsidR="00477601" w:rsidRDefault="00477601" w:rsidP="00477601">
      <w:pPr>
        <w:spacing w:line="360" w:lineRule="auto"/>
        <w:ind w:firstLine="708"/>
        <w:jc w:val="both"/>
        <w:rPr>
          <w:rFonts w:ascii="Arial" w:hAnsi="Arial" w:cs="Arial"/>
          <w:sz w:val="24"/>
          <w:szCs w:val="26"/>
        </w:rPr>
      </w:pPr>
      <w:r>
        <w:rPr>
          <w:rFonts w:ascii="Arial" w:hAnsi="Arial" w:cs="Arial"/>
          <w:sz w:val="24"/>
          <w:szCs w:val="26"/>
        </w:rPr>
        <w:t xml:space="preserve">Según lo anterior, el Estado de Derecho evidencia explícitamente la relación entre la política y el derecho, en otro sentido, se fundamenta el Estado sobre la legalidad administrativa, los derechos públicos subjetivos y la justicia en la administración, por tanto, subordina el poder administrativo mediante la ley (Haro, J, s.f., p. 118-119). </w:t>
      </w:r>
    </w:p>
    <w:p w:rsidR="00477601" w:rsidRDefault="00477601" w:rsidP="00477601">
      <w:pPr>
        <w:spacing w:line="360" w:lineRule="auto"/>
        <w:ind w:firstLine="708"/>
        <w:jc w:val="both"/>
        <w:rPr>
          <w:rFonts w:ascii="Arial" w:hAnsi="Arial" w:cs="Arial"/>
          <w:sz w:val="24"/>
          <w:szCs w:val="26"/>
        </w:rPr>
      </w:pPr>
      <w:r>
        <w:rPr>
          <w:rFonts w:ascii="Arial" w:hAnsi="Arial" w:cs="Arial"/>
          <w:sz w:val="24"/>
          <w:szCs w:val="26"/>
        </w:rPr>
        <w:t xml:space="preserve">Según un documento publicado por el Ministerio Público de la República de Costa Rica (s.f.) un Estado de derecho es aquel que se asienta sobre un sistema complejo de normas de conducta igualmente obligatorias para toda la sociedad, el </w:t>
      </w:r>
      <w:r>
        <w:rPr>
          <w:rFonts w:ascii="Arial" w:hAnsi="Arial" w:cs="Arial"/>
          <w:sz w:val="24"/>
          <w:szCs w:val="26"/>
        </w:rPr>
        <w:lastRenderedPageBreak/>
        <w:t>cual atiende a un orden de la razón objetiva de la ley y no a la voluntad subjetiva del gobernante (p. 42).</w:t>
      </w:r>
    </w:p>
    <w:p w:rsidR="00477601" w:rsidRDefault="00477601" w:rsidP="00477601">
      <w:pPr>
        <w:spacing w:line="360" w:lineRule="auto"/>
        <w:ind w:firstLine="708"/>
        <w:jc w:val="both"/>
      </w:pPr>
      <w:r>
        <w:rPr>
          <w:rFonts w:ascii="Arial" w:hAnsi="Arial" w:cs="Arial"/>
          <w:sz w:val="24"/>
          <w:szCs w:val="26"/>
        </w:rPr>
        <w:t xml:space="preserve">Ahora bien, partiendo desde la perspectiva teoría de Gramsci, existe el Bloque Histórico como categoría o definición que </w:t>
      </w:r>
      <w:r>
        <w:rPr>
          <w:rFonts w:ascii="Arial" w:hAnsi="Arial" w:cs="Arial"/>
          <w:sz w:val="24"/>
        </w:rPr>
        <w:t>hace referencia, en términos generales, a la afirmación sumaria y relacional de la estructura socio-económica y la superestructura política e ideológica (Portelli, 1973, p 8). El bloque histórico supone su logro cuando se ha desarrollado un sistema socio-político donde existe un sistema hegemónico que ha “derrocado” el sistema que predominaba anteriormente.</w:t>
      </w:r>
    </w:p>
    <w:p w:rsidR="00477601" w:rsidRDefault="00477601" w:rsidP="00477601">
      <w:pPr>
        <w:spacing w:line="360" w:lineRule="auto"/>
        <w:ind w:firstLine="708"/>
        <w:jc w:val="both"/>
        <w:rPr>
          <w:rFonts w:ascii="Arial" w:hAnsi="Arial" w:cs="Arial"/>
          <w:sz w:val="24"/>
          <w:szCs w:val="26"/>
        </w:rPr>
      </w:pPr>
      <w:r>
        <w:rPr>
          <w:rFonts w:ascii="Arial" w:hAnsi="Arial" w:cs="Arial"/>
          <w:sz w:val="24"/>
          <w:szCs w:val="26"/>
        </w:rPr>
        <w:t xml:space="preserve">Las superestructuras se distinguen por dos esferas: la sociedad civil y la sociedad política. La primera según palabras de Gramsci es “(…) el conjunto de los organismos vulgarmente llamados privados… y que corresponden a la función de hegemonía que el grupo dominante ejerce en la sociedad.” (Como se cita en Portelli, 1973 p. 16). La sociedad política es definida como aparato de coerción, como sistema de control y conservación del orden establecido. </w:t>
      </w:r>
    </w:p>
    <w:p w:rsidR="00477601" w:rsidRDefault="00477601" w:rsidP="00477601">
      <w:pPr>
        <w:spacing w:line="360" w:lineRule="auto"/>
        <w:ind w:firstLine="708"/>
        <w:jc w:val="both"/>
        <w:rPr>
          <w:rFonts w:ascii="Arial" w:hAnsi="Arial" w:cs="Arial"/>
          <w:sz w:val="24"/>
          <w:szCs w:val="26"/>
        </w:rPr>
      </w:pPr>
      <w:r>
        <w:rPr>
          <w:rFonts w:ascii="Arial" w:hAnsi="Arial" w:cs="Arial"/>
          <w:sz w:val="24"/>
          <w:szCs w:val="26"/>
        </w:rPr>
        <w:t xml:space="preserve">Ambos conceptos mantiene relación, por un lado la sociedad política puede responder como instrumento de control y conservación del grupo hegemónico llamado sociedad civil o por otro lado, la sociedad política puede responder como una clase dominante. Según Gramsci, para que la hegemonía sea sólidamente establecida es necesario que la sociedad civil y política esté igualmente desarrollada y orgánicamente ligada. </w:t>
      </w:r>
    </w:p>
    <w:p w:rsidR="00477601" w:rsidRDefault="00477601" w:rsidP="00477601">
      <w:pPr>
        <w:spacing w:line="360" w:lineRule="auto"/>
        <w:ind w:firstLine="708"/>
        <w:jc w:val="both"/>
        <w:rPr>
          <w:rFonts w:ascii="Arial" w:hAnsi="Arial" w:cs="Arial"/>
          <w:sz w:val="24"/>
          <w:szCs w:val="26"/>
        </w:rPr>
      </w:pPr>
      <w:r>
        <w:rPr>
          <w:rFonts w:ascii="Arial" w:hAnsi="Arial" w:cs="Arial"/>
          <w:sz w:val="24"/>
          <w:szCs w:val="26"/>
        </w:rPr>
        <w:t>El papel del Estado en esta concepción de Bloque Histórico aparece como el responsable de del ejercicio de la dirección política y cultural del bloque histórico.</w:t>
      </w:r>
    </w:p>
    <w:p w:rsidR="00477601" w:rsidRDefault="00477601" w:rsidP="00477601">
      <w:pPr>
        <w:spacing w:line="360" w:lineRule="auto"/>
        <w:ind w:firstLine="708"/>
        <w:jc w:val="both"/>
      </w:pPr>
      <w:r>
        <w:rPr>
          <w:rFonts w:ascii="Arial" w:hAnsi="Arial" w:cs="Arial"/>
          <w:sz w:val="24"/>
          <w:szCs w:val="26"/>
        </w:rPr>
        <w:t>Al analizar la situación de la AMPR en Paquera-Tambor, es posible determinar los principales actores, en donde claramente existen instituciones públicas que a través de instrumentos como las políticas públicas, colocan las prioridades y los intereses de sus estructuras dominantes, dejando muchas veces de lado la sociedad civil y sus intereses colectivos.</w:t>
      </w:r>
    </w:p>
    <w:p w:rsidR="00477601" w:rsidRDefault="00477601" w:rsidP="00477601">
      <w:pPr>
        <w:spacing w:line="360" w:lineRule="auto"/>
        <w:ind w:firstLine="708"/>
        <w:jc w:val="both"/>
        <w:rPr>
          <w:rFonts w:ascii="Arial" w:hAnsi="Arial" w:cs="Arial"/>
          <w:sz w:val="24"/>
          <w:szCs w:val="26"/>
        </w:rPr>
      </w:pPr>
      <w:r>
        <w:rPr>
          <w:rFonts w:ascii="Arial" w:hAnsi="Arial" w:cs="Arial"/>
          <w:sz w:val="24"/>
          <w:szCs w:val="26"/>
        </w:rPr>
        <w:lastRenderedPageBreak/>
        <w:t xml:space="preserve">Muchos de estos procesos locales impulsados desde lo institucional son un tanto superficiales, hacen creer a la población que son parte de las tomas de decisiones y parcialmente involucran a la sociedad civil como actor activo dentro de la superestructura. </w:t>
      </w:r>
    </w:p>
    <w:p w:rsidR="00477601" w:rsidRDefault="00477601" w:rsidP="00477601">
      <w:pPr>
        <w:spacing w:line="360" w:lineRule="auto"/>
        <w:ind w:firstLine="708"/>
        <w:jc w:val="both"/>
        <w:rPr>
          <w:rFonts w:ascii="Arial" w:hAnsi="Arial" w:cs="Arial"/>
          <w:sz w:val="24"/>
          <w:szCs w:val="26"/>
        </w:rPr>
      </w:pPr>
      <w:r>
        <w:rPr>
          <w:rFonts w:ascii="Arial" w:hAnsi="Arial" w:cs="Arial"/>
          <w:sz w:val="24"/>
          <w:szCs w:val="26"/>
        </w:rPr>
        <w:t>La noción que tienen estos actores políticos de Estado es realmente de dominación, donde un grupo selecto de personas (la sociedad política) direccionará la función política, limitando la participación de la sociedad civil en un marco legal subjetivo. Por ende, estas clases de discursos dominantes y poco inclusivos son nocivos para la concepción de Bloque Histórico desarrollado por Gramsci, donde se le da un rol fundamental a la sociedad civil en el accionar político.</w:t>
      </w:r>
    </w:p>
    <w:p w:rsidR="00477601" w:rsidRDefault="00477601" w:rsidP="00477601">
      <w:pPr>
        <w:spacing w:line="360" w:lineRule="auto"/>
        <w:ind w:firstLine="708"/>
        <w:jc w:val="both"/>
        <w:rPr>
          <w:rFonts w:ascii="Arial" w:hAnsi="Arial" w:cs="Arial"/>
          <w:sz w:val="24"/>
          <w:szCs w:val="26"/>
        </w:rPr>
      </w:pPr>
      <w:r>
        <w:rPr>
          <w:rFonts w:ascii="Arial" w:hAnsi="Arial" w:cs="Arial"/>
          <w:sz w:val="24"/>
          <w:szCs w:val="26"/>
        </w:rPr>
        <w:t xml:space="preserve">Desde otra perspectiva teórica, Glaser D, (1995) supone que existe una teoría normativa la cual se aplica en las relaciones políticas y sociales bajos principios morales, estos preceptos morales son orientadores de lo que se establece como “lo que debe ser” (p. 35-37). Existen diversas corrientes dentro del normativismo como teoría que intenta explicar el comportamiento de los Estados. A continuación se desarrollan dos de estas categorías que se establecen como las más tradicionales: </w:t>
      </w:r>
    </w:p>
    <w:p w:rsidR="00477601" w:rsidRDefault="00477601" w:rsidP="00477601">
      <w:pPr>
        <w:pStyle w:val="Prrafodelista"/>
        <w:numPr>
          <w:ilvl w:val="0"/>
          <w:numId w:val="13"/>
        </w:numPr>
        <w:spacing w:after="158" w:line="360" w:lineRule="auto"/>
        <w:jc w:val="both"/>
      </w:pPr>
      <w:r>
        <w:rPr>
          <w:rFonts w:ascii="Arial" w:hAnsi="Arial" w:cs="Arial"/>
          <w:b/>
          <w:sz w:val="24"/>
          <w:szCs w:val="26"/>
        </w:rPr>
        <w:t>Utilitarismo:</w:t>
      </w:r>
      <w:r>
        <w:rPr>
          <w:rFonts w:ascii="Arial" w:hAnsi="Arial" w:cs="Arial"/>
          <w:sz w:val="24"/>
          <w:szCs w:val="26"/>
        </w:rPr>
        <w:t xml:space="preserve"> Expone que los principios en la acción política y social se basan en afirmaciones abstractas o especulativas sobre los derechos y deberes naturales. Los seres humanos recurren a su naturaleza de alcanzar la felicidad y no sufrir. La felicidad se puede medir como la utilidad. </w:t>
      </w:r>
    </w:p>
    <w:p w:rsidR="00477601" w:rsidRDefault="00477601" w:rsidP="00477601">
      <w:pPr>
        <w:pStyle w:val="Prrafodelista"/>
        <w:numPr>
          <w:ilvl w:val="0"/>
          <w:numId w:val="13"/>
        </w:numPr>
        <w:spacing w:after="158" w:line="360" w:lineRule="auto"/>
        <w:jc w:val="both"/>
      </w:pPr>
      <w:r>
        <w:rPr>
          <w:rFonts w:ascii="Arial" w:hAnsi="Arial" w:cs="Arial"/>
          <w:b/>
          <w:sz w:val="24"/>
          <w:szCs w:val="26"/>
        </w:rPr>
        <w:t>Comunitarismo:</w:t>
      </w:r>
      <w:r>
        <w:rPr>
          <w:rFonts w:ascii="Arial" w:hAnsi="Arial" w:cs="Arial"/>
          <w:sz w:val="24"/>
          <w:szCs w:val="26"/>
        </w:rPr>
        <w:t xml:space="preserve"> Este enfoque supone que los seres humanos se encuentran enraizados en una comunidad, y que los derechos, las normas, las instituciones y demás provienen de esa comunidad. </w:t>
      </w:r>
    </w:p>
    <w:p w:rsidR="00477601" w:rsidRDefault="00477601" w:rsidP="00477601">
      <w:pPr>
        <w:spacing w:before="240" w:line="360" w:lineRule="auto"/>
        <w:ind w:firstLine="708"/>
        <w:jc w:val="both"/>
      </w:pPr>
      <w:r>
        <w:rPr>
          <w:rFonts w:ascii="Arial" w:hAnsi="Arial" w:cs="Arial"/>
          <w:sz w:val="24"/>
          <w:szCs w:val="24"/>
        </w:rPr>
        <w:t>Todos los enfoques que se relacionan con el normativismo, poseen en común la ética, la moral y la racionalidad como factores determinantes dentro de un respectivo orden social, es decir, son estos elementos los que permiten “controlar” la colectividad.</w:t>
      </w:r>
    </w:p>
    <w:p w:rsidR="00477601" w:rsidRDefault="00477601" w:rsidP="00477601">
      <w:pPr>
        <w:spacing w:before="240" w:line="360" w:lineRule="auto"/>
        <w:ind w:firstLine="708"/>
        <w:jc w:val="both"/>
        <w:rPr>
          <w:rFonts w:ascii="Arial" w:hAnsi="Arial" w:cs="Arial"/>
          <w:sz w:val="24"/>
          <w:szCs w:val="26"/>
        </w:rPr>
      </w:pPr>
      <w:r>
        <w:rPr>
          <w:rFonts w:ascii="Arial" w:hAnsi="Arial" w:cs="Arial"/>
          <w:sz w:val="24"/>
          <w:szCs w:val="26"/>
        </w:rPr>
        <w:lastRenderedPageBreak/>
        <w:t>Por tanto, las estructuras jurídicas en las que se fundamentan el Estado y sus instituciones, y por consiguiente las políticas públicas; consideran esos indicios teóricos sobre las relaciones políticas en las sociedades contemporáneas. Se podría deducir que las estructuras normativas son producto de las relaciones e interacciones sociales y políticas, y que estas varían según las tradiciones, culturas, intenciones y/o modos de vida de los actores participantes en las tomas de decisiones públicas.</w:t>
      </w:r>
    </w:p>
    <w:p w:rsidR="00477601" w:rsidRDefault="00477601" w:rsidP="00477601">
      <w:pPr>
        <w:spacing w:before="240" w:line="360" w:lineRule="auto"/>
        <w:ind w:firstLine="708"/>
        <w:jc w:val="both"/>
      </w:pPr>
      <w:r>
        <w:rPr>
          <w:rFonts w:ascii="Arial" w:hAnsi="Arial" w:cs="Arial"/>
          <w:sz w:val="24"/>
          <w:szCs w:val="26"/>
        </w:rPr>
        <w:t>El criterio institucional es importante para comprender esta investigación, por tanto, se comparte el precepto teórico sobre el institucionalismo. Esta teoría establece un mínimo de partes que conforman los sistemas, el Estado (social, económico y cultural) y la interacción entre ellas.</w:t>
      </w:r>
      <w:r>
        <w:t xml:space="preserve"> Cabe </w:t>
      </w:r>
      <w:r>
        <w:rPr>
          <w:rFonts w:ascii="Arial" w:hAnsi="Arial" w:cs="Arial"/>
          <w:sz w:val="24"/>
          <w:szCs w:val="26"/>
        </w:rPr>
        <w:t>destacar que en todo sistema político existe un sinfín de relaciones entre diversos actores, entorno-ambiente y demás elementos que conforman la sociedad. La teoría de sistemas simplifica la forma de entender la realidad política y social.</w:t>
      </w:r>
    </w:p>
    <w:p w:rsidR="00477601" w:rsidRDefault="00477601" w:rsidP="00477601">
      <w:pPr>
        <w:spacing w:before="240" w:line="360" w:lineRule="auto"/>
        <w:ind w:firstLine="708"/>
        <w:jc w:val="both"/>
        <w:rPr>
          <w:rFonts w:ascii="Arial" w:hAnsi="Arial" w:cs="Arial"/>
          <w:sz w:val="24"/>
          <w:szCs w:val="26"/>
        </w:rPr>
      </w:pPr>
      <w:r>
        <w:rPr>
          <w:rFonts w:ascii="Arial" w:hAnsi="Arial" w:cs="Arial"/>
          <w:sz w:val="24"/>
          <w:szCs w:val="26"/>
        </w:rPr>
        <w:t>En términos generales, el institucionalismo tiene como objeto de análisis las instituciones políticas. Según Rhodes, R (1995):</w:t>
      </w:r>
    </w:p>
    <w:p w:rsidR="00477601" w:rsidRDefault="00477601" w:rsidP="00477601">
      <w:pPr>
        <w:spacing w:line="360" w:lineRule="auto"/>
        <w:ind w:left="705"/>
        <w:jc w:val="both"/>
        <w:rPr>
          <w:rFonts w:ascii="Arial" w:hAnsi="Arial" w:cs="Arial"/>
          <w:sz w:val="24"/>
          <w:szCs w:val="26"/>
        </w:rPr>
      </w:pPr>
      <w:r>
        <w:rPr>
          <w:rFonts w:ascii="Arial" w:hAnsi="Arial" w:cs="Arial"/>
          <w:sz w:val="24"/>
          <w:szCs w:val="26"/>
        </w:rPr>
        <w:t>El institucionalismo es uno de los pilares principales de la teoría del Estado, se centra en las reglas, procedimientos y organizaciones formales de un sistema de gobierno. Su metodología tiene carácter institucional-descriptivo, formal-legal e histórico-comparativo. Pretende estudiar la relación entre la estructura y la democracia, y de qué modo las reglas, procedimientos y organizaciones formales determinan o no el comportamiento político y social. (p. 65)</w:t>
      </w:r>
    </w:p>
    <w:p w:rsidR="00477601" w:rsidRPr="004F0BD7" w:rsidRDefault="00477601" w:rsidP="00477601">
      <w:pPr>
        <w:pStyle w:val="Ttulo2"/>
        <w:numPr>
          <w:ilvl w:val="1"/>
          <w:numId w:val="14"/>
        </w:numPr>
        <w:spacing w:before="200" w:line="480" w:lineRule="auto"/>
        <w:rPr>
          <w:b/>
        </w:rPr>
      </w:pPr>
      <w:bookmarkStart w:id="39" w:name="_Toc49628446"/>
      <w:bookmarkStart w:id="40" w:name="_Toc50906698"/>
      <w:r w:rsidRPr="004F0BD7">
        <w:rPr>
          <w:rFonts w:ascii="Arial" w:hAnsi="Arial" w:cs="Arial"/>
          <w:b/>
          <w:color w:val="00000A"/>
        </w:rPr>
        <w:t>Implementación y Gestión Pública: Algunos de sus paradigmas</w:t>
      </w:r>
      <w:bookmarkEnd w:id="39"/>
      <w:bookmarkEnd w:id="40"/>
      <w:r w:rsidRPr="004F0BD7">
        <w:rPr>
          <w:rFonts w:ascii="Arial" w:hAnsi="Arial" w:cs="Arial"/>
          <w:b/>
          <w:color w:val="00000A"/>
        </w:rPr>
        <w:t xml:space="preserve"> </w:t>
      </w:r>
    </w:p>
    <w:p w:rsidR="00477601" w:rsidRDefault="00477601" w:rsidP="00477601">
      <w:pPr>
        <w:widowControl w:val="0"/>
        <w:spacing w:line="360" w:lineRule="auto"/>
        <w:ind w:firstLine="708"/>
        <w:jc w:val="both"/>
      </w:pPr>
      <w:r>
        <w:rPr>
          <w:rFonts w:ascii="Arial" w:eastAsia="Times New Roman" w:hAnsi="Arial" w:cs="Arial"/>
          <w:sz w:val="24"/>
          <w:szCs w:val="24"/>
        </w:rPr>
        <w:t xml:space="preserve">En este estudio la implementación y gestión institucional será abordada desde una perspectiva de la planificación y el desarrollo local. No obstante, en primer orden es necesario resaltar una concepción teórica general sobre la gestión pública. Según Rentería, C y Henríquez, H (2007) el objetivo de la administración y/o gestión pública es buscar de manera eficaz y eficiente resultados frente a la </w:t>
      </w:r>
      <w:r>
        <w:rPr>
          <w:rFonts w:ascii="Arial" w:eastAsia="Times New Roman" w:hAnsi="Arial" w:cs="Arial"/>
          <w:sz w:val="24"/>
          <w:szCs w:val="24"/>
        </w:rPr>
        <w:lastRenderedPageBreak/>
        <w:t>reducción de la pobreza y el mejoramiento de la calidad de vida de sus habitantes y, en consecuencia, avanzar hacia un desarrollo integral sostenible (p. 11).</w:t>
      </w:r>
    </w:p>
    <w:p w:rsidR="00477601" w:rsidRDefault="00477601" w:rsidP="00477601">
      <w:pPr>
        <w:widowControl w:val="0"/>
        <w:spacing w:line="360" w:lineRule="auto"/>
        <w:ind w:firstLine="708"/>
        <w:jc w:val="both"/>
        <w:rPr>
          <w:rFonts w:ascii="Arial" w:eastAsia="Times New Roman" w:hAnsi="Arial" w:cs="Arial"/>
          <w:sz w:val="24"/>
          <w:szCs w:val="24"/>
        </w:rPr>
      </w:pPr>
      <w:r>
        <w:rPr>
          <w:rFonts w:ascii="Arial" w:eastAsia="Times New Roman" w:hAnsi="Arial" w:cs="Arial"/>
          <w:sz w:val="24"/>
          <w:szCs w:val="24"/>
        </w:rPr>
        <w:t>Entonces, la implementación pública como parte de la administración pública es definida como el conjunto de procesos que, tras la fase de programación, tienden a la realización concreta de los objetivos de una política pública (…) La implementación tal como se acaba de definir, no incluye exclusivamente la producción de todo tipo de actividades concretas (sobre todo los actos administrativos), sino también todos los procesos concernientes a la planificación y que son necesarios para llevar a cabo dichas actividades de ejecución (Subirats, 2014, p. 179).</w:t>
      </w:r>
    </w:p>
    <w:p w:rsidR="00477601" w:rsidRDefault="00477601" w:rsidP="00477601">
      <w:pPr>
        <w:widowControl w:val="0"/>
        <w:spacing w:line="360" w:lineRule="auto"/>
        <w:ind w:firstLine="708"/>
        <w:jc w:val="both"/>
        <w:rPr>
          <w:rFonts w:ascii="Arial" w:eastAsia="Times New Roman" w:hAnsi="Arial" w:cs="Arial"/>
          <w:sz w:val="24"/>
          <w:szCs w:val="24"/>
        </w:rPr>
      </w:pPr>
      <w:r>
        <w:rPr>
          <w:rFonts w:ascii="Arial" w:eastAsia="Times New Roman" w:hAnsi="Arial" w:cs="Arial"/>
          <w:sz w:val="24"/>
          <w:szCs w:val="24"/>
        </w:rPr>
        <w:t xml:space="preserve">No existe un concepto o teoría única que explique las características, funciones y demás elementos de la implementación y la gestión pública, por tanto, a continuación se desarrollarán una serie de paradigmas teóricos que ayudan a una comprensión más amplia de la implementación y la gestión pública. </w:t>
      </w:r>
    </w:p>
    <w:p w:rsidR="00477601" w:rsidRDefault="00477601" w:rsidP="00477601">
      <w:pPr>
        <w:rPr>
          <w:rFonts w:ascii="Arial" w:hAnsi="Arial" w:cs="Arial"/>
          <w:b/>
          <w:sz w:val="24"/>
          <w:szCs w:val="24"/>
        </w:rPr>
      </w:pPr>
      <w:r>
        <w:rPr>
          <w:rFonts w:ascii="Arial" w:hAnsi="Arial" w:cs="Arial"/>
          <w:b/>
          <w:sz w:val="24"/>
          <w:szCs w:val="24"/>
        </w:rPr>
        <w:t>Paradigma de la gobernabilidad</w:t>
      </w:r>
    </w:p>
    <w:p w:rsidR="00477601" w:rsidRDefault="00477601" w:rsidP="00477601">
      <w:pPr>
        <w:spacing w:before="240" w:line="360" w:lineRule="auto"/>
        <w:ind w:firstLine="708"/>
        <w:jc w:val="both"/>
        <w:rPr>
          <w:rFonts w:ascii="Arial" w:hAnsi="Arial" w:cs="Arial"/>
          <w:sz w:val="24"/>
          <w:szCs w:val="24"/>
        </w:rPr>
      </w:pPr>
      <w:r>
        <w:rPr>
          <w:rFonts w:ascii="Arial" w:hAnsi="Arial" w:cs="Arial"/>
          <w:sz w:val="24"/>
          <w:szCs w:val="24"/>
        </w:rPr>
        <w:t xml:space="preserve">Al igual que muchos conceptos dentro de la administración pública, la gobernabilidad puede ser comprendida desde diversas perspectivas, ideologías y/o teorías. En términos generales, para Camou (2001) la gobernabilidad es un estado de equilibrio dinámico entre el nivel de las demandas societales y la capacidad del sistema político para responderlas de manera legítima y eficaz (p. 36). Sin embargo, analizar la gobernabilidad supone comprender su complejidad; según Arbós y Giner (1996) existen al menos, cuatro tipos de orientaciones al definir el concepto de gobernabilidad: </w:t>
      </w:r>
    </w:p>
    <w:p w:rsidR="00477601" w:rsidRDefault="00477601" w:rsidP="00477601">
      <w:pPr>
        <w:pStyle w:val="Prrafodelista"/>
        <w:numPr>
          <w:ilvl w:val="0"/>
          <w:numId w:val="12"/>
        </w:numPr>
        <w:spacing w:before="240" w:after="200" w:line="360" w:lineRule="auto"/>
        <w:jc w:val="both"/>
      </w:pPr>
      <w:r>
        <w:rPr>
          <w:rFonts w:ascii="Arial" w:hAnsi="Arial" w:cs="Arial"/>
          <w:b/>
          <w:sz w:val="24"/>
          <w:szCs w:val="24"/>
        </w:rPr>
        <w:t>Conservadora</w:t>
      </w:r>
      <w:r>
        <w:rPr>
          <w:rFonts w:ascii="Arial" w:hAnsi="Arial" w:cs="Arial"/>
          <w:sz w:val="24"/>
          <w:szCs w:val="24"/>
        </w:rPr>
        <w:t xml:space="preserve">: La gobernabilidad sólo se logra en la medida en que se evitan todas aquellas actividades de gobierno que son vistas como atentatorias contra el mercado. </w:t>
      </w:r>
    </w:p>
    <w:p w:rsidR="00477601" w:rsidRDefault="00477601" w:rsidP="00477601">
      <w:pPr>
        <w:pStyle w:val="Prrafodelista"/>
        <w:numPr>
          <w:ilvl w:val="0"/>
          <w:numId w:val="12"/>
        </w:numPr>
        <w:spacing w:before="240" w:after="200" w:line="360" w:lineRule="auto"/>
        <w:jc w:val="both"/>
      </w:pPr>
      <w:r>
        <w:rPr>
          <w:rFonts w:ascii="Arial" w:hAnsi="Arial" w:cs="Arial"/>
          <w:b/>
          <w:sz w:val="24"/>
          <w:szCs w:val="24"/>
        </w:rPr>
        <w:t>Neoconservadora</w:t>
      </w:r>
      <w:r>
        <w:rPr>
          <w:rFonts w:ascii="Arial" w:hAnsi="Arial" w:cs="Arial"/>
          <w:sz w:val="24"/>
          <w:szCs w:val="24"/>
        </w:rPr>
        <w:t xml:space="preserve">: Para esta corriente, el Estado no debe tener ninguna otra injerencia que vaya más allá de la garantía de los derechos individuales, por lo que el Estado no está llamado a intervenir en asuntos de carácter </w:t>
      </w:r>
      <w:r>
        <w:rPr>
          <w:rFonts w:ascii="Arial" w:hAnsi="Arial" w:cs="Arial"/>
          <w:sz w:val="24"/>
          <w:szCs w:val="24"/>
        </w:rPr>
        <w:lastRenderedPageBreak/>
        <w:t xml:space="preserve">económico, el Estado no debe de intervenir en la libre competencia, es así como se lograría la gobernabilidad. </w:t>
      </w:r>
    </w:p>
    <w:p w:rsidR="00477601" w:rsidRDefault="00477601" w:rsidP="00477601">
      <w:pPr>
        <w:pStyle w:val="Prrafodelista"/>
        <w:numPr>
          <w:ilvl w:val="0"/>
          <w:numId w:val="12"/>
        </w:numPr>
        <w:spacing w:before="240" w:after="200" w:line="360" w:lineRule="auto"/>
        <w:jc w:val="both"/>
      </w:pPr>
      <w:r>
        <w:rPr>
          <w:rFonts w:ascii="Arial" w:hAnsi="Arial" w:cs="Arial"/>
          <w:b/>
          <w:sz w:val="24"/>
          <w:szCs w:val="24"/>
        </w:rPr>
        <w:t>Liberal</w:t>
      </w:r>
      <w:r>
        <w:rPr>
          <w:rFonts w:ascii="Arial" w:hAnsi="Arial" w:cs="Arial"/>
          <w:b/>
          <w:i/>
          <w:sz w:val="24"/>
          <w:szCs w:val="24"/>
        </w:rPr>
        <w:t>:</w:t>
      </w:r>
      <w:r>
        <w:rPr>
          <w:rFonts w:ascii="Arial" w:hAnsi="Arial" w:cs="Arial"/>
          <w:sz w:val="24"/>
          <w:szCs w:val="24"/>
        </w:rPr>
        <w:t xml:space="preserve"> En este enfoque, la gobernabilidad se logran cuando exista una verdadera independencia entre la libertad política y la libertad económica. Se debe restaurar la autonomía de la política restringiendo su alcance hasta el límite del mercado para, simultáneamente, reconstruir la libertad de éste.  </w:t>
      </w:r>
    </w:p>
    <w:p w:rsidR="00477601" w:rsidRDefault="00477601" w:rsidP="00477601">
      <w:pPr>
        <w:pStyle w:val="Prrafodelista"/>
        <w:numPr>
          <w:ilvl w:val="0"/>
          <w:numId w:val="12"/>
        </w:numPr>
        <w:spacing w:before="240" w:after="200" w:line="360" w:lineRule="auto"/>
        <w:jc w:val="both"/>
      </w:pPr>
      <w:r>
        <w:rPr>
          <w:rFonts w:ascii="Arial" w:hAnsi="Arial" w:cs="Arial"/>
          <w:b/>
          <w:sz w:val="24"/>
          <w:szCs w:val="24"/>
        </w:rPr>
        <w:t>Marxista</w:t>
      </w:r>
      <w:r>
        <w:rPr>
          <w:rFonts w:ascii="Arial" w:hAnsi="Arial" w:cs="Arial"/>
          <w:b/>
          <w:i/>
          <w:sz w:val="24"/>
          <w:szCs w:val="24"/>
        </w:rPr>
        <w:t>:</w:t>
      </w:r>
      <w:r>
        <w:rPr>
          <w:rFonts w:ascii="Arial" w:hAnsi="Arial" w:cs="Arial"/>
          <w:sz w:val="24"/>
          <w:szCs w:val="24"/>
        </w:rPr>
        <w:t xml:space="preserve"> La gobernabilidad se logra cuando el problema de la propiedad de los medios de producción se solucione, los gobiernos siempre defienden los intereses del capital, sin importar que esto vaya a ocasionar una crisis política, económica y/o social. </w:t>
      </w:r>
    </w:p>
    <w:p w:rsidR="00477601" w:rsidRDefault="00477601" w:rsidP="00477601">
      <w:pPr>
        <w:spacing w:before="240" w:line="360" w:lineRule="auto"/>
        <w:ind w:firstLine="708"/>
        <w:jc w:val="both"/>
        <w:rPr>
          <w:rFonts w:ascii="Arial" w:hAnsi="Arial" w:cs="Arial"/>
          <w:sz w:val="24"/>
          <w:szCs w:val="24"/>
        </w:rPr>
      </w:pPr>
      <w:r>
        <w:rPr>
          <w:rFonts w:ascii="Arial" w:hAnsi="Arial" w:cs="Arial"/>
          <w:sz w:val="24"/>
          <w:szCs w:val="24"/>
        </w:rPr>
        <w:t>Las perspectivas anteriores logran demostrar la diversidad que existe alrededor de un mismo concepto, en este caso dependiendo más que nada de la perspectiva ideológica en que se analice, lo cual también da sustento para comprender de manera más amplia la complejidad de las sociedades.</w:t>
      </w:r>
    </w:p>
    <w:p w:rsidR="00477601" w:rsidRDefault="00477601" w:rsidP="00477601">
      <w:pPr>
        <w:spacing w:before="240" w:line="360" w:lineRule="auto"/>
        <w:ind w:firstLine="708"/>
        <w:jc w:val="both"/>
      </w:pPr>
      <w:r>
        <w:rPr>
          <w:rFonts w:ascii="Arial" w:hAnsi="Arial" w:cs="Arial"/>
          <w:sz w:val="24"/>
          <w:szCs w:val="24"/>
        </w:rPr>
        <w:t>Para exponer una definición de gobernabilidad que se ajuste a la realidad del objetivo de esta investigación, se comparte la definición de Alcántara, M (1994</w:t>
      </w:r>
      <w:r>
        <w:rPr>
          <w:rFonts w:ascii="Arial" w:hAnsi="Arial" w:cs="Arial"/>
          <w:i/>
          <w:sz w:val="24"/>
          <w:szCs w:val="24"/>
        </w:rPr>
        <w:t>)</w:t>
      </w:r>
      <w:r>
        <w:rPr>
          <w:rFonts w:ascii="Arial" w:hAnsi="Arial" w:cs="Arial"/>
          <w:sz w:val="24"/>
          <w:szCs w:val="24"/>
        </w:rPr>
        <w:t xml:space="preserve"> “la gobernabilidad es la situación en que concurren un conjunto de condiciones favorables para la acción de gobierno que se sitúan en su entorno (de carácter medioambiental) o que son intrínsecos a éste” (p.5). En ese sentido, se profundiza en que la gobernabilidad se forma a partir de impulsos del propio gobierno, expresados en políticas públicas y prácticas de implementación y gestión que sean recibidas de manera positiva por la sociedad.</w:t>
      </w:r>
    </w:p>
    <w:p w:rsidR="00477601" w:rsidRDefault="00477601" w:rsidP="00477601">
      <w:pPr>
        <w:spacing w:before="240" w:line="360" w:lineRule="auto"/>
        <w:ind w:firstLine="708"/>
        <w:jc w:val="both"/>
        <w:rPr>
          <w:rFonts w:ascii="Arial" w:hAnsi="Arial" w:cs="Arial"/>
          <w:sz w:val="24"/>
          <w:szCs w:val="24"/>
        </w:rPr>
      </w:pPr>
      <w:r>
        <w:rPr>
          <w:rFonts w:ascii="Arial" w:hAnsi="Arial" w:cs="Arial"/>
          <w:sz w:val="24"/>
          <w:szCs w:val="24"/>
        </w:rPr>
        <w:t xml:space="preserve">No obstante, tampoco se concibe que la gobernabilidad sea un papel exclusivo del Estado/Gobierno, por lo que siguiendo la argumentación anterior, se le agrega lo que Tomassini, L (s.f.) indica: </w:t>
      </w:r>
    </w:p>
    <w:p w:rsidR="00477601" w:rsidRDefault="00477601" w:rsidP="00477601">
      <w:pPr>
        <w:spacing w:before="240" w:line="360" w:lineRule="auto"/>
        <w:ind w:left="708"/>
        <w:jc w:val="both"/>
        <w:rPr>
          <w:rFonts w:ascii="Arial" w:hAnsi="Arial" w:cs="Arial"/>
          <w:sz w:val="24"/>
          <w:szCs w:val="24"/>
        </w:rPr>
      </w:pPr>
      <w:r>
        <w:rPr>
          <w:rFonts w:ascii="Arial" w:hAnsi="Arial" w:cs="Arial"/>
          <w:sz w:val="24"/>
          <w:szCs w:val="24"/>
        </w:rPr>
        <w:t>La gobernabilidad no solo se refiere al ejercicio del gobierno, sino además a todas las condiciones necesarias para que esta función pueda desempeñarse con eficacia, legitimidad y respaldo social. (p. 50)</w:t>
      </w:r>
    </w:p>
    <w:p w:rsidR="00477601" w:rsidRDefault="00477601" w:rsidP="00477601">
      <w:pPr>
        <w:spacing w:before="240" w:line="360" w:lineRule="auto"/>
        <w:ind w:firstLine="708"/>
        <w:jc w:val="both"/>
        <w:rPr>
          <w:rFonts w:ascii="Arial" w:hAnsi="Arial" w:cs="Arial"/>
          <w:sz w:val="24"/>
          <w:szCs w:val="24"/>
        </w:rPr>
      </w:pPr>
      <w:r>
        <w:rPr>
          <w:rFonts w:ascii="Arial" w:hAnsi="Arial" w:cs="Arial"/>
          <w:sz w:val="24"/>
          <w:szCs w:val="24"/>
        </w:rPr>
        <w:lastRenderedPageBreak/>
        <w:t xml:space="preserve">Es evidente que el concepto que nos atañe, presenta como raíz etimológica “gobernar”, partiendo de las premisas teóricas, la gobernabilidad supone el “gobernar bien”, en resumen, tanto el Estado y la sociedad civil –ya que no es responsabilidad de un único actor- deben poseer la capacidad y una cultura política ideal para mantener el orden básico de una sociedad democrática. La acción del gobierno debe poseer una connotación positiva, remitiéndose al binomio de eficacia y legitimidad. </w:t>
      </w:r>
    </w:p>
    <w:p w:rsidR="00477601" w:rsidRDefault="00477601" w:rsidP="00477601">
      <w:pPr>
        <w:spacing w:before="240" w:line="360" w:lineRule="auto"/>
        <w:ind w:firstLine="708"/>
        <w:jc w:val="both"/>
        <w:rPr>
          <w:rFonts w:ascii="Arial" w:hAnsi="Arial" w:cs="Arial"/>
          <w:sz w:val="24"/>
          <w:szCs w:val="24"/>
        </w:rPr>
      </w:pPr>
      <w:r>
        <w:rPr>
          <w:rFonts w:ascii="Arial" w:hAnsi="Arial" w:cs="Arial"/>
          <w:sz w:val="24"/>
          <w:szCs w:val="24"/>
        </w:rPr>
        <w:t xml:space="preserve">A pesar de que se toma a la sociedad civil como parte del proceso de gobernabilidad, el objeto de análisis para evaluarlo va a quedar centrado en lo que haga o deje de hacer el gobierno, en ese sentido, la administración pública y sus instituciones crea una especie de línea de demarcación entre la gobernabilidad e ingobernabilidad. </w:t>
      </w:r>
    </w:p>
    <w:p w:rsidR="00477601" w:rsidRDefault="00477601" w:rsidP="00477601">
      <w:pPr>
        <w:rPr>
          <w:rFonts w:ascii="Arial" w:hAnsi="Arial" w:cs="Arial"/>
          <w:b/>
          <w:sz w:val="24"/>
          <w:szCs w:val="24"/>
        </w:rPr>
      </w:pPr>
      <w:r>
        <w:rPr>
          <w:rFonts w:ascii="Arial" w:hAnsi="Arial" w:cs="Arial"/>
          <w:b/>
          <w:sz w:val="24"/>
          <w:szCs w:val="24"/>
        </w:rPr>
        <w:t>Paradigma de la Nueva Gestión Pública</w:t>
      </w:r>
    </w:p>
    <w:p w:rsidR="00477601" w:rsidRDefault="00477601" w:rsidP="00477601">
      <w:pPr>
        <w:spacing w:before="240" w:line="360" w:lineRule="auto"/>
        <w:ind w:firstLine="708"/>
        <w:jc w:val="both"/>
        <w:rPr>
          <w:rFonts w:ascii="Arial" w:hAnsi="Arial" w:cs="Arial"/>
          <w:sz w:val="24"/>
          <w:szCs w:val="24"/>
        </w:rPr>
      </w:pPr>
      <w:r>
        <w:rPr>
          <w:rFonts w:ascii="Arial" w:hAnsi="Arial" w:cs="Arial"/>
          <w:sz w:val="24"/>
          <w:szCs w:val="24"/>
        </w:rPr>
        <w:t xml:space="preserve">Esta es una corriente renovadora de la administración pública, surgió en un conjunto de países desarrollados como Reino Unido, Estados Unidos, Australia, Nueva Zelanda y Canadá. Pretende implementar diversas técnicas, principios y modelos provenientes del sector privado al sector público (Cordero, Mora, Ortega y Vega, 2005, p. 51). </w:t>
      </w:r>
    </w:p>
    <w:p w:rsidR="00477601" w:rsidRDefault="00477601" w:rsidP="00477601">
      <w:pPr>
        <w:spacing w:before="240" w:line="360" w:lineRule="auto"/>
        <w:ind w:firstLine="708"/>
        <w:jc w:val="both"/>
      </w:pPr>
      <w:r>
        <w:rPr>
          <w:rFonts w:ascii="Arial" w:hAnsi="Arial" w:cs="Arial"/>
          <w:sz w:val="24"/>
          <w:szCs w:val="24"/>
        </w:rPr>
        <w:t>Existen dos grandes enfoques que explican este paradigma: la corriente neo empresarial y la corriente neo pública. La primera hace hincapié en la economía, eficacia y eficiencia de los aparatos públicos y propone una clientelización de los ciudadanos, busca principalmente la venta de empresas estatales al sector privado, adoptando así su lenguaje y los conceptos de éste. La segunda se enfoca en la reducción de tareas públicas, especialmente de los servicios públicos, haciendo que estos se ejecuten por medio de las OPG (organizaciones paragubernamentales), en otras palabras, lograr externalizar tales servicios. Otro de los principios de este enfoque es el fomento de la participación ciudadana, la ética pública, la racionalización y la descentralización (Cordero et al.  2005, p. 52-53).</w:t>
      </w:r>
    </w:p>
    <w:p w:rsidR="00477601" w:rsidRDefault="00477601" w:rsidP="00477601">
      <w:pPr>
        <w:spacing w:before="240" w:line="360" w:lineRule="auto"/>
        <w:ind w:firstLine="708"/>
        <w:jc w:val="both"/>
        <w:rPr>
          <w:rFonts w:ascii="Arial" w:hAnsi="Arial" w:cs="Arial"/>
          <w:sz w:val="24"/>
          <w:szCs w:val="24"/>
        </w:rPr>
      </w:pPr>
      <w:r>
        <w:rPr>
          <w:rFonts w:ascii="Arial" w:hAnsi="Arial" w:cs="Arial"/>
          <w:sz w:val="24"/>
          <w:szCs w:val="24"/>
        </w:rPr>
        <w:lastRenderedPageBreak/>
        <w:t xml:space="preserve">Para Schröder, P (s.f.) la Nueva Gestión Pública es definida como el sistema de control de la administración pública más innovador a nivel mundial, las empresas gubernamentales se fueron privatizando, los mercados públicos y privados fueron desregulados y se hizo patente una clara separación entre la definición estratégica de las tareas gubernamentales mediante las dependencias políticas y el cumplimiento de las tareas operativas a través de la administración, así como de gestores independientes o privados (…) pretende modificar la gestión pública de tal manera que aún no sea una empresa, pero que se vuelva más empresarial (p.7-8). </w:t>
      </w:r>
    </w:p>
    <w:p w:rsidR="00477601" w:rsidRDefault="00477601" w:rsidP="00477601">
      <w:pPr>
        <w:spacing w:before="240" w:line="360" w:lineRule="auto"/>
        <w:ind w:firstLine="708"/>
        <w:jc w:val="both"/>
        <w:rPr>
          <w:rFonts w:ascii="Arial" w:hAnsi="Arial" w:cs="Arial"/>
          <w:sz w:val="24"/>
          <w:szCs w:val="24"/>
        </w:rPr>
      </w:pPr>
      <w:r>
        <w:rPr>
          <w:rFonts w:ascii="Arial" w:hAnsi="Arial" w:cs="Arial"/>
          <w:sz w:val="24"/>
          <w:szCs w:val="24"/>
        </w:rPr>
        <w:t>Partiendo de lo anterior, es evidente que este paradigma de la Nueva Gestión Pública responde a un sistema económico de corte capitalista y/o neoliberal. Actores como el Banco Mundial, la Organización para la Cooperación, el Fondo Monetario Internacional y la Organización para la Cooperación y el Desarrollo Económico (OCDE) son los principales propulsores. Es de relevancia comprender este tipo de paradigmas dentro de este entramado teórico, ya que son los que se han iniciado a utilizar por países que han modificado sus sistemas económicos, como es el caso de Costa Rica en los años 80s con la transición de un Estado benefactor a un Estado neoliberal, abrazando así este tipo de paradigma.</w:t>
      </w:r>
    </w:p>
    <w:p w:rsidR="00477601" w:rsidRDefault="00477601" w:rsidP="00477601">
      <w:pPr>
        <w:widowControl w:val="0"/>
        <w:spacing w:line="360" w:lineRule="auto"/>
        <w:jc w:val="both"/>
        <w:rPr>
          <w:rFonts w:ascii="Arial" w:eastAsia="Times New Roman" w:hAnsi="Arial" w:cs="Arial"/>
          <w:b/>
          <w:sz w:val="24"/>
          <w:szCs w:val="24"/>
        </w:rPr>
      </w:pPr>
      <w:r>
        <w:rPr>
          <w:rFonts w:ascii="Arial" w:eastAsia="Times New Roman" w:hAnsi="Arial" w:cs="Arial"/>
          <w:b/>
          <w:sz w:val="24"/>
          <w:szCs w:val="24"/>
        </w:rPr>
        <w:t xml:space="preserve">Paradigma burocrático </w:t>
      </w:r>
    </w:p>
    <w:p w:rsidR="00477601" w:rsidRDefault="00477601" w:rsidP="00477601">
      <w:pPr>
        <w:widowControl w:val="0"/>
        <w:spacing w:line="360" w:lineRule="auto"/>
        <w:ind w:firstLine="708"/>
        <w:jc w:val="both"/>
        <w:rPr>
          <w:rFonts w:ascii="Arial" w:eastAsia="Times New Roman" w:hAnsi="Arial" w:cs="Arial"/>
          <w:sz w:val="24"/>
          <w:szCs w:val="24"/>
        </w:rPr>
      </w:pPr>
      <w:r>
        <w:rPr>
          <w:rFonts w:ascii="Arial" w:eastAsia="Times New Roman" w:hAnsi="Arial" w:cs="Arial"/>
          <w:sz w:val="24"/>
          <w:szCs w:val="24"/>
        </w:rPr>
        <w:t xml:space="preserve">Otro de los paradigmas que explican la implementación y la gestión pública es el de la burocracia. Este es uno de los modelos más renombrados en materia administrativa y organizativa, esta teoría explica que la administración pública se caracteriza por poseer un modelo burocrático inherente, que plantea la “racionalización” de todos los procesos con un corte tradicional. Es una cultura de implementación y gestión cerrada y auto referenciada. </w:t>
      </w:r>
    </w:p>
    <w:p w:rsidR="00477601" w:rsidRDefault="00477601" w:rsidP="00477601">
      <w:pPr>
        <w:widowControl w:val="0"/>
        <w:spacing w:line="360" w:lineRule="auto"/>
        <w:ind w:firstLine="708"/>
        <w:jc w:val="both"/>
        <w:rPr>
          <w:rFonts w:ascii="Arial" w:eastAsia="Times New Roman" w:hAnsi="Arial" w:cs="Arial"/>
          <w:sz w:val="24"/>
          <w:szCs w:val="24"/>
        </w:rPr>
      </w:pPr>
      <w:r>
        <w:rPr>
          <w:rFonts w:ascii="Arial" w:eastAsia="Times New Roman" w:hAnsi="Arial" w:cs="Arial"/>
          <w:sz w:val="24"/>
          <w:szCs w:val="24"/>
        </w:rPr>
        <w:t xml:space="preserve">Según Villoria, M (2009) algunas de las características más significativas de este paradigma son: </w:t>
      </w:r>
    </w:p>
    <w:p w:rsidR="00477601" w:rsidRDefault="00477601" w:rsidP="00477601">
      <w:pPr>
        <w:pStyle w:val="Prrafodelista"/>
        <w:widowControl w:val="0"/>
        <w:numPr>
          <w:ilvl w:val="0"/>
          <w:numId w:val="11"/>
        </w:numPr>
        <w:spacing w:after="200" w:line="360" w:lineRule="auto"/>
        <w:jc w:val="both"/>
        <w:rPr>
          <w:rFonts w:ascii="Arial" w:eastAsia="Times New Roman" w:hAnsi="Arial" w:cs="Arial"/>
          <w:sz w:val="24"/>
          <w:szCs w:val="24"/>
        </w:rPr>
      </w:pPr>
      <w:r>
        <w:rPr>
          <w:rFonts w:ascii="Arial" w:eastAsia="Times New Roman" w:hAnsi="Arial" w:cs="Arial"/>
          <w:sz w:val="24"/>
          <w:szCs w:val="24"/>
        </w:rPr>
        <w:t xml:space="preserve">Estructura competencial basada en normas. </w:t>
      </w:r>
    </w:p>
    <w:p w:rsidR="00477601" w:rsidRDefault="00477601" w:rsidP="00477601">
      <w:pPr>
        <w:pStyle w:val="Prrafodelista"/>
        <w:widowControl w:val="0"/>
        <w:numPr>
          <w:ilvl w:val="0"/>
          <w:numId w:val="11"/>
        </w:numPr>
        <w:spacing w:after="200" w:line="360" w:lineRule="auto"/>
        <w:jc w:val="both"/>
        <w:rPr>
          <w:rFonts w:ascii="Arial" w:eastAsia="Times New Roman" w:hAnsi="Arial" w:cs="Arial"/>
          <w:sz w:val="24"/>
          <w:szCs w:val="24"/>
        </w:rPr>
      </w:pPr>
      <w:r>
        <w:rPr>
          <w:rFonts w:ascii="Arial" w:eastAsia="Times New Roman" w:hAnsi="Arial" w:cs="Arial"/>
          <w:sz w:val="24"/>
          <w:szCs w:val="24"/>
        </w:rPr>
        <w:t xml:space="preserve">Seguimiento estricto de procedimientos. </w:t>
      </w:r>
    </w:p>
    <w:p w:rsidR="00477601" w:rsidRDefault="00477601" w:rsidP="00477601">
      <w:pPr>
        <w:pStyle w:val="Prrafodelista"/>
        <w:widowControl w:val="0"/>
        <w:numPr>
          <w:ilvl w:val="0"/>
          <w:numId w:val="11"/>
        </w:numPr>
        <w:spacing w:after="200" w:line="360" w:lineRule="auto"/>
        <w:jc w:val="both"/>
        <w:rPr>
          <w:rFonts w:ascii="Arial" w:eastAsia="Times New Roman" w:hAnsi="Arial" w:cs="Arial"/>
          <w:sz w:val="24"/>
          <w:szCs w:val="24"/>
        </w:rPr>
      </w:pPr>
      <w:r>
        <w:rPr>
          <w:rFonts w:ascii="Arial" w:eastAsia="Times New Roman" w:hAnsi="Arial" w:cs="Arial"/>
          <w:sz w:val="24"/>
          <w:szCs w:val="24"/>
        </w:rPr>
        <w:t xml:space="preserve">Uso de documentos y comunicación por escrito. </w:t>
      </w:r>
    </w:p>
    <w:p w:rsidR="00477601" w:rsidRDefault="00477601" w:rsidP="00477601">
      <w:pPr>
        <w:pStyle w:val="Prrafodelista"/>
        <w:widowControl w:val="0"/>
        <w:numPr>
          <w:ilvl w:val="0"/>
          <w:numId w:val="11"/>
        </w:numPr>
        <w:spacing w:after="200" w:line="360" w:lineRule="auto"/>
        <w:jc w:val="both"/>
        <w:rPr>
          <w:rFonts w:ascii="Arial" w:eastAsia="Times New Roman" w:hAnsi="Arial" w:cs="Arial"/>
          <w:sz w:val="24"/>
          <w:szCs w:val="24"/>
        </w:rPr>
      </w:pPr>
      <w:r>
        <w:rPr>
          <w:rFonts w:ascii="Arial" w:eastAsia="Times New Roman" w:hAnsi="Arial" w:cs="Arial"/>
          <w:sz w:val="24"/>
          <w:szCs w:val="24"/>
        </w:rPr>
        <w:lastRenderedPageBreak/>
        <w:t xml:space="preserve">Procedimientos racionales de disciplina y control. </w:t>
      </w:r>
    </w:p>
    <w:p w:rsidR="00477601" w:rsidRDefault="00477601" w:rsidP="00477601">
      <w:pPr>
        <w:pStyle w:val="Prrafodelista"/>
        <w:widowControl w:val="0"/>
        <w:numPr>
          <w:ilvl w:val="0"/>
          <w:numId w:val="11"/>
        </w:numPr>
        <w:spacing w:after="200" w:line="360" w:lineRule="auto"/>
        <w:jc w:val="both"/>
        <w:rPr>
          <w:rFonts w:ascii="Arial" w:eastAsia="Times New Roman" w:hAnsi="Arial" w:cs="Arial"/>
          <w:sz w:val="24"/>
          <w:szCs w:val="24"/>
        </w:rPr>
      </w:pPr>
      <w:r>
        <w:rPr>
          <w:rFonts w:ascii="Arial" w:eastAsia="Times New Roman" w:hAnsi="Arial" w:cs="Arial"/>
          <w:sz w:val="24"/>
          <w:szCs w:val="24"/>
        </w:rPr>
        <w:t xml:space="preserve">Sometido a relaciones jerárquicas. </w:t>
      </w:r>
    </w:p>
    <w:p w:rsidR="00477601" w:rsidRDefault="00477601" w:rsidP="00477601">
      <w:pPr>
        <w:widowControl w:val="0"/>
        <w:spacing w:line="360" w:lineRule="auto"/>
        <w:ind w:firstLine="708"/>
        <w:jc w:val="both"/>
        <w:rPr>
          <w:rFonts w:ascii="Arial" w:eastAsia="Times New Roman" w:hAnsi="Arial" w:cs="Arial"/>
          <w:sz w:val="24"/>
          <w:szCs w:val="24"/>
        </w:rPr>
      </w:pPr>
      <w:r>
        <w:rPr>
          <w:rFonts w:ascii="Arial" w:eastAsia="Times New Roman" w:hAnsi="Arial" w:cs="Arial"/>
          <w:sz w:val="24"/>
          <w:szCs w:val="24"/>
        </w:rPr>
        <w:t>Este paradigma posee una serie de críticas que en la actualidad son bastantes atinadas, el propio Max Weber consideraba la burocracia como una “jaula de hierro” que atraparía a la humanidad en su maquinización, disciplinarización y fría búsqueda de la eficiencia. También, este modelo genera una tendencia hacia la alienación, desconoce los aspectos informales de las organizaciones y presenta una dificultad de adaptación a las diversas realidades. (p. 4-5).</w:t>
      </w:r>
    </w:p>
    <w:p w:rsidR="00477601" w:rsidRDefault="00477601" w:rsidP="00477601">
      <w:pPr>
        <w:widowControl w:val="0"/>
        <w:spacing w:line="360" w:lineRule="auto"/>
        <w:ind w:firstLine="708"/>
        <w:jc w:val="both"/>
        <w:rPr>
          <w:rFonts w:ascii="Arial" w:eastAsia="Times New Roman" w:hAnsi="Arial" w:cs="Arial"/>
          <w:sz w:val="24"/>
          <w:szCs w:val="24"/>
        </w:rPr>
      </w:pPr>
      <w:r>
        <w:rPr>
          <w:rFonts w:ascii="Arial" w:eastAsia="Times New Roman" w:hAnsi="Arial" w:cs="Arial"/>
          <w:sz w:val="24"/>
          <w:szCs w:val="24"/>
        </w:rPr>
        <w:t xml:space="preserve">En ese sentido, es claro que la burocracia está presente en los procesos de implementación y gestión pública costarricense, por lo que es pertinente comprender este tipo de paradigmas para así entender de manera integral los procesos de gestión desarrollados en el AMPR Paquera-Tambor. </w:t>
      </w:r>
    </w:p>
    <w:p w:rsidR="00477601" w:rsidRDefault="00477601" w:rsidP="00477601">
      <w:pPr>
        <w:widowControl w:val="0"/>
        <w:spacing w:line="360" w:lineRule="auto"/>
        <w:ind w:firstLine="708"/>
        <w:jc w:val="both"/>
      </w:pPr>
      <w:r>
        <w:rPr>
          <w:rFonts w:ascii="Arial" w:eastAsia="Times New Roman" w:hAnsi="Arial" w:cs="Arial"/>
          <w:sz w:val="24"/>
          <w:szCs w:val="24"/>
        </w:rPr>
        <w:t xml:space="preserve">Los procedimientos burocráticos del Estado son efectuados por funcionarios, los cuales poseen cierta alienación y no poseen la libertad para decidir y actuar en razón de sus propios criterios, sino los ya referidos por la burocratización. La función estatal no debe percibirse como un proceso mecánico o estandarizado, ya que las demandas y necesidades no son idénticas, por tanto es importante que la burocratización no succione el aparato institucional para evitar la creación de una verdadera “jaula de hierro”. </w:t>
      </w:r>
    </w:p>
    <w:p w:rsidR="00477601" w:rsidRDefault="00477601" w:rsidP="00477601">
      <w:pPr>
        <w:widowControl w:val="0"/>
        <w:spacing w:line="360" w:lineRule="auto"/>
        <w:ind w:firstLine="708"/>
        <w:jc w:val="both"/>
        <w:rPr>
          <w:rFonts w:ascii="Arial" w:eastAsia="Times New Roman" w:hAnsi="Arial" w:cs="Arial"/>
          <w:sz w:val="24"/>
          <w:szCs w:val="24"/>
        </w:rPr>
      </w:pPr>
      <w:r>
        <w:rPr>
          <w:rFonts w:ascii="Arial" w:eastAsia="Times New Roman" w:hAnsi="Arial" w:cs="Arial"/>
          <w:sz w:val="24"/>
          <w:szCs w:val="24"/>
        </w:rPr>
        <w:t>Dentro de este paradigma, las instituciones públicas han sido formadas a partir de funciones plasmadas legal y legítimamente, en otro sentido, constituye la forma como se implementan las acciones decididas por el Estado. La eficiencia burocrática, en contextos de ilegitimidad, se ha sustentado en una sistemática represión, chantaje o corrupción (Huaylupo, J, 2011, p. 295-299).</w:t>
      </w:r>
    </w:p>
    <w:p w:rsidR="00477601" w:rsidRDefault="00477601" w:rsidP="00477601">
      <w:pPr>
        <w:widowControl w:val="0"/>
        <w:spacing w:line="360" w:lineRule="auto"/>
        <w:jc w:val="both"/>
        <w:rPr>
          <w:rFonts w:ascii="Arial" w:eastAsia="Times New Roman" w:hAnsi="Arial" w:cs="Arial"/>
          <w:b/>
          <w:sz w:val="24"/>
          <w:szCs w:val="24"/>
        </w:rPr>
      </w:pPr>
      <w:r>
        <w:rPr>
          <w:rFonts w:ascii="Arial" w:eastAsia="Times New Roman" w:hAnsi="Arial" w:cs="Arial"/>
          <w:b/>
          <w:sz w:val="24"/>
          <w:szCs w:val="24"/>
        </w:rPr>
        <w:t xml:space="preserve">Paradigma de la gestión social </w:t>
      </w:r>
    </w:p>
    <w:p w:rsidR="00477601" w:rsidRDefault="00477601" w:rsidP="00477601">
      <w:pPr>
        <w:widowControl w:val="0"/>
        <w:spacing w:line="360" w:lineRule="auto"/>
        <w:ind w:firstLine="708"/>
        <w:jc w:val="both"/>
        <w:rPr>
          <w:rFonts w:ascii="Arial" w:eastAsia="Times New Roman" w:hAnsi="Arial" w:cs="Arial"/>
          <w:sz w:val="24"/>
          <w:szCs w:val="24"/>
        </w:rPr>
      </w:pPr>
      <w:r>
        <w:rPr>
          <w:rFonts w:ascii="Arial" w:eastAsia="Times New Roman" w:hAnsi="Arial" w:cs="Arial"/>
          <w:sz w:val="24"/>
          <w:szCs w:val="24"/>
        </w:rPr>
        <w:t xml:space="preserve">En cuanto a la gestión social, en realidad, es una especificidad dentro de la administración pública. Según Dávila, A (s.f.) </w:t>
      </w:r>
    </w:p>
    <w:p w:rsidR="00477601" w:rsidRDefault="00477601" w:rsidP="00477601">
      <w:pPr>
        <w:widowControl w:val="0"/>
        <w:spacing w:line="360" w:lineRule="auto"/>
        <w:ind w:left="708"/>
        <w:jc w:val="both"/>
        <w:rPr>
          <w:rFonts w:ascii="Arial" w:eastAsia="Times New Roman" w:hAnsi="Arial" w:cs="Arial"/>
          <w:sz w:val="24"/>
          <w:szCs w:val="24"/>
        </w:rPr>
      </w:pPr>
      <w:r>
        <w:rPr>
          <w:rFonts w:ascii="Arial" w:eastAsia="Times New Roman" w:hAnsi="Arial" w:cs="Arial"/>
          <w:sz w:val="24"/>
          <w:szCs w:val="24"/>
        </w:rPr>
        <w:t xml:space="preserve">[…] este es un proceso complejo que implica un conjunto de funciones </w:t>
      </w:r>
      <w:r>
        <w:rPr>
          <w:rFonts w:ascii="Arial" w:eastAsia="Times New Roman" w:hAnsi="Arial" w:cs="Arial"/>
          <w:sz w:val="24"/>
          <w:szCs w:val="24"/>
        </w:rPr>
        <w:lastRenderedPageBreak/>
        <w:t>administrativas que orientan, configuran y potencian acciones concretas que pretenden la dignificación de la vida, el uso racional de los recursos, la satisfacción de las necesidades materiales e inmateriales, preservando el medio ambiente y el respeto de los derechos humanos. (p.87)</w:t>
      </w:r>
    </w:p>
    <w:p w:rsidR="00477601" w:rsidRDefault="00477601" w:rsidP="00477601">
      <w:pPr>
        <w:widowControl w:val="0"/>
        <w:spacing w:line="360" w:lineRule="auto"/>
        <w:ind w:firstLine="708"/>
        <w:jc w:val="both"/>
        <w:rPr>
          <w:rFonts w:ascii="Arial" w:eastAsia="Times New Roman" w:hAnsi="Arial" w:cs="Arial"/>
          <w:sz w:val="24"/>
          <w:szCs w:val="24"/>
        </w:rPr>
      </w:pPr>
      <w:r>
        <w:rPr>
          <w:rFonts w:ascii="Arial" w:eastAsia="Times New Roman" w:hAnsi="Arial" w:cs="Arial"/>
          <w:sz w:val="24"/>
          <w:szCs w:val="24"/>
        </w:rPr>
        <w:t>Por otra parte, para Girón, Y. (2006) este tipo de gestión es considerada como un acto político de autonomía, que parte de las necesidades, utopías y experiencias de los grupos sociales subordinados, en búsqueda de una nueva hegemonía, que produzca cambios sociales. Esta se contrapone a los mecanismos de dominación, es un arte inherente y natural de la modernidad, podemos visualizar este movimiento como una danza entre las fuerzas de dominación y las emancipadoras, las cuales pugnan por la ocupación de espacios y poderes (p. 8).</w:t>
      </w:r>
    </w:p>
    <w:p w:rsidR="00477601" w:rsidRDefault="00477601" w:rsidP="00477601">
      <w:pPr>
        <w:widowControl w:val="0"/>
        <w:spacing w:line="360" w:lineRule="auto"/>
        <w:ind w:firstLine="708"/>
        <w:jc w:val="both"/>
        <w:rPr>
          <w:rFonts w:ascii="Arial" w:eastAsia="Times New Roman" w:hAnsi="Arial" w:cs="Arial"/>
          <w:sz w:val="24"/>
          <w:szCs w:val="24"/>
        </w:rPr>
      </w:pPr>
      <w:r>
        <w:rPr>
          <w:rFonts w:ascii="Arial" w:eastAsia="Times New Roman" w:hAnsi="Arial" w:cs="Arial"/>
          <w:sz w:val="24"/>
          <w:szCs w:val="24"/>
        </w:rPr>
        <w:t xml:space="preserve">Cohen, E (2005) en su texto publicado por la CEPAL expone que </w:t>
      </w:r>
    </w:p>
    <w:p w:rsidR="00477601" w:rsidRDefault="00477601" w:rsidP="00477601">
      <w:pPr>
        <w:widowControl w:val="0"/>
        <w:spacing w:line="360" w:lineRule="auto"/>
        <w:ind w:left="708"/>
        <w:jc w:val="both"/>
      </w:pPr>
      <w:r>
        <w:rPr>
          <w:rFonts w:ascii="Arial" w:eastAsia="Times New Roman" w:hAnsi="Arial" w:cs="Arial"/>
          <w:sz w:val="24"/>
          <w:szCs w:val="24"/>
        </w:rPr>
        <w:t>[…] esta gestión exige modelos específicos de organización y gestión que tengan en cuenta, por una parte, los elementos comunes de los programas sociales y también que presten atención a aquellos que cada uno tiene de peculiar, sea en la naturaleza de sus prestaciones, sea en los atributos de la población o en las características del entorno institucional en que se insertan. (p. 99)</w:t>
      </w:r>
    </w:p>
    <w:p w:rsidR="00477601" w:rsidRDefault="00477601" w:rsidP="00477601">
      <w:pPr>
        <w:widowControl w:val="0"/>
        <w:spacing w:line="360" w:lineRule="auto"/>
        <w:ind w:firstLine="708"/>
        <w:jc w:val="both"/>
        <w:rPr>
          <w:rFonts w:ascii="Arial" w:eastAsia="Times New Roman" w:hAnsi="Arial" w:cs="Arial"/>
          <w:sz w:val="24"/>
          <w:szCs w:val="24"/>
        </w:rPr>
      </w:pPr>
      <w:r>
        <w:rPr>
          <w:rFonts w:ascii="Arial" w:eastAsia="Times New Roman" w:hAnsi="Arial" w:cs="Arial"/>
          <w:sz w:val="24"/>
          <w:szCs w:val="24"/>
        </w:rPr>
        <w:t xml:space="preserve">La gestión social puede interpretarse según lo anterior, como un medio para hacer frente a las limitaciones que muchas veces poseen los Estados/Gobiernos que se encuentran bajo un sistema capitalista dominante, dejando de lado muchos sectores de la sociedad que por su naturaleza suelen ser excluidos. Este tipo de gestión toma en cuenta el territorio donde se está gestionando, sus patrones culturales y políticos, sus relaciones con otros territorios, entre otras características más que normalmente no son consideradas en los paradigmas imperantes en la administración pública. </w:t>
      </w:r>
    </w:p>
    <w:p w:rsidR="00477601" w:rsidRDefault="00477601" w:rsidP="00477601">
      <w:pPr>
        <w:widowControl w:val="0"/>
        <w:spacing w:line="360" w:lineRule="auto"/>
        <w:ind w:firstLine="708"/>
        <w:jc w:val="both"/>
        <w:rPr>
          <w:rFonts w:ascii="Arial" w:eastAsia="Times New Roman" w:hAnsi="Arial" w:cs="Arial"/>
          <w:sz w:val="24"/>
          <w:szCs w:val="24"/>
        </w:rPr>
      </w:pPr>
      <w:r>
        <w:rPr>
          <w:rFonts w:ascii="Arial" w:eastAsia="Times New Roman" w:hAnsi="Arial" w:cs="Arial"/>
          <w:sz w:val="24"/>
          <w:szCs w:val="24"/>
        </w:rPr>
        <w:t xml:space="preserve">De todos los paradigmas hasta acá expuestos, este es quizá el único que critica directamente la hegemonía de los sistemas neoliberales actuales. Y es que este no pretende crear valor o utilidad individual, sino más bien lo contrario, busca </w:t>
      </w:r>
      <w:r>
        <w:rPr>
          <w:rFonts w:ascii="Arial" w:eastAsia="Times New Roman" w:hAnsi="Arial" w:cs="Arial"/>
          <w:sz w:val="24"/>
          <w:szCs w:val="24"/>
        </w:rPr>
        <w:lastRenderedPageBreak/>
        <w:t>generar un valor colectivo o social, en ese sentido; parte de un carácter grupal de la gestión bajo un sistema abierto.</w:t>
      </w:r>
    </w:p>
    <w:p w:rsidR="00477601" w:rsidRDefault="00477601" w:rsidP="00477601">
      <w:pPr>
        <w:widowControl w:val="0"/>
        <w:spacing w:line="360" w:lineRule="auto"/>
        <w:ind w:firstLine="708"/>
        <w:jc w:val="both"/>
        <w:rPr>
          <w:rFonts w:ascii="Arial" w:eastAsia="Times New Roman" w:hAnsi="Arial" w:cs="Arial"/>
          <w:sz w:val="24"/>
          <w:szCs w:val="24"/>
        </w:rPr>
      </w:pPr>
      <w:r>
        <w:rPr>
          <w:rFonts w:ascii="Arial" w:eastAsia="Times New Roman" w:hAnsi="Arial" w:cs="Arial"/>
          <w:sz w:val="24"/>
          <w:szCs w:val="24"/>
        </w:rPr>
        <w:t xml:space="preserve">Beaumont, M (2016) expresa que la gestión pública consiste en el desarrollo de las capacidades requeridas para la satisfacción de una necesidad social reconociendo como punto de partida el potencial transformador de las propias capacidades de los individuos y las comunidades (p. 24). Por tanto, al vincular todos los actores que participarían en esta gestión pública-social, el gobierno tendría la gran responsabilidad de ofrecer condiciones aptas para el desarrollo de procesos de gestión social, considerando todas las premisas hasta acá expuestas, incluidos los procesos burocráticos y el vigente modelo neoliberal. </w:t>
      </w:r>
    </w:p>
    <w:p w:rsidR="00477601" w:rsidRDefault="00477601" w:rsidP="00477601">
      <w:pPr>
        <w:widowControl w:val="0"/>
        <w:spacing w:line="360" w:lineRule="auto"/>
        <w:jc w:val="both"/>
        <w:rPr>
          <w:rFonts w:ascii="Arial" w:eastAsia="Times New Roman" w:hAnsi="Arial" w:cs="Arial"/>
          <w:b/>
          <w:sz w:val="24"/>
          <w:szCs w:val="24"/>
        </w:rPr>
      </w:pPr>
      <w:r>
        <w:rPr>
          <w:rFonts w:ascii="Arial" w:eastAsia="Times New Roman" w:hAnsi="Arial" w:cs="Arial"/>
          <w:b/>
          <w:sz w:val="24"/>
          <w:szCs w:val="24"/>
        </w:rPr>
        <w:t>Paradigma del desarrollo local y la gobernanza</w:t>
      </w:r>
    </w:p>
    <w:p w:rsidR="00477601" w:rsidRDefault="00477601" w:rsidP="00477601">
      <w:pPr>
        <w:widowControl w:val="0"/>
        <w:spacing w:line="360" w:lineRule="auto"/>
        <w:ind w:firstLine="708"/>
        <w:jc w:val="both"/>
      </w:pPr>
      <w:r>
        <w:rPr>
          <w:rFonts w:ascii="Arial" w:eastAsia="Times New Roman" w:hAnsi="Arial" w:cs="Arial"/>
          <w:sz w:val="24"/>
          <w:szCs w:val="24"/>
        </w:rPr>
        <w:t>Uno de los conceptos que también se desarrollan en esta investigación es el de desarrollo local. Este es definido como aquel que considera la participación activa de toda persona que vive en una comunidad, como un elemento fundamental para lograr el desarrollo de la misma. Implica un proceso político, socioeconómico y cultural que potencia la capacidad de las personas de una comunidad para la búsqueda de soluciones a sus necesidades, ante un sentir generalizado de que los beneficios del gobierno central no les llegan (Amycos, 2004, p 2).</w:t>
      </w:r>
    </w:p>
    <w:p w:rsidR="00477601" w:rsidRDefault="00477601" w:rsidP="00477601">
      <w:pPr>
        <w:widowControl w:val="0"/>
        <w:spacing w:line="360" w:lineRule="auto"/>
        <w:ind w:firstLine="708"/>
        <w:jc w:val="both"/>
        <w:rPr>
          <w:rFonts w:ascii="Arial" w:eastAsia="Times New Roman" w:hAnsi="Arial" w:cs="Arial"/>
          <w:sz w:val="24"/>
          <w:szCs w:val="24"/>
        </w:rPr>
      </w:pPr>
      <w:r>
        <w:rPr>
          <w:rFonts w:ascii="Arial" w:eastAsia="Times New Roman" w:hAnsi="Arial" w:cs="Arial"/>
          <w:sz w:val="24"/>
          <w:szCs w:val="24"/>
        </w:rPr>
        <w:t>Asimismo, parte de la perspectiva de que la naturaleza del desarrollo local está estrechamente vinculada con la participación activa de los actores locales, en ese sentido, conciben el hecho de que los procesos locales no son responsabilidad única de las instituciones, sino más bien que estas últimas funcionen como instrumentos u órganos que faciliten una mejor organización de las sociedad locales, sin la tarea de implementar todos los procesos de manera un tanto asistencialista.</w:t>
      </w:r>
    </w:p>
    <w:p w:rsidR="00477601" w:rsidRDefault="00477601" w:rsidP="00477601">
      <w:pPr>
        <w:widowControl w:val="0"/>
        <w:spacing w:line="360" w:lineRule="auto"/>
        <w:ind w:firstLine="708"/>
        <w:jc w:val="both"/>
        <w:rPr>
          <w:rFonts w:ascii="Arial" w:eastAsia="Times New Roman" w:hAnsi="Arial" w:cs="Arial"/>
          <w:sz w:val="24"/>
          <w:szCs w:val="24"/>
        </w:rPr>
      </w:pPr>
      <w:r>
        <w:rPr>
          <w:rFonts w:ascii="Arial" w:eastAsia="Times New Roman" w:hAnsi="Arial" w:cs="Arial"/>
          <w:sz w:val="24"/>
          <w:szCs w:val="24"/>
        </w:rPr>
        <w:t xml:space="preserve">Un concepto que se ajusta a esta concepción que se le pretende dar al desarrollo local, es el de desarrollo endógeno, el cual es definido como </w:t>
      </w:r>
    </w:p>
    <w:p w:rsidR="00477601" w:rsidRDefault="00477601" w:rsidP="00477601">
      <w:pPr>
        <w:widowControl w:val="0"/>
        <w:spacing w:line="360" w:lineRule="auto"/>
        <w:ind w:left="708"/>
        <w:jc w:val="both"/>
      </w:pPr>
      <w:r>
        <w:rPr>
          <w:rFonts w:ascii="Arial" w:eastAsia="Times New Roman" w:hAnsi="Arial" w:cs="Arial"/>
          <w:sz w:val="24"/>
          <w:szCs w:val="24"/>
        </w:rPr>
        <w:t xml:space="preserve">[…] un modelo socioeconómico en el que las comunidades desarrollan sus propias propuestas, es decir, el liderazgo nace en la comunidad, y las </w:t>
      </w:r>
      <w:r>
        <w:rPr>
          <w:rFonts w:ascii="Arial" w:eastAsia="Times New Roman" w:hAnsi="Arial" w:cs="Arial"/>
          <w:sz w:val="24"/>
          <w:szCs w:val="24"/>
        </w:rPr>
        <w:lastRenderedPageBreak/>
        <w:t>decisiones parten desde adentro de la comunidad misma. Por lo tanto, el desarrollo endógeno requiere otorgar la satisfacción de las necesidades básicas, la participación de los pobladores de la comunidad, la protección del ambiente. Asimismo, su meta requiere orientarse hacia el desarrollo en el nivel local, es decir, de la comunidad, para que trascienda hacia la economía del país.</w:t>
      </w:r>
      <w:r>
        <w:rPr>
          <w:rFonts w:ascii="Arial" w:eastAsia="Times New Roman" w:hAnsi="Arial" w:cs="Arial"/>
          <w:i/>
          <w:sz w:val="24"/>
          <w:szCs w:val="24"/>
        </w:rPr>
        <w:t xml:space="preserve"> </w:t>
      </w:r>
      <w:r>
        <w:rPr>
          <w:rFonts w:ascii="Arial" w:eastAsia="Times New Roman" w:hAnsi="Arial" w:cs="Arial"/>
          <w:sz w:val="24"/>
          <w:szCs w:val="24"/>
        </w:rPr>
        <w:t>(Hernández, 2012, p. 84-85)</w:t>
      </w:r>
    </w:p>
    <w:p w:rsidR="00477601" w:rsidRDefault="00477601" w:rsidP="00477601">
      <w:pPr>
        <w:widowControl w:val="0"/>
        <w:spacing w:line="360" w:lineRule="auto"/>
        <w:ind w:firstLine="708"/>
        <w:jc w:val="both"/>
        <w:rPr>
          <w:rFonts w:ascii="Arial" w:eastAsia="Times New Roman" w:hAnsi="Arial" w:cs="Arial"/>
          <w:sz w:val="24"/>
          <w:szCs w:val="24"/>
        </w:rPr>
      </w:pPr>
      <w:r>
        <w:rPr>
          <w:rFonts w:ascii="Arial" w:eastAsia="Times New Roman" w:hAnsi="Arial" w:cs="Arial"/>
          <w:sz w:val="24"/>
          <w:szCs w:val="24"/>
        </w:rPr>
        <w:t xml:space="preserve">Por otro lado, la gobernanza está incorporada en esta investigación como una teoría con el propósito de reunir elementos conceptuales que brinden un marco para interpretar la administración pública desde una perspectiva específica, ya que al referirse a la administración pública, se puede comprender desde diversas aristas. </w:t>
      </w:r>
    </w:p>
    <w:p w:rsidR="00477601" w:rsidRDefault="00477601" w:rsidP="00477601">
      <w:pPr>
        <w:widowControl w:val="0"/>
        <w:spacing w:line="360" w:lineRule="auto"/>
        <w:ind w:firstLine="708"/>
        <w:jc w:val="both"/>
      </w:pPr>
      <w:r>
        <w:rPr>
          <w:rFonts w:ascii="Arial" w:eastAsia="Times New Roman" w:hAnsi="Arial" w:cs="Arial"/>
          <w:sz w:val="24"/>
          <w:szCs w:val="24"/>
        </w:rPr>
        <w:t xml:space="preserve">Según Hernández, 2012. La Gobernanza surge básicamente por la imposibilidad del Estado de cubrir todas las cuestiones referentes a la vida en comunidad en el marco de nuestras sociedades complejas actuales, y por lo mismo la necesidad de establecer relaciones de acción conjunta con los demás sectores para lograr un beneficio común y general (p.84). </w:t>
      </w:r>
    </w:p>
    <w:p w:rsidR="00477601" w:rsidRDefault="00477601" w:rsidP="00477601">
      <w:pPr>
        <w:widowControl w:val="0"/>
        <w:spacing w:line="360" w:lineRule="auto"/>
        <w:ind w:firstLine="708"/>
        <w:jc w:val="both"/>
        <w:rPr>
          <w:rFonts w:ascii="Arial" w:eastAsia="Times New Roman" w:hAnsi="Arial" w:cs="Arial"/>
          <w:sz w:val="24"/>
          <w:szCs w:val="24"/>
        </w:rPr>
      </w:pPr>
      <w:r>
        <w:rPr>
          <w:rFonts w:ascii="Arial" w:eastAsia="Times New Roman" w:hAnsi="Arial" w:cs="Arial"/>
          <w:sz w:val="24"/>
          <w:szCs w:val="24"/>
        </w:rPr>
        <w:t>En otras palabras, la gobernanza democrática se muestra como la forma de gobernación social más adecuada para el contexto complejo de nuestras sociedades actuales: apoya la participación y la integración de sectores históricamente excluidos; permite rendición de cuentas mucho más cercana y, por lo mismo, evita los abusos de poder de los mecanismos autoritarios. (p.85).</w:t>
      </w:r>
    </w:p>
    <w:p w:rsidR="00477601" w:rsidRDefault="00477601" w:rsidP="00477601">
      <w:pPr>
        <w:widowControl w:val="0"/>
        <w:spacing w:line="360" w:lineRule="auto"/>
        <w:ind w:firstLine="708"/>
        <w:jc w:val="both"/>
        <w:rPr>
          <w:rFonts w:ascii="Arial" w:eastAsia="Times New Roman" w:hAnsi="Arial" w:cs="Arial"/>
          <w:sz w:val="24"/>
          <w:szCs w:val="24"/>
        </w:rPr>
      </w:pPr>
      <w:r>
        <w:rPr>
          <w:rFonts w:ascii="Arial" w:eastAsia="Times New Roman" w:hAnsi="Arial" w:cs="Arial"/>
          <w:sz w:val="24"/>
          <w:szCs w:val="24"/>
        </w:rPr>
        <w:t xml:space="preserve">De igual manera, la gobernanza es una noción más amplia que gobierno, puesto que no está referida a estructuras específicas, sino a una serie de procedimientos y prácticas que involucran una amplia gama de actores y redes (Ojeda citado en CLACSO, 2015, p.18). </w:t>
      </w:r>
    </w:p>
    <w:p w:rsidR="00477601" w:rsidRDefault="00477601" w:rsidP="00477601">
      <w:pPr>
        <w:widowControl w:val="0"/>
        <w:spacing w:line="360" w:lineRule="auto"/>
        <w:ind w:firstLine="708"/>
        <w:jc w:val="both"/>
        <w:rPr>
          <w:rFonts w:ascii="Arial" w:eastAsia="Times New Roman" w:hAnsi="Arial" w:cs="Arial"/>
          <w:sz w:val="24"/>
          <w:szCs w:val="24"/>
        </w:rPr>
      </w:pPr>
      <w:r>
        <w:rPr>
          <w:rFonts w:ascii="Arial" w:eastAsia="Times New Roman" w:hAnsi="Arial" w:cs="Arial"/>
          <w:sz w:val="24"/>
          <w:szCs w:val="24"/>
        </w:rPr>
        <w:t xml:space="preserve">Partiendo de todos los paradigmas anteriormente desarrollados, se realiza una vinculación crítica entre cada uno de estos y el objeto de estudio de esta investigación, el cual se centra en la relación entre la implementación y gestión de las instituciones públicas y la planificación local, pues algunos paradigmas tendrán la funcionalidad de vislumbrar críticas a ciertas prácticas dentro de la </w:t>
      </w:r>
      <w:r>
        <w:rPr>
          <w:rFonts w:ascii="Arial" w:eastAsia="Times New Roman" w:hAnsi="Arial" w:cs="Arial"/>
          <w:sz w:val="24"/>
          <w:szCs w:val="24"/>
        </w:rPr>
        <w:lastRenderedPageBreak/>
        <w:t>implementación y gestión pública, como es el caso del paradigma burocrático o la Nueva Gestión Pública,  y otros más bien servirán como instrumentos para lograr una mayor eficiencia en las practicas públicas, tales como la gestión social y/o la gobernanza.</w:t>
      </w:r>
    </w:p>
    <w:p w:rsidR="00477601" w:rsidRPr="004F0BD7" w:rsidRDefault="00477601" w:rsidP="00477601">
      <w:pPr>
        <w:pStyle w:val="Ttulo2"/>
        <w:numPr>
          <w:ilvl w:val="1"/>
          <w:numId w:val="14"/>
        </w:numPr>
        <w:spacing w:before="200" w:line="480" w:lineRule="auto"/>
        <w:rPr>
          <w:b/>
        </w:rPr>
      </w:pPr>
      <w:bookmarkStart w:id="41" w:name="_Toc49628447"/>
      <w:bookmarkStart w:id="42" w:name="_Toc50906699"/>
      <w:r w:rsidRPr="004F0BD7">
        <w:rPr>
          <w:rFonts w:ascii="Arial" w:hAnsi="Arial" w:cs="Arial"/>
          <w:b/>
          <w:color w:val="00000A"/>
        </w:rPr>
        <w:t>Políticas Públicas</w:t>
      </w:r>
      <w:bookmarkEnd w:id="41"/>
      <w:bookmarkEnd w:id="42"/>
      <w:r w:rsidRPr="004F0BD7">
        <w:rPr>
          <w:rFonts w:ascii="Arial" w:hAnsi="Arial" w:cs="Arial"/>
          <w:b/>
          <w:color w:val="00000A"/>
        </w:rPr>
        <w:t xml:space="preserve"> </w:t>
      </w:r>
    </w:p>
    <w:p w:rsidR="00477601" w:rsidRDefault="00477601" w:rsidP="00477601">
      <w:pPr>
        <w:widowControl w:val="0"/>
        <w:spacing w:line="360" w:lineRule="auto"/>
        <w:ind w:firstLine="708"/>
        <w:jc w:val="both"/>
        <w:rPr>
          <w:rFonts w:ascii="Arial" w:eastAsia="Times New Roman" w:hAnsi="Arial" w:cs="Arial"/>
          <w:sz w:val="24"/>
          <w:szCs w:val="24"/>
        </w:rPr>
      </w:pPr>
      <w:r>
        <w:rPr>
          <w:rFonts w:ascii="Arial" w:eastAsia="Times New Roman" w:hAnsi="Arial" w:cs="Arial"/>
          <w:sz w:val="24"/>
          <w:szCs w:val="24"/>
        </w:rPr>
        <w:t>Las políticas públicas son un aspecto fundamental dentro de la gestión y jurisdicción pública, ya que su estudio y análisis permite definir de manera integral lo que es un política pública, cuáles son sus funciones, su ciclo, los procesos de tomas de decisiones, entre otro si fin de aspectos que ayudan a comprender de una manera más completa el significado y finalidad de una política pública.</w:t>
      </w:r>
    </w:p>
    <w:p w:rsidR="00477601" w:rsidRDefault="00477601" w:rsidP="00477601">
      <w:pPr>
        <w:widowControl w:val="0"/>
        <w:spacing w:line="360" w:lineRule="auto"/>
        <w:ind w:firstLine="708"/>
        <w:jc w:val="both"/>
      </w:pPr>
      <w:r>
        <w:rPr>
          <w:rFonts w:ascii="Arial" w:eastAsia="Times New Roman" w:hAnsi="Arial" w:cs="Arial"/>
          <w:sz w:val="24"/>
          <w:szCs w:val="24"/>
        </w:rPr>
        <w:t xml:space="preserve">El definir el concepto de Política Pública de una manera concreta es bastante ambiguo y/o complejo, ya que existen una serie de autores, teorías y conceptos que precisan la política pública según sus objetivos, ciclos de acción, actores y demás elementos que integran una política pública. No es posible generalizar sobre un concepto universal, lo que se pretende es hacer un recuento de algunas de las teorías sobre políticas públicas y a partir de eso construir un concepto que defina de manera exhaustiva lo que es una política pública. </w:t>
      </w:r>
    </w:p>
    <w:p w:rsidR="00477601" w:rsidRDefault="00477601" w:rsidP="00477601">
      <w:pPr>
        <w:spacing w:before="240" w:line="360" w:lineRule="auto"/>
        <w:ind w:firstLine="708"/>
        <w:jc w:val="both"/>
        <w:rPr>
          <w:rFonts w:ascii="Arial" w:hAnsi="Arial" w:cs="Arial"/>
          <w:sz w:val="24"/>
          <w:szCs w:val="24"/>
        </w:rPr>
      </w:pPr>
      <w:r>
        <w:rPr>
          <w:rFonts w:ascii="Arial" w:hAnsi="Arial" w:cs="Arial"/>
          <w:sz w:val="24"/>
          <w:szCs w:val="24"/>
        </w:rPr>
        <w:t xml:space="preserve">Dentro de un sistema democrático y de Estado de Derecho como el de Costa Rica, se torna necesario el estudio y análisis de los procesos de formulación, elaboración y control de las políticas públicas, ya que estas son mecanismos políticos por excelencia para el funcionamiento de una democracia. </w:t>
      </w:r>
    </w:p>
    <w:p w:rsidR="00477601" w:rsidRDefault="00477601" w:rsidP="00477601">
      <w:pPr>
        <w:spacing w:before="240" w:line="360" w:lineRule="auto"/>
        <w:ind w:firstLine="708"/>
        <w:jc w:val="both"/>
      </w:pPr>
      <w:r>
        <w:rPr>
          <w:rFonts w:ascii="Arial" w:hAnsi="Arial" w:cs="Arial"/>
          <w:sz w:val="24"/>
          <w:szCs w:val="24"/>
        </w:rPr>
        <w:t xml:space="preserve">En cuanto a la definición teórica de política pública, se pretende utilizar una serie de autores y conceptos indagados previamente; que permiten entender de manera integral lo que es una política pública, cómo se desarrolla, cuáles son sus fases y sus participantes, etc. Lindblom, C (1991) en su libro </w:t>
      </w:r>
      <w:r>
        <w:rPr>
          <w:rFonts w:ascii="Arial" w:hAnsi="Arial" w:cs="Arial"/>
          <w:i/>
          <w:sz w:val="24"/>
          <w:szCs w:val="24"/>
        </w:rPr>
        <w:t>El Proceso de Elaboración de Políticas Públicas</w:t>
      </w:r>
      <w:r>
        <w:rPr>
          <w:rFonts w:ascii="Arial" w:hAnsi="Arial" w:cs="Arial"/>
          <w:sz w:val="24"/>
          <w:szCs w:val="24"/>
        </w:rPr>
        <w:t xml:space="preserve"> expone que para comprender de manera sistémica las políticas públicas, es necesario comprender la complejidad del proceso de elaboración.</w:t>
      </w:r>
    </w:p>
    <w:p w:rsidR="00477601" w:rsidRDefault="00477601" w:rsidP="00477601">
      <w:pPr>
        <w:spacing w:before="240" w:line="360" w:lineRule="auto"/>
        <w:ind w:left="708"/>
        <w:jc w:val="both"/>
      </w:pPr>
      <w:r>
        <w:rPr>
          <w:rFonts w:ascii="Arial" w:hAnsi="Arial" w:cs="Arial"/>
          <w:sz w:val="24"/>
          <w:szCs w:val="24"/>
        </w:rPr>
        <w:lastRenderedPageBreak/>
        <w:t>Un método popular en los últimos años es el de separar la elaboración de políticas públicas en sus distintas fases y después analizar cada una de ellas. Primero se estudia como aparecen los problemas y se recogen en la agenda de decisiones del gobierno sobre políticas públicas, luego se estudia cómo la gente plantea los temas para la acción, como proceden los legisladores, como luego los funcionarios implementan las decisiones y finalmente como se evalúan las políticas.</w:t>
      </w:r>
      <w:r>
        <w:rPr>
          <w:rFonts w:ascii="Arial" w:hAnsi="Arial" w:cs="Arial"/>
          <w:i/>
          <w:sz w:val="24"/>
          <w:szCs w:val="24"/>
        </w:rPr>
        <w:t xml:space="preserve"> </w:t>
      </w:r>
      <w:r>
        <w:rPr>
          <w:rFonts w:ascii="Arial" w:hAnsi="Arial" w:cs="Arial"/>
          <w:sz w:val="24"/>
          <w:szCs w:val="24"/>
        </w:rPr>
        <w:t>(Lindblom, 1991, p. 11)</w:t>
      </w:r>
    </w:p>
    <w:p w:rsidR="00477601" w:rsidRDefault="00477601" w:rsidP="00477601">
      <w:pPr>
        <w:spacing w:before="240" w:line="360" w:lineRule="auto"/>
        <w:ind w:firstLine="708"/>
        <w:jc w:val="both"/>
        <w:rPr>
          <w:rFonts w:ascii="Arial" w:hAnsi="Arial" w:cs="Arial"/>
          <w:sz w:val="24"/>
          <w:szCs w:val="24"/>
        </w:rPr>
      </w:pPr>
      <w:r>
        <w:rPr>
          <w:rFonts w:ascii="Arial" w:hAnsi="Arial" w:cs="Arial"/>
          <w:sz w:val="24"/>
          <w:szCs w:val="24"/>
        </w:rPr>
        <w:t xml:space="preserve">Lo anterior es fundamental para comprender el proceso de formulación y ejecución de una política pública, ahora bien, también es necesario conceptualizar para que funcione una política pública como tal. Según Landau (1996) una política es un </w:t>
      </w:r>
    </w:p>
    <w:p w:rsidR="00477601" w:rsidRDefault="00477601" w:rsidP="00477601">
      <w:pPr>
        <w:spacing w:before="240" w:line="360" w:lineRule="auto"/>
        <w:ind w:left="708"/>
        <w:jc w:val="both"/>
      </w:pPr>
      <w:r>
        <w:rPr>
          <w:rFonts w:ascii="Arial" w:hAnsi="Arial" w:cs="Arial"/>
          <w:sz w:val="24"/>
          <w:szCs w:val="24"/>
        </w:rPr>
        <w:t>[…] subconjunto del concepto de lo político, o como idéntico sin más a lo político, como inclusivo de otras dimensiones (interdisciplinario) o como medio para atacar de manera integrada los problemas sociales. […] Una política propone una intervención para alterar alguna circunstancia o un modo de conducta.</w:t>
      </w:r>
      <w:r>
        <w:rPr>
          <w:rFonts w:ascii="Arial" w:hAnsi="Arial" w:cs="Arial"/>
          <w:i/>
          <w:sz w:val="24"/>
          <w:szCs w:val="24"/>
        </w:rPr>
        <w:t xml:space="preserve"> </w:t>
      </w:r>
      <w:r>
        <w:rPr>
          <w:rFonts w:ascii="Arial" w:hAnsi="Arial" w:cs="Arial"/>
          <w:sz w:val="24"/>
          <w:szCs w:val="24"/>
        </w:rPr>
        <w:t>(1996, p. 276-278)</w:t>
      </w:r>
    </w:p>
    <w:p w:rsidR="00477601" w:rsidRDefault="00477601" w:rsidP="00477601">
      <w:pPr>
        <w:spacing w:before="240" w:line="360" w:lineRule="auto"/>
        <w:ind w:firstLine="708"/>
        <w:jc w:val="both"/>
        <w:rPr>
          <w:rFonts w:ascii="Arial" w:hAnsi="Arial" w:cs="Arial"/>
          <w:sz w:val="24"/>
          <w:szCs w:val="24"/>
        </w:rPr>
      </w:pPr>
      <w:r>
        <w:rPr>
          <w:rFonts w:ascii="Arial" w:hAnsi="Arial" w:cs="Arial"/>
          <w:sz w:val="24"/>
          <w:szCs w:val="24"/>
        </w:rPr>
        <w:t>Se podría considerar que las políticas públicas son mecanismos utilizados por el sector público para atacar problemas sociales, llegando a cambiar circunstancias e incluso modos de conducta. Autores como Deubel (2014) exponen que una política pública es “Un conjunto de elementos y procesos que, con el concurso activo o voluntariamente inactivo de alguna institución gubernamental o autoridad pública, se articulan racionalmente entre sí para lograr el mantenimiento o la modificación de algún aspecto del orden social” (2014, p. 35-36).</w:t>
      </w:r>
    </w:p>
    <w:p w:rsidR="00477601" w:rsidRDefault="00477601" w:rsidP="00477601">
      <w:pPr>
        <w:spacing w:before="240" w:line="360" w:lineRule="auto"/>
        <w:ind w:firstLine="708"/>
        <w:jc w:val="both"/>
      </w:pPr>
      <w:r>
        <w:rPr>
          <w:rFonts w:ascii="Arial" w:hAnsi="Arial" w:cs="Arial"/>
          <w:sz w:val="24"/>
          <w:szCs w:val="24"/>
        </w:rPr>
        <w:t xml:space="preserve">Por otro lado, Ruiz Sánchez (2002) desarrolla en el </w:t>
      </w:r>
      <w:r>
        <w:rPr>
          <w:rFonts w:ascii="Arial" w:hAnsi="Arial" w:cs="Arial"/>
          <w:i/>
          <w:sz w:val="24"/>
          <w:szCs w:val="24"/>
        </w:rPr>
        <w:t xml:space="preserve">Manual para la Elaboración de Políticas Públicas </w:t>
      </w:r>
      <w:r>
        <w:rPr>
          <w:rFonts w:ascii="Arial" w:hAnsi="Arial" w:cs="Arial"/>
          <w:sz w:val="24"/>
          <w:szCs w:val="24"/>
        </w:rPr>
        <w:t xml:space="preserve">que una política es una práctica social y no un evento singular o aislado, ocasionado por la necesidad de reconciliar demandas conflictivas o establecer incentivos de acción colectiva entre aquellos que comparten metan, pero encuentran irracional cooperar con otro (2002, p. 14-15). </w:t>
      </w:r>
    </w:p>
    <w:p w:rsidR="00477601" w:rsidRDefault="00477601" w:rsidP="00477601">
      <w:pPr>
        <w:spacing w:before="240" w:line="360" w:lineRule="auto"/>
        <w:ind w:firstLine="708"/>
        <w:jc w:val="both"/>
        <w:rPr>
          <w:rFonts w:ascii="Arial" w:hAnsi="Arial" w:cs="Arial"/>
          <w:sz w:val="24"/>
          <w:szCs w:val="24"/>
        </w:rPr>
      </w:pPr>
      <w:r>
        <w:rPr>
          <w:rFonts w:ascii="Arial" w:hAnsi="Arial" w:cs="Arial"/>
          <w:sz w:val="24"/>
          <w:szCs w:val="24"/>
        </w:rPr>
        <w:lastRenderedPageBreak/>
        <w:t xml:space="preserve">Además, autores como Subirats, Knoepfel, Larrue y Varonne (2008), definen que una política pública es: </w:t>
      </w:r>
    </w:p>
    <w:p w:rsidR="00477601" w:rsidRDefault="00477601" w:rsidP="00477601">
      <w:pPr>
        <w:widowControl w:val="0"/>
        <w:spacing w:line="360" w:lineRule="auto"/>
        <w:ind w:left="708"/>
        <w:jc w:val="both"/>
        <w:rPr>
          <w:rFonts w:ascii="Arial" w:hAnsi="Arial" w:cs="Arial"/>
          <w:sz w:val="24"/>
          <w:szCs w:val="24"/>
        </w:rPr>
      </w:pPr>
      <w:r>
        <w:rPr>
          <w:rFonts w:ascii="Arial" w:hAnsi="Arial" w:cs="Arial"/>
          <w:sz w:val="24"/>
          <w:szCs w:val="24"/>
        </w:rPr>
        <w:t>Una serie de decisiones o de acciones, intencionalmente coherentes, tomadas por diferentes actores, públicos y a veces no públicos […] a fin de resolver de manera puntual un problema políticamente definido como colectivo. Este conjunto de decisiones y acciones da lugar a actos formales, con un grado de obligatoriedad variable, tendentes a modificar la conducta de grupos sociales que, se supone, originaron el problema colectivo a resolver […], en el interés de grupos sociales que padecen los efectos negativos del problema en cuestión. (p. 36)</w:t>
      </w:r>
    </w:p>
    <w:p w:rsidR="00477601" w:rsidRDefault="00477601" w:rsidP="00477601">
      <w:pPr>
        <w:spacing w:before="240" w:line="360" w:lineRule="auto"/>
        <w:ind w:firstLine="708"/>
        <w:jc w:val="both"/>
      </w:pPr>
      <w:r>
        <w:rPr>
          <w:rFonts w:ascii="Arial" w:hAnsi="Arial" w:cs="Arial"/>
          <w:sz w:val="24"/>
          <w:szCs w:val="24"/>
        </w:rPr>
        <w:t>Todos los autores mencionados anteriormente se relacionan en una cuestión específica, y es que todos conciben la política pública como un mecanismo para abarcar y mitigar problemas sociales, que conlleva a una serie de decisiones y acciones coherentes, y que involucra a muchos de ellos, para resolver de manera puntual un problema políticamente definido como público.</w:t>
      </w:r>
    </w:p>
    <w:p w:rsidR="00477601" w:rsidRDefault="00477601" w:rsidP="00477601">
      <w:pPr>
        <w:spacing w:before="240" w:line="360" w:lineRule="auto"/>
        <w:ind w:firstLine="708"/>
        <w:jc w:val="both"/>
        <w:rPr>
          <w:rFonts w:ascii="Arial" w:hAnsi="Arial" w:cs="Arial"/>
          <w:sz w:val="24"/>
          <w:szCs w:val="24"/>
        </w:rPr>
      </w:pPr>
      <w:r>
        <w:rPr>
          <w:rFonts w:ascii="Arial" w:hAnsi="Arial" w:cs="Arial"/>
          <w:sz w:val="24"/>
          <w:szCs w:val="24"/>
        </w:rPr>
        <w:t xml:space="preserve">Una política pública se formula y ejecuta de manera coherente, de manera sistémica. Varios autores han sostenido teorías sobre los ciclos de vida de una política pública. Por ejemplo, Deubel (2014) desarrolló un ciclo de vida de la política pública que integra las siguientes fases: </w:t>
      </w:r>
    </w:p>
    <w:p w:rsidR="00477601" w:rsidRDefault="00477601" w:rsidP="00477601">
      <w:pPr>
        <w:pStyle w:val="Prrafodelista"/>
        <w:numPr>
          <w:ilvl w:val="0"/>
          <w:numId w:val="13"/>
        </w:numPr>
        <w:spacing w:before="240" w:line="360" w:lineRule="auto"/>
        <w:jc w:val="both"/>
        <w:rPr>
          <w:rFonts w:ascii="Arial" w:hAnsi="Arial" w:cs="Arial"/>
          <w:sz w:val="24"/>
          <w:szCs w:val="24"/>
        </w:rPr>
      </w:pPr>
      <w:r>
        <w:rPr>
          <w:rFonts w:ascii="Arial" w:hAnsi="Arial" w:cs="Arial"/>
          <w:sz w:val="24"/>
          <w:szCs w:val="24"/>
        </w:rPr>
        <w:t xml:space="preserve">Identificación del problema. </w:t>
      </w:r>
    </w:p>
    <w:p w:rsidR="00477601" w:rsidRDefault="00477601" w:rsidP="00477601">
      <w:pPr>
        <w:pStyle w:val="Prrafodelista"/>
        <w:numPr>
          <w:ilvl w:val="0"/>
          <w:numId w:val="13"/>
        </w:numPr>
        <w:spacing w:before="240" w:line="360" w:lineRule="auto"/>
        <w:jc w:val="both"/>
        <w:rPr>
          <w:rFonts w:ascii="Arial" w:hAnsi="Arial" w:cs="Arial"/>
          <w:sz w:val="24"/>
          <w:szCs w:val="24"/>
        </w:rPr>
      </w:pPr>
      <w:r>
        <w:rPr>
          <w:rFonts w:ascii="Arial" w:hAnsi="Arial" w:cs="Arial"/>
          <w:sz w:val="24"/>
          <w:szCs w:val="24"/>
        </w:rPr>
        <w:t xml:space="preserve">Formulación de soluciones o acciones. </w:t>
      </w:r>
    </w:p>
    <w:p w:rsidR="00477601" w:rsidRDefault="00477601" w:rsidP="00477601">
      <w:pPr>
        <w:pStyle w:val="Prrafodelista"/>
        <w:numPr>
          <w:ilvl w:val="0"/>
          <w:numId w:val="13"/>
        </w:numPr>
        <w:spacing w:before="240" w:line="360" w:lineRule="auto"/>
        <w:jc w:val="both"/>
        <w:rPr>
          <w:rFonts w:ascii="Arial" w:hAnsi="Arial" w:cs="Arial"/>
          <w:sz w:val="24"/>
          <w:szCs w:val="24"/>
        </w:rPr>
      </w:pPr>
      <w:r>
        <w:rPr>
          <w:rFonts w:ascii="Arial" w:hAnsi="Arial" w:cs="Arial"/>
          <w:sz w:val="24"/>
          <w:szCs w:val="24"/>
        </w:rPr>
        <w:t xml:space="preserve">Toma de decisión. </w:t>
      </w:r>
    </w:p>
    <w:p w:rsidR="00477601" w:rsidRDefault="00477601" w:rsidP="00477601">
      <w:pPr>
        <w:pStyle w:val="Prrafodelista"/>
        <w:numPr>
          <w:ilvl w:val="0"/>
          <w:numId w:val="13"/>
        </w:numPr>
        <w:spacing w:before="240" w:line="360" w:lineRule="auto"/>
        <w:jc w:val="both"/>
        <w:rPr>
          <w:rFonts w:ascii="Arial" w:hAnsi="Arial" w:cs="Arial"/>
          <w:sz w:val="24"/>
          <w:szCs w:val="24"/>
        </w:rPr>
      </w:pPr>
      <w:r>
        <w:rPr>
          <w:rFonts w:ascii="Arial" w:hAnsi="Arial" w:cs="Arial"/>
          <w:sz w:val="24"/>
          <w:szCs w:val="24"/>
        </w:rPr>
        <w:t xml:space="preserve">Implementación. </w:t>
      </w:r>
    </w:p>
    <w:p w:rsidR="00477601" w:rsidRDefault="00477601" w:rsidP="00477601">
      <w:pPr>
        <w:pStyle w:val="Prrafodelista"/>
        <w:numPr>
          <w:ilvl w:val="0"/>
          <w:numId w:val="13"/>
        </w:numPr>
        <w:spacing w:before="240" w:line="360" w:lineRule="auto"/>
        <w:jc w:val="both"/>
        <w:rPr>
          <w:rFonts w:ascii="Arial" w:hAnsi="Arial" w:cs="Arial"/>
          <w:sz w:val="24"/>
          <w:szCs w:val="24"/>
        </w:rPr>
      </w:pPr>
      <w:r>
        <w:rPr>
          <w:rFonts w:ascii="Arial" w:hAnsi="Arial" w:cs="Arial"/>
          <w:sz w:val="24"/>
          <w:szCs w:val="24"/>
        </w:rPr>
        <w:t xml:space="preserve">Evaluación. </w:t>
      </w:r>
    </w:p>
    <w:p w:rsidR="00477601" w:rsidRDefault="00477601" w:rsidP="00477601">
      <w:pPr>
        <w:spacing w:before="240" w:line="360" w:lineRule="auto"/>
        <w:ind w:firstLine="708"/>
        <w:jc w:val="both"/>
      </w:pPr>
      <w:r>
        <w:rPr>
          <w:rFonts w:ascii="Arial" w:hAnsi="Arial" w:cs="Arial"/>
          <w:sz w:val="24"/>
          <w:szCs w:val="24"/>
        </w:rPr>
        <w:t xml:space="preserve">Las políticas públicas buscan solucionar problemas colectivos específicos, problemas que pueden ocasionar un descontrol social. Deubel (2014) define el problema como “la situación que genera preguntas, malestar o insatisfacción. Las definición implica una actividad de identificación, caracterización y análisis particular de la situación y conlleva a la realización de discusiones e investigaciones” (p. 118). </w:t>
      </w:r>
      <w:r>
        <w:rPr>
          <w:rFonts w:ascii="Arial" w:hAnsi="Arial" w:cs="Arial"/>
          <w:sz w:val="24"/>
          <w:szCs w:val="24"/>
        </w:rPr>
        <w:lastRenderedPageBreak/>
        <w:t>Por otro lado, se agrega que una política pública puede responder a demandas políticas, demandas sociales, necesidades identificables, juicios de valor sobre cierta realidad y/o compromisos políticos asumidos. (Ruíz Sánchez, 2002, p. 16). En ese sentido, el problema se ajusta fundamentalmente a las subjetividades de las personas que toman las decisiones sobre si se aplica o no una política sobre una realidad o problema específico.</w:t>
      </w:r>
    </w:p>
    <w:p w:rsidR="00477601" w:rsidRDefault="00477601" w:rsidP="00477601">
      <w:pPr>
        <w:spacing w:before="240" w:line="360" w:lineRule="auto"/>
        <w:ind w:firstLine="708"/>
        <w:jc w:val="both"/>
      </w:pPr>
      <w:r>
        <w:rPr>
          <w:rFonts w:ascii="Arial" w:hAnsi="Arial" w:cs="Arial"/>
          <w:sz w:val="24"/>
        </w:rPr>
        <w:t>Anteriormente se mencionó que la primera fase del ciclo de vida de una política pública, que es el de la identificación de problemas. Los problemas son incorporados en la agenda pública. Meny y Thoening definen la agenda como “el conjunto de los problemas que apelan a un debate público, incluso a la intervención (activa) de las autoridades públicas legítimas”</w:t>
      </w:r>
      <w:r>
        <w:rPr>
          <w:rFonts w:ascii="Arial" w:hAnsi="Arial" w:cs="Arial"/>
          <w:i/>
          <w:sz w:val="24"/>
        </w:rPr>
        <w:t xml:space="preserve"> </w:t>
      </w:r>
      <w:r>
        <w:rPr>
          <w:rFonts w:ascii="Arial" w:hAnsi="Arial" w:cs="Arial"/>
          <w:sz w:val="24"/>
        </w:rPr>
        <w:t>(1992, p. 114).</w:t>
      </w:r>
    </w:p>
    <w:p w:rsidR="00477601" w:rsidRDefault="00477601" w:rsidP="00477601">
      <w:pPr>
        <w:spacing w:before="240" w:line="360" w:lineRule="auto"/>
        <w:ind w:firstLine="708"/>
        <w:jc w:val="both"/>
        <w:rPr>
          <w:rFonts w:ascii="Arial" w:hAnsi="Arial" w:cs="Arial"/>
          <w:sz w:val="24"/>
        </w:rPr>
      </w:pPr>
      <w:r>
        <w:rPr>
          <w:rFonts w:ascii="Arial" w:hAnsi="Arial" w:cs="Arial"/>
          <w:sz w:val="24"/>
        </w:rPr>
        <w:t>Luego de la identificación del problema y su incorporación a la agenda pública, continúa la formulación de acción o soluciones. Esta consiste en que la administración debe de elucidar el problema proponiendo una o varias soluciones (Deubel, 2014, p. 87). Para Ruiz Sánchez una solución es desarrollar un plan, un método, una prescripción para satisfacer alguna necesidad o actuar sobre un problema; puede existir una solución para cada problema, varias soluciones para un solo problema, una solución para varios problemas y problemas que no tengan solución (2002, p. 21).</w:t>
      </w:r>
    </w:p>
    <w:p w:rsidR="00477601" w:rsidRDefault="00477601" w:rsidP="00477601">
      <w:pPr>
        <w:spacing w:before="240" w:line="360" w:lineRule="auto"/>
        <w:ind w:firstLine="708"/>
        <w:jc w:val="both"/>
        <w:rPr>
          <w:rFonts w:ascii="Arial" w:hAnsi="Arial" w:cs="Arial"/>
          <w:sz w:val="24"/>
        </w:rPr>
      </w:pPr>
      <w:r>
        <w:rPr>
          <w:rFonts w:ascii="Arial" w:hAnsi="Arial" w:cs="Arial"/>
          <w:sz w:val="24"/>
        </w:rPr>
        <w:t>Es en la fase de formulación de soluciones en donde el gobierno fija prioridades, metas, objetivos y metodologías, y a partir de estas es que se designan los planes, programas y proyectos de la política pública. Estas decisiones son tomadas por una diversidad de actores, son decisiones intersubjetivas, que muchas veces no puede ser la más racional. Es por eso que los gobiernos tienden a considerar los criterios técnicos, ya que su principal respaldo es el criterio político e ideológico.</w:t>
      </w:r>
    </w:p>
    <w:p w:rsidR="00477601" w:rsidRDefault="00477601" w:rsidP="00477601">
      <w:pPr>
        <w:spacing w:before="240" w:line="360" w:lineRule="auto"/>
        <w:ind w:firstLine="708"/>
        <w:jc w:val="both"/>
        <w:rPr>
          <w:rFonts w:ascii="Arial" w:hAnsi="Arial" w:cs="Arial"/>
          <w:sz w:val="24"/>
        </w:rPr>
      </w:pPr>
      <w:r>
        <w:rPr>
          <w:rFonts w:ascii="Arial" w:hAnsi="Arial" w:cs="Arial"/>
          <w:sz w:val="24"/>
        </w:rPr>
        <w:t xml:space="preserve">En el proceso de formulación de una política pública, se ejercen relaciones de poder, en donde existen actores y grupos de presión que exigen a las autoridades públicas alguna solución para un problema en específico, además de </w:t>
      </w:r>
      <w:r>
        <w:rPr>
          <w:rFonts w:ascii="Arial" w:hAnsi="Arial" w:cs="Arial"/>
          <w:sz w:val="24"/>
        </w:rPr>
        <w:lastRenderedPageBreak/>
        <w:t>los conflictos y disensos en las mesas de diálogo y negociación entre los actores públicos responsables de tomar las decisiones.</w:t>
      </w:r>
    </w:p>
    <w:p w:rsidR="00477601" w:rsidRDefault="00477601" w:rsidP="00477601">
      <w:pPr>
        <w:spacing w:before="240" w:line="360" w:lineRule="auto"/>
        <w:ind w:left="705"/>
        <w:jc w:val="both"/>
        <w:rPr>
          <w:rFonts w:ascii="Arial" w:hAnsi="Arial" w:cs="Arial"/>
          <w:sz w:val="24"/>
        </w:rPr>
      </w:pPr>
      <w:r>
        <w:rPr>
          <w:rFonts w:ascii="Arial" w:hAnsi="Arial" w:cs="Arial"/>
          <w:sz w:val="24"/>
        </w:rPr>
        <w:t xml:space="preserve">[…] El número de alternativas se va reduciendo por un proceso de selección hasta escoger una sola que termina por imponerse como la mejor o la más factible. Por lo general, la selección es el resultado de una actividad política en la cual los actores entren en conflicto, amenazan, buscan aliados, chantajean, negocian acuerdos, juegan con sus capacidades comunicativas, de persuasión, de propaganda, de movilización, de información, etc. (Deubel, 2014, p. 144) </w:t>
      </w:r>
    </w:p>
    <w:p w:rsidR="00477601" w:rsidRDefault="00477601" w:rsidP="00477601">
      <w:pPr>
        <w:spacing w:before="240" w:line="360" w:lineRule="auto"/>
        <w:ind w:firstLine="705"/>
        <w:jc w:val="both"/>
      </w:pPr>
      <w:r>
        <w:rPr>
          <w:rFonts w:ascii="Arial" w:hAnsi="Arial" w:cs="Arial"/>
          <w:sz w:val="24"/>
        </w:rPr>
        <w:t xml:space="preserve">Meny &amp; Thoening (1992) exponen con respecto a las tomas de decisiones que estas son actividades de uno o varios actores que, enfrentados a los problemas, se encuentran en situación de elegir. Dicho proceso desemboca en un resultado que llamamos solución. Es necesario dotar estas decisiones de una buena teoría, de instrumentos conceptuales y analíticos que expliquen el porqué y el cómo de los comportamientos decisorios (p. 140). </w:t>
      </w:r>
    </w:p>
    <w:p w:rsidR="00477601" w:rsidRDefault="00477601" w:rsidP="00477601">
      <w:pPr>
        <w:spacing w:before="240" w:line="360" w:lineRule="auto"/>
        <w:ind w:firstLine="705"/>
        <w:jc w:val="both"/>
        <w:rPr>
          <w:rFonts w:ascii="Arial" w:hAnsi="Arial" w:cs="Arial"/>
          <w:sz w:val="24"/>
        </w:rPr>
      </w:pPr>
      <w:r>
        <w:rPr>
          <w:rFonts w:ascii="Arial" w:hAnsi="Arial" w:cs="Arial"/>
          <w:sz w:val="24"/>
        </w:rPr>
        <w:t xml:space="preserve">Estos procesos de decisión traducen a menudo momentos de incertidumbre, presión, y tensión. Está en juego el porvenir, están en discusión intereses, y se ven afectados ciertos administrativos. Existen motivos suficientes para que se desestabilicen los egos bajo el peso de las responsabilidades (Meny &amp; Thoening. 1992, p. 141-142). </w:t>
      </w:r>
    </w:p>
    <w:p w:rsidR="00477601" w:rsidRDefault="00477601" w:rsidP="00477601">
      <w:pPr>
        <w:spacing w:before="240" w:line="360" w:lineRule="auto"/>
        <w:ind w:firstLine="705"/>
        <w:jc w:val="both"/>
        <w:rPr>
          <w:rFonts w:ascii="Arial" w:hAnsi="Arial" w:cs="Arial"/>
          <w:sz w:val="24"/>
        </w:rPr>
      </w:pPr>
      <w:r>
        <w:rPr>
          <w:rFonts w:ascii="Arial" w:hAnsi="Arial" w:cs="Arial"/>
          <w:sz w:val="24"/>
        </w:rPr>
        <w:t>Además, existen otros actores que también poseen gran injerencia en las tomas de decisiones dentro de los procesos de formulación de políticas públicas. Los medios de comunicación, por ejemplo, según Parsons, W, poseen una influencia masiva en la definición de las agendas públicas. Se destacan dos factores: 1) la relación de los periodistas con las élites de la formulación de políticas públicas y 2) la presión que ejercen estos medios al gobierno sobre las demandas y exigencias de grupos sociales (p. 145).</w:t>
      </w:r>
    </w:p>
    <w:p w:rsidR="00477601" w:rsidRDefault="00477601" w:rsidP="00477601">
      <w:pPr>
        <w:spacing w:before="240" w:line="360" w:lineRule="auto"/>
        <w:ind w:firstLine="705"/>
        <w:jc w:val="both"/>
        <w:rPr>
          <w:rFonts w:ascii="Arial" w:hAnsi="Arial" w:cs="Arial"/>
          <w:sz w:val="24"/>
        </w:rPr>
      </w:pPr>
      <w:r>
        <w:rPr>
          <w:rFonts w:ascii="Arial" w:hAnsi="Arial" w:cs="Arial"/>
          <w:sz w:val="24"/>
        </w:rPr>
        <w:lastRenderedPageBreak/>
        <w:t xml:space="preserve">Existen una serie de metodologías y/o herramientas para la formulación de soluciones dentro de las políticas públicas. Algunas desarrolladas por Deubel son: </w:t>
      </w:r>
    </w:p>
    <w:p w:rsidR="00477601" w:rsidRDefault="00477601" w:rsidP="00477601">
      <w:pPr>
        <w:pStyle w:val="Prrafodelista"/>
        <w:numPr>
          <w:ilvl w:val="0"/>
          <w:numId w:val="13"/>
        </w:numPr>
        <w:spacing w:before="240" w:line="360" w:lineRule="auto"/>
        <w:jc w:val="both"/>
      </w:pPr>
      <w:r>
        <w:rPr>
          <w:rFonts w:ascii="Arial" w:hAnsi="Arial" w:cs="Arial"/>
          <w:b/>
          <w:sz w:val="24"/>
          <w:szCs w:val="24"/>
        </w:rPr>
        <w:t>Cascada de metas y objetivo</w:t>
      </w:r>
      <w:r>
        <w:rPr>
          <w:rFonts w:ascii="Arial" w:hAnsi="Arial" w:cs="Arial"/>
          <w:b/>
          <w:i/>
          <w:sz w:val="24"/>
          <w:szCs w:val="24"/>
        </w:rPr>
        <w:t>s:</w:t>
      </w:r>
      <w:r>
        <w:rPr>
          <w:rFonts w:ascii="Arial" w:hAnsi="Arial" w:cs="Arial"/>
          <w:i/>
          <w:sz w:val="24"/>
          <w:szCs w:val="24"/>
        </w:rPr>
        <w:t xml:space="preserve"> </w:t>
      </w:r>
      <w:r>
        <w:rPr>
          <w:rFonts w:ascii="Arial" w:hAnsi="Arial" w:cs="Arial"/>
          <w:sz w:val="24"/>
          <w:szCs w:val="24"/>
        </w:rPr>
        <w:t xml:space="preserve">se trata de determinar una serie de fines y objetivos siempre más concretos que se conforman en cascada. El objetivo es una meta para el objetivo situado “río abajo”. </w:t>
      </w:r>
    </w:p>
    <w:p w:rsidR="00477601" w:rsidRDefault="00477601" w:rsidP="00477601">
      <w:pPr>
        <w:pStyle w:val="Prrafodelista"/>
        <w:numPr>
          <w:ilvl w:val="0"/>
          <w:numId w:val="13"/>
        </w:numPr>
        <w:spacing w:before="240" w:line="360" w:lineRule="auto"/>
        <w:jc w:val="both"/>
      </w:pPr>
      <w:r>
        <w:rPr>
          <w:rFonts w:ascii="Arial" w:hAnsi="Arial" w:cs="Arial"/>
          <w:b/>
          <w:sz w:val="24"/>
          <w:szCs w:val="24"/>
        </w:rPr>
        <w:t>Análisis de costo-beneficio:</w:t>
      </w:r>
      <w:r>
        <w:rPr>
          <w:rFonts w:ascii="Arial" w:hAnsi="Arial" w:cs="Arial"/>
          <w:i/>
          <w:sz w:val="24"/>
          <w:szCs w:val="24"/>
        </w:rPr>
        <w:t xml:space="preserve"> </w:t>
      </w:r>
      <w:r>
        <w:rPr>
          <w:rFonts w:ascii="Arial" w:hAnsi="Arial" w:cs="Arial"/>
          <w:sz w:val="24"/>
          <w:szCs w:val="24"/>
        </w:rPr>
        <w:t xml:space="preserve">presenta bajo formas de unidades de medición monetaria, correspondientes a cada una de las soluciones encontradas. La comparación de los resultados por cada solución debe permitir escoger la que ofrece los mayores beneficios. </w:t>
      </w:r>
    </w:p>
    <w:p w:rsidR="00477601" w:rsidRDefault="00477601" w:rsidP="00477601">
      <w:pPr>
        <w:pStyle w:val="Prrafodelista"/>
        <w:numPr>
          <w:ilvl w:val="0"/>
          <w:numId w:val="13"/>
        </w:numPr>
        <w:spacing w:before="240" w:line="360" w:lineRule="auto"/>
        <w:jc w:val="both"/>
      </w:pPr>
      <w:r>
        <w:rPr>
          <w:rFonts w:ascii="Arial" w:hAnsi="Arial" w:cs="Arial"/>
          <w:b/>
          <w:sz w:val="24"/>
          <w:szCs w:val="24"/>
        </w:rPr>
        <w:t>Árbol de Objetivos</w:t>
      </w:r>
      <w:r>
        <w:rPr>
          <w:rFonts w:ascii="Arial" w:hAnsi="Arial" w:cs="Arial"/>
          <w:b/>
          <w:i/>
          <w:sz w:val="24"/>
          <w:szCs w:val="24"/>
        </w:rPr>
        <w:t>:</w:t>
      </w:r>
      <w:r>
        <w:rPr>
          <w:rFonts w:ascii="Arial" w:hAnsi="Arial" w:cs="Arial"/>
          <w:i/>
          <w:sz w:val="24"/>
          <w:szCs w:val="24"/>
        </w:rPr>
        <w:t xml:space="preserve"> </w:t>
      </w:r>
      <w:r>
        <w:rPr>
          <w:rFonts w:ascii="Arial" w:hAnsi="Arial" w:cs="Arial"/>
          <w:sz w:val="24"/>
          <w:szCs w:val="24"/>
        </w:rPr>
        <w:t>permite describir la situación futura a la que se desea llegar una vez que se han resuelto los problemas. Consiste en convertir los estados negativos del árbol de problemas en soluciones, expresadas en forma de estados positivos.</w:t>
      </w:r>
    </w:p>
    <w:p w:rsidR="00477601" w:rsidRDefault="00477601" w:rsidP="00477601">
      <w:pPr>
        <w:spacing w:before="240" w:line="360" w:lineRule="auto"/>
        <w:ind w:firstLine="708"/>
        <w:jc w:val="both"/>
        <w:rPr>
          <w:rFonts w:ascii="Arial" w:hAnsi="Arial" w:cs="Arial"/>
          <w:sz w:val="24"/>
        </w:rPr>
      </w:pPr>
      <w:r>
        <w:rPr>
          <w:rFonts w:ascii="Arial" w:hAnsi="Arial" w:cs="Arial"/>
          <w:sz w:val="24"/>
        </w:rPr>
        <w:t>Terminada la fase de formulación y decisión de las soluciones a los problemas, se continúa con la implementación de la política pública. A partir de una agenda pública bien consolidada, las instituciones responsables se ven obligadas a utilizar medios concretos para responder y administrar el carácter del conflicto que se pretende solucionar. Estos medios de implementación pueden ser herramientas como los planes, programas y proyectos.</w:t>
      </w:r>
    </w:p>
    <w:p w:rsidR="00477601" w:rsidRDefault="00477601" w:rsidP="00477601">
      <w:pPr>
        <w:spacing w:before="240" w:line="360" w:lineRule="auto"/>
        <w:ind w:firstLine="708"/>
        <w:jc w:val="both"/>
        <w:rPr>
          <w:rFonts w:ascii="Arial" w:hAnsi="Arial" w:cs="Arial"/>
          <w:sz w:val="24"/>
        </w:rPr>
      </w:pPr>
      <w:r>
        <w:rPr>
          <w:rFonts w:ascii="Arial" w:hAnsi="Arial" w:cs="Arial"/>
          <w:sz w:val="24"/>
        </w:rPr>
        <w:t>Existe una gran relación entre los planes, programas y proyectos, y es necesario que existan congruencia y un orden lógico, ya que los tres conceptos responden a un mismo objetivo: mitigar problemas sociales, políticos, económicos, etc. Estos mecanismos se interrelacionan y sus diferencias son principalmente por el orden jerárquico en que se formulan y además, los instrumentos y herramientas que utilizan en su elaboración y ejecución.</w:t>
      </w:r>
    </w:p>
    <w:p w:rsidR="00477601" w:rsidRDefault="00477601" w:rsidP="00477601">
      <w:pPr>
        <w:spacing w:before="240" w:line="360" w:lineRule="auto"/>
        <w:ind w:firstLine="708"/>
        <w:jc w:val="both"/>
      </w:pPr>
      <w:r>
        <w:rPr>
          <w:rFonts w:ascii="Arial" w:hAnsi="Arial" w:cs="Arial"/>
          <w:color w:val="000000"/>
          <w:sz w:val="24"/>
        </w:rPr>
        <w:t xml:space="preserve">Como se ha evidenciado anteriormente, las políticas públicas se dividen en planes, programas y proyectos para lograr una ejecución e implementación más integral y sistémica. Sin embargo, la política pública es considerada como un </w:t>
      </w:r>
      <w:r>
        <w:rPr>
          <w:rFonts w:ascii="Arial" w:hAnsi="Arial" w:cs="Arial"/>
          <w:i/>
          <w:color w:val="000000"/>
          <w:sz w:val="24"/>
        </w:rPr>
        <w:t>todo</w:t>
      </w:r>
      <w:r>
        <w:rPr>
          <w:rFonts w:ascii="Arial" w:hAnsi="Arial" w:cs="Arial"/>
          <w:color w:val="000000"/>
          <w:sz w:val="24"/>
        </w:rPr>
        <w:t xml:space="preserve">, en otras palabras es una macro política. Según la Aponte, N, una macro política </w:t>
      </w:r>
      <w:r>
        <w:rPr>
          <w:rFonts w:ascii="Arial" w:hAnsi="Arial" w:cs="Arial"/>
          <w:color w:val="000000"/>
          <w:sz w:val="24"/>
        </w:rPr>
        <w:lastRenderedPageBreak/>
        <w:t>“está basada en los objetivos a largo plazo (en nuestro caso en el plan socialista), en la estrategia de gobernabilidad que impone la situación actual (o concreta) y en la capacidad del gobierno para sortear las dificultades y conseguir los objetivos” (2013. p. 2).</w:t>
      </w:r>
    </w:p>
    <w:p w:rsidR="00477601" w:rsidRDefault="00477601" w:rsidP="00477601">
      <w:pPr>
        <w:spacing w:before="240" w:line="360" w:lineRule="auto"/>
        <w:ind w:firstLine="708"/>
        <w:jc w:val="both"/>
      </w:pPr>
      <w:r>
        <w:rPr>
          <w:rFonts w:ascii="Arial" w:hAnsi="Arial" w:cs="Arial"/>
          <w:color w:val="000000"/>
          <w:sz w:val="24"/>
        </w:rPr>
        <w:t>Una macro política no puede ejecutarse de manera unidireccional, sino que conlleva un proceso de integración de micro procesos, en donde existen muchos responsables y por ende se torna necesario un proceso de control y evaluación de estos micros procesos, para así lograr un proceso de implementación bastante robusto e integrado. Por ejemplo, una macro política puede ser la Política Nacional de Pesca y Acuicultura y una micro política puede ser el proyecto de la creación de Áreas Marinas de Pesca Responsable (AMPR) o cualquier otro plan, programa o proyecto que se quiera desarrollar para cumplir algún objetivo específico de esa macro político.</w:t>
      </w:r>
    </w:p>
    <w:p w:rsidR="00477601" w:rsidRDefault="00477601" w:rsidP="00477601">
      <w:pPr>
        <w:spacing w:before="240" w:line="360" w:lineRule="auto"/>
        <w:ind w:firstLine="708"/>
        <w:jc w:val="both"/>
        <w:rPr>
          <w:rFonts w:ascii="Arial" w:hAnsi="Arial" w:cs="Arial"/>
          <w:color w:val="000000"/>
          <w:sz w:val="24"/>
        </w:rPr>
      </w:pPr>
      <w:r>
        <w:rPr>
          <w:rFonts w:ascii="Arial" w:hAnsi="Arial" w:cs="Arial"/>
          <w:color w:val="000000"/>
          <w:sz w:val="24"/>
        </w:rPr>
        <w:t>En cuanto a la evaluación de las políticas públicas, es este un elemento esencial, ya que este permite tomar correctivos en el camino y da la flexibilidad para continuar, ampliar, institucionalizar un programa, recortarlo o abandonarlo, también permite probar una nueva idea de programa o proyecto que se ajuste a la necesidad real. Los procesos de evaluación se pueden realizar antes, durante y después del proceso integral de las políticas públicas.</w:t>
      </w:r>
    </w:p>
    <w:p w:rsidR="00477601" w:rsidRPr="00694AC7" w:rsidRDefault="00477601" w:rsidP="00477601">
      <w:pPr>
        <w:pStyle w:val="Ttulo2"/>
        <w:numPr>
          <w:ilvl w:val="1"/>
          <w:numId w:val="14"/>
        </w:numPr>
        <w:spacing w:before="200" w:line="480" w:lineRule="auto"/>
        <w:rPr>
          <w:b/>
        </w:rPr>
      </w:pPr>
      <w:bookmarkStart w:id="43" w:name="_Toc49628448"/>
      <w:bookmarkStart w:id="44" w:name="_Toc50906700"/>
      <w:r w:rsidRPr="00694AC7">
        <w:rPr>
          <w:rFonts w:ascii="Arial" w:hAnsi="Arial" w:cs="Arial"/>
          <w:b/>
          <w:color w:val="00000A"/>
        </w:rPr>
        <w:t>Planificación local</w:t>
      </w:r>
      <w:bookmarkEnd w:id="43"/>
      <w:bookmarkEnd w:id="44"/>
      <w:r w:rsidRPr="00694AC7">
        <w:rPr>
          <w:rFonts w:ascii="Arial" w:hAnsi="Arial" w:cs="Arial"/>
          <w:b/>
          <w:color w:val="00000A"/>
        </w:rPr>
        <w:t xml:space="preserve"> </w:t>
      </w:r>
    </w:p>
    <w:p w:rsidR="00477601" w:rsidRDefault="00477601" w:rsidP="00477601">
      <w:pPr>
        <w:spacing w:line="360" w:lineRule="auto"/>
        <w:ind w:firstLine="708"/>
        <w:jc w:val="both"/>
      </w:pPr>
      <w:r>
        <w:rPr>
          <w:rFonts w:ascii="Arial" w:eastAsia="Times New Roman" w:hAnsi="Arial" w:cs="Arial"/>
          <w:sz w:val="24"/>
          <w:szCs w:val="24"/>
        </w:rPr>
        <w:t xml:space="preserve">Un concepto relevante en esta investigación es el de planificación, </w:t>
      </w:r>
      <w:r>
        <w:rPr>
          <w:rFonts w:ascii="Arial" w:hAnsi="Arial" w:cs="Arial"/>
          <w:sz w:val="24"/>
          <w:szCs w:val="24"/>
        </w:rPr>
        <w:t>esta es una función o herramienta fundamental para cualquier proceso de desarrollo en una organización, comunidad y/o Estado. Es un mecanismo que orienta a los cambios que se quieren generar, además de formular diagnósticos de la realidad en la que se encuentra la organización. Es un proceso cíclico, el cual posee un conjunto de partes que se relacionan entre sí.</w:t>
      </w:r>
    </w:p>
    <w:p w:rsidR="00477601" w:rsidRDefault="00477601" w:rsidP="00477601">
      <w:pPr>
        <w:spacing w:line="360" w:lineRule="auto"/>
        <w:ind w:firstLine="708"/>
        <w:jc w:val="both"/>
        <w:rPr>
          <w:rFonts w:ascii="Arial" w:hAnsi="Arial" w:cs="Arial"/>
          <w:sz w:val="24"/>
        </w:rPr>
      </w:pPr>
      <w:r>
        <w:rPr>
          <w:rFonts w:ascii="Arial" w:hAnsi="Arial" w:cs="Arial"/>
          <w:sz w:val="24"/>
        </w:rPr>
        <w:t xml:space="preserve">La planificación es definida por Hernández, C (2011) como “una actividad pre ordenada para conseguir determinados fines, en donde los resultados perseguidos </w:t>
      </w:r>
      <w:r>
        <w:rPr>
          <w:rFonts w:ascii="Arial" w:hAnsi="Arial" w:cs="Arial"/>
          <w:sz w:val="24"/>
        </w:rPr>
        <w:lastRenderedPageBreak/>
        <w:t xml:space="preserve">constituyen la razón común de las disposiciones del plan, el elemento que unifica sus partes componentes (…)” (p. 8). </w:t>
      </w:r>
    </w:p>
    <w:p w:rsidR="00477601" w:rsidRDefault="00477601" w:rsidP="00477601">
      <w:pPr>
        <w:spacing w:before="240" w:line="360" w:lineRule="auto"/>
        <w:ind w:firstLine="708"/>
        <w:jc w:val="both"/>
        <w:rPr>
          <w:rFonts w:ascii="Arial" w:hAnsi="Arial" w:cs="Arial"/>
          <w:sz w:val="24"/>
        </w:rPr>
      </w:pPr>
      <w:r>
        <w:rPr>
          <w:rFonts w:ascii="Arial" w:hAnsi="Arial" w:cs="Arial"/>
          <w:sz w:val="24"/>
        </w:rPr>
        <w:t xml:space="preserve">Martner, G (1976) concibe la planificación como </w:t>
      </w:r>
    </w:p>
    <w:p w:rsidR="00477601" w:rsidRDefault="00477601" w:rsidP="00477601">
      <w:pPr>
        <w:spacing w:before="120" w:line="360" w:lineRule="auto"/>
        <w:ind w:left="708"/>
        <w:jc w:val="both"/>
        <w:rPr>
          <w:rFonts w:ascii="Arial" w:hAnsi="Arial" w:cs="Arial"/>
          <w:sz w:val="24"/>
        </w:rPr>
      </w:pPr>
      <w:r>
        <w:rPr>
          <w:rFonts w:ascii="Arial" w:hAnsi="Arial" w:cs="Arial"/>
          <w:sz w:val="24"/>
        </w:rPr>
        <w:t>[…] la actividad de hacer planes de acción para el futuro. Es la fijación concreta de metas a la conducta dentro de un plazo determinado y la asignación precisa de medios de función de aquellos objetivos. Planificar es un proceso en virtud del cual la actitud racional que ya se ha adoptado, se transforma en actividad: se coordinan objetivos, se prevén hechos, se proyectan tendencias. (p. 45)</w:t>
      </w:r>
    </w:p>
    <w:p w:rsidR="00477601" w:rsidRDefault="00477601" w:rsidP="00477601">
      <w:pPr>
        <w:spacing w:before="120" w:after="120" w:line="360" w:lineRule="auto"/>
        <w:ind w:firstLine="708"/>
        <w:jc w:val="both"/>
      </w:pPr>
      <w:r>
        <w:rPr>
          <w:rFonts w:ascii="Arial" w:hAnsi="Arial" w:cs="Arial"/>
          <w:sz w:val="24"/>
          <w:szCs w:val="24"/>
        </w:rPr>
        <w:t xml:space="preserve">La planificación local constituye uno de los niveles de la planificación nacional. Su función se centra en la formulación y ejecución de planes descentralizados. Este nivel de la planificación supone una auténtica participación social. Es aquí donde los ciudadanos y la municipalidad definen prioridades de su comunidad, los recursos, el aporte del gobierno central, gobierno local, el comunal y los responsables de la ejecución (Rosales, 2017). </w:t>
      </w:r>
    </w:p>
    <w:p w:rsidR="00477601" w:rsidRDefault="00477601" w:rsidP="00477601">
      <w:pPr>
        <w:spacing w:before="240" w:after="120" w:line="360" w:lineRule="auto"/>
        <w:ind w:firstLine="708"/>
        <w:jc w:val="both"/>
        <w:rPr>
          <w:rFonts w:ascii="Arial" w:hAnsi="Arial" w:cs="Arial"/>
          <w:sz w:val="24"/>
          <w:szCs w:val="24"/>
        </w:rPr>
      </w:pPr>
      <w:r>
        <w:rPr>
          <w:rFonts w:ascii="Arial" w:hAnsi="Arial" w:cs="Arial"/>
          <w:sz w:val="24"/>
          <w:szCs w:val="24"/>
        </w:rPr>
        <w:t>Por otro lado, la planificación local es un instrumento importante para el desarrollo micro regional, ya que el gobierno central no es capaz de ejecutar políticas de desarrollo en todos los cantones y comunidades del país, por ende, este tipo de planificación vendría a tener una cierta cuota de autonomía que le permite, en lo ideal, tener un desarrollo homogéneo e integral en todo el territorio nacional.</w:t>
      </w:r>
    </w:p>
    <w:p w:rsidR="00477601" w:rsidRDefault="00477601" w:rsidP="00477601">
      <w:pPr>
        <w:spacing w:before="120" w:after="120" w:line="360" w:lineRule="auto"/>
        <w:ind w:firstLine="708"/>
        <w:jc w:val="both"/>
        <w:rPr>
          <w:rFonts w:ascii="Arial" w:hAnsi="Arial" w:cs="Arial"/>
          <w:sz w:val="24"/>
          <w:szCs w:val="24"/>
        </w:rPr>
      </w:pPr>
      <w:r>
        <w:rPr>
          <w:rFonts w:ascii="Arial" w:hAnsi="Arial" w:cs="Arial"/>
          <w:sz w:val="24"/>
          <w:szCs w:val="24"/>
        </w:rPr>
        <w:t>Este tipo de planificación es fundamental porque permite identificar de manera más directa los problemas y fenómenos económicos y sociales que afectan a las comunidades de un país. Uno de los aspectos más importantes dentro de la planificación local es la participación, lo ideal es que los ciudadanos mantengan un rol bastante activo en este tipo de planificación descentralizada y eso es relevante, ya que son los propios individuos los que conocen realmente las necesidades de su poblado o comunidad. Así es como inciden en los problemas de seguridad, ambientales y de género en el ámbito local.</w:t>
      </w:r>
    </w:p>
    <w:p w:rsidR="00477601" w:rsidRDefault="00477601" w:rsidP="00477601">
      <w:pPr>
        <w:spacing w:before="240" w:after="240" w:line="360" w:lineRule="auto"/>
        <w:ind w:firstLine="708"/>
        <w:jc w:val="both"/>
        <w:rPr>
          <w:rFonts w:ascii="Arial" w:hAnsi="Arial" w:cs="Arial"/>
          <w:sz w:val="24"/>
          <w:szCs w:val="24"/>
        </w:rPr>
      </w:pPr>
      <w:r>
        <w:rPr>
          <w:rFonts w:ascii="Arial" w:hAnsi="Arial" w:cs="Arial"/>
          <w:sz w:val="24"/>
          <w:szCs w:val="24"/>
        </w:rPr>
        <w:lastRenderedPageBreak/>
        <w:t>Existen retos dentro de la planificación local, actualmente hay mucho desencanto con la labor de las municipalidades, se debe involucrar a todos los sectores en esas acciones, con mayor conciencia social. Buscar nuevos liderazgos, nuevas formas de organización (Rosales, L. 2017).</w:t>
      </w:r>
    </w:p>
    <w:p w:rsidR="00477601" w:rsidRDefault="00477601" w:rsidP="00477601">
      <w:pPr>
        <w:spacing w:before="240" w:after="240" w:line="360" w:lineRule="auto"/>
        <w:ind w:firstLine="708"/>
        <w:jc w:val="both"/>
        <w:rPr>
          <w:rFonts w:ascii="Arial" w:hAnsi="Arial" w:cs="Arial"/>
          <w:sz w:val="24"/>
          <w:szCs w:val="24"/>
        </w:rPr>
      </w:pPr>
      <w:r>
        <w:rPr>
          <w:rFonts w:ascii="Arial" w:hAnsi="Arial" w:cs="Arial"/>
          <w:sz w:val="24"/>
          <w:szCs w:val="24"/>
        </w:rPr>
        <w:t xml:space="preserve">Entonces, relacionando los conceptos de la planificación local y las políticas públicas, ambos se logran percibir como dos herramientas fundamentales de la gestión pública que buscan un desarrollo de la sociedad en todos sus ámbitos. </w:t>
      </w:r>
    </w:p>
    <w:p w:rsidR="00477601" w:rsidRDefault="00477601" w:rsidP="00477601">
      <w:pPr>
        <w:spacing w:before="240" w:after="240" w:line="360" w:lineRule="auto"/>
        <w:ind w:firstLine="708"/>
        <w:jc w:val="both"/>
        <w:rPr>
          <w:rFonts w:ascii="Arial" w:hAnsi="Arial" w:cs="Arial"/>
          <w:sz w:val="24"/>
          <w:szCs w:val="24"/>
        </w:rPr>
      </w:pPr>
      <w:r>
        <w:rPr>
          <w:rFonts w:ascii="Arial" w:hAnsi="Arial" w:cs="Arial"/>
          <w:sz w:val="24"/>
          <w:szCs w:val="24"/>
        </w:rPr>
        <w:t>Las políticas públicas en conjunto con todos sus planes, programas y proyectos deben de orientarse en la perspectiva de fomentar el desarrollo local desde la planificación e incidencia comunitaria.</w:t>
      </w:r>
    </w:p>
    <w:p w:rsidR="00477601" w:rsidRDefault="00477601" w:rsidP="00477601">
      <w:pPr>
        <w:spacing w:before="240" w:after="240" w:line="360" w:lineRule="auto"/>
        <w:ind w:firstLine="708"/>
        <w:jc w:val="both"/>
        <w:rPr>
          <w:rFonts w:ascii="Arial" w:hAnsi="Arial" w:cs="Arial"/>
          <w:sz w:val="24"/>
          <w:szCs w:val="24"/>
        </w:rPr>
      </w:pPr>
      <w:r>
        <w:rPr>
          <w:rFonts w:ascii="Arial" w:hAnsi="Arial" w:cs="Arial"/>
          <w:sz w:val="24"/>
          <w:szCs w:val="24"/>
        </w:rPr>
        <w:t xml:space="preserve">Sin embargo, continuando con la premisa anterior, las políticas públicas muchas veces son ejecutadas de manera estandarizada, en otras palabras, los gobiernos naturalmente aplican los instrumentos de políticas públicas en diversas localidades sin importar sus propias condiciones y/o entorno; dejando de lado aspectos tan esenciales como la propia cotidianidad y todas las relaciones de sus realidades. </w:t>
      </w:r>
    </w:p>
    <w:p w:rsidR="00477601" w:rsidRDefault="00477601" w:rsidP="00477601">
      <w:pPr>
        <w:spacing w:before="240" w:after="240" w:line="360" w:lineRule="auto"/>
        <w:ind w:firstLine="708"/>
        <w:jc w:val="both"/>
        <w:rPr>
          <w:rFonts w:ascii="Arial" w:hAnsi="Arial" w:cs="Arial"/>
          <w:sz w:val="24"/>
          <w:szCs w:val="24"/>
        </w:rPr>
      </w:pPr>
      <w:r>
        <w:rPr>
          <w:rFonts w:ascii="Arial" w:hAnsi="Arial" w:cs="Arial"/>
          <w:sz w:val="24"/>
          <w:szCs w:val="24"/>
        </w:rPr>
        <w:t xml:space="preserve">Cabe destacar que la planificación local desde esta perspectiva se percibe, principalmente, en las acciones locales y comunitarias de los actores más directos del problema de estudio. Eso es vinculación con las políticas públicas y desde un enfoque más estatista, estas responden al interés de la élite dominante, provocando un control y dominio en la sociedad, creando así productos que muchas veces no van acorde a la lógica de las acciones comunitarias </w:t>
      </w:r>
    </w:p>
    <w:p w:rsidR="00477601" w:rsidRDefault="00477601" w:rsidP="00477601">
      <w:pPr>
        <w:spacing w:before="240" w:after="240" w:line="360" w:lineRule="auto"/>
        <w:ind w:firstLine="708"/>
        <w:jc w:val="both"/>
        <w:rPr>
          <w:rFonts w:ascii="Arial" w:hAnsi="Arial" w:cs="Arial"/>
          <w:sz w:val="24"/>
          <w:szCs w:val="24"/>
        </w:rPr>
      </w:pPr>
      <w:r>
        <w:rPr>
          <w:rFonts w:ascii="Arial" w:hAnsi="Arial" w:cs="Arial"/>
          <w:sz w:val="24"/>
          <w:szCs w:val="24"/>
        </w:rPr>
        <w:t xml:space="preserve">Como se describió en el apartado de las políticas públicas, estas muchas veces son lineamientos y/o guías generales, que cumplen un rol específico en la gestión pública, bajo los principios de la normatividad y burocracia; que en espacios más locales son aspectos no tan claros y precisos para la sociedad. </w:t>
      </w:r>
    </w:p>
    <w:p w:rsidR="00477601" w:rsidRDefault="00477601" w:rsidP="00477601">
      <w:pPr>
        <w:spacing w:before="240" w:after="240" w:line="360" w:lineRule="auto"/>
        <w:ind w:firstLine="708"/>
        <w:jc w:val="both"/>
        <w:rPr>
          <w:rFonts w:ascii="Arial" w:hAnsi="Arial" w:cs="Arial"/>
          <w:sz w:val="24"/>
          <w:szCs w:val="24"/>
        </w:rPr>
      </w:pPr>
      <w:r>
        <w:rPr>
          <w:rFonts w:ascii="Arial" w:hAnsi="Arial" w:cs="Arial"/>
          <w:sz w:val="24"/>
          <w:szCs w:val="24"/>
        </w:rPr>
        <w:t xml:space="preserve">En cuanto a la gobernanza y su relación con la planificación, la primera supone una integración entre el sector público –El Estado- y a sociedad civil, </w:t>
      </w:r>
      <w:r>
        <w:rPr>
          <w:rFonts w:ascii="Arial" w:hAnsi="Arial" w:cs="Arial"/>
          <w:sz w:val="24"/>
          <w:szCs w:val="24"/>
        </w:rPr>
        <w:lastRenderedPageBreak/>
        <w:t>manteniendo relaciones muy cercanas evitando así los abusos de poder y los mecanismos autoritarios. Este concepto se vincula directamente con la perspectiva teórica de la planificación local que se desarrolla en este apartado, ya que ambos conceptos pretenden involucrar directamente a los actores locales en las decisiones públicas de sus propias realidades.</w:t>
      </w:r>
    </w:p>
    <w:p w:rsidR="00477601" w:rsidRDefault="00477601" w:rsidP="00477601">
      <w:pPr>
        <w:spacing w:before="240" w:after="240" w:line="360" w:lineRule="auto"/>
        <w:ind w:firstLine="708"/>
        <w:jc w:val="both"/>
        <w:rPr>
          <w:rFonts w:ascii="Arial" w:hAnsi="Arial" w:cs="Arial"/>
          <w:sz w:val="24"/>
          <w:szCs w:val="24"/>
        </w:rPr>
      </w:pPr>
      <w:r>
        <w:rPr>
          <w:rFonts w:ascii="Arial" w:hAnsi="Arial" w:cs="Arial"/>
          <w:sz w:val="24"/>
          <w:szCs w:val="24"/>
        </w:rPr>
        <w:t xml:space="preserve">Continuando con la planificación social, existe un concepto de territorialidad que se vincula directamente con el desarrollo de la planificación local. Según Sosa (2012) </w:t>
      </w:r>
    </w:p>
    <w:p w:rsidR="00477601" w:rsidRDefault="00477601" w:rsidP="00477601">
      <w:pPr>
        <w:spacing w:before="240" w:after="240" w:line="360" w:lineRule="auto"/>
        <w:ind w:left="708"/>
        <w:jc w:val="both"/>
        <w:rPr>
          <w:rFonts w:ascii="Arial" w:hAnsi="Arial" w:cs="Arial"/>
          <w:sz w:val="24"/>
          <w:szCs w:val="24"/>
        </w:rPr>
      </w:pPr>
      <w:r>
        <w:rPr>
          <w:rFonts w:ascii="Arial" w:hAnsi="Arial" w:cs="Arial"/>
          <w:sz w:val="24"/>
          <w:szCs w:val="24"/>
        </w:rPr>
        <w:t>[…] el territorio no es solamente una porción de tierra delimitada con su complejidad biofísica (relieve, condiciones ambientales, biodiversidad). Es, sobre todo, un espacio construido socialmente, es decir, histórica, económica, social, cultural y políticamente. (p. 7)</w:t>
      </w:r>
    </w:p>
    <w:p w:rsidR="00477601" w:rsidRDefault="00477601" w:rsidP="00477601">
      <w:pPr>
        <w:spacing w:before="240" w:after="240" w:line="360" w:lineRule="auto"/>
        <w:ind w:firstLine="708"/>
        <w:jc w:val="both"/>
        <w:rPr>
          <w:rFonts w:ascii="Arial" w:hAnsi="Arial" w:cs="Arial"/>
          <w:sz w:val="24"/>
          <w:szCs w:val="24"/>
        </w:rPr>
      </w:pPr>
      <w:r>
        <w:rPr>
          <w:rFonts w:ascii="Arial" w:hAnsi="Arial" w:cs="Arial"/>
          <w:sz w:val="24"/>
          <w:szCs w:val="24"/>
        </w:rPr>
        <w:t xml:space="preserve">El territorio en cierto sentido conlleva un proceso de apropiación por parte de los seres humanos, estos procesos de construcción y representación no son solamente un apoderamiento del mismo como simple ejercicio en el ámbito de la economía y la política, sino que se da una apropiación mítica, social, política y material que realiza cierto grupo social que se distinguen de otros, por prácticas propias (Sosa, 2012, p. 22-23). </w:t>
      </w:r>
    </w:p>
    <w:p w:rsidR="00477601" w:rsidRDefault="00477601" w:rsidP="00477601">
      <w:pPr>
        <w:spacing w:before="240" w:after="240" w:line="360" w:lineRule="auto"/>
        <w:ind w:firstLine="708"/>
        <w:jc w:val="both"/>
        <w:rPr>
          <w:rFonts w:ascii="Arial" w:hAnsi="Arial" w:cs="Arial"/>
          <w:sz w:val="24"/>
          <w:szCs w:val="24"/>
        </w:rPr>
      </w:pPr>
      <w:r>
        <w:rPr>
          <w:rFonts w:ascii="Arial" w:hAnsi="Arial" w:cs="Arial"/>
          <w:sz w:val="24"/>
          <w:szCs w:val="24"/>
        </w:rPr>
        <w:t>Si se parte del hecho de que el territorio es una construcción social, es menester para este estudio relacionar la territorialidad con el Estado. Una de las dimensiones de análisis del territorio es la política, esta se refiere</w:t>
      </w:r>
    </w:p>
    <w:p w:rsidR="00477601" w:rsidRDefault="00477601" w:rsidP="00477601">
      <w:pPr>
        <w:spacing w:before="240" w:after="240" w:line="360" w:lineRule="auto"/>
        <w:ind w:left="708"/>
        <w:jc w:val="both"/>
        <w:rPr>
          <w:rFonts w:ascii="Arial" w:hAnsi="Arial" w:cs="Arial"/>
          <w:sz w:val="24"/>
          <w:szCs w:val="24"/>
        </w:rPr>
      </w:pPr>
      <w:r>
        <w:rPr>
          <w:rFonts w:ascii="Arial" w:hAnsi="Arial" w:cs="Arial"/>
          <w:sz w:val="24"/>
          <w:szCs w:val="24"/>
        </w:rPr>
        <w:t>[…] al ejercicio del poder que se traduce en constantes y complejos procesos y dinámicas de lucha por la posesión y control del territorio que, a su vez, se convierten en apropiaciones, construcciones y transformaciones territoriales. Alude, asimismo, a un escenario de relaciones de dominio y ejercicio del poder que se constituye en uno de los límites de posibilidad para pensar y proyectar el territorio en función de determinados intereses, lo que define su evolución o transformación en cuanto a constructo social. (Sosa, 2012. p. 15)</w:t>
      </w:r>
    </w:p>
    <w:p w:rsidR="00477601" w:rsidRDefault="00477601" w:rsidP="00477601">
      <w:pPr>
        <w:spacing w:before="240" w:after="240" w:line="360" w:lineRule="auto"/>
        <w:jc w:val="both"/>
      </w:pPr>
      <w:r>
        <w:rPr>
          <w:rFonts w:ascii="Arial" w:hAnsi="Arial" w:cs="Arial"/>
          <w:sz w:val="24"/>
          <w:szCs w:val="24"/>
        </w:rPr>
        <w:lastRenderedPageBreak/>
        <w:tab/>
        <w:t xml:space="preserve">Esta perspectiva indica que el Estado se asienta sobre los territorios y que a través de cierta legitimidad jurídica subordina, en algún sentido, los diversos territorios de un país-Estado. Lo político significa el proceso de organización del poder y el cómo se toman las decisiones en los territorios; esto se ajusta al objetivo central de esa investigación, y permite comprender críticamente como el Estado enfoca sus procesos de implementación y gestión del proyecto del AMPR en las comunidades de Paquera y Tambor, en contraste con la planificación local. </w:t>
      </w:r>
    </w:p>
    <w:p w:rsidR="00477601" w:rsidRDefault="00477601" w:rsidP="00477601">
      <w:pPr>
        <w:spacing w:before="240" w:after="240" w:line="360" w:lineRule="auto"/>
        <w:jc w:val="both"/>
        <w:rPr>
          <w:rFonts w:ascii="Arial" w:hAnsi="Arial" w:cs="Arial"/>
          <w:sz w:val="24"/>
          <w:szCs w:val="24"/>
        </w:rPr>
      </w:pPr>
      <w:r>
        <w:rPr>
          <w:rFonts w:ascii="Arial" w:hAnsi="Arial" w:cs="Arial"/>
          <w:sz w:val="24"/>
          <w:szCs w:val="24"/>
        </w:rPr>
        <w:tab/>
        <w:t>Partiendo de las premisas anteriores, para esta investigación, la planificación local será interpretada como aquel proceso realizado meramente por los actores locales de las comunidades de Paquera y Tambor, siendo así procesos exclusivos de las comunidades y no principalmente de las mismas instituciones.</w:t>
      </w:r>
    </w:p>
    <w:p w:rsidR="00477601" w:rsidRDefault="00477601" w:rsidP="00477601">
      <w:pPr>
        <w:spacing w:before="240" w:after="240" w:line="360" w:lineRule="auto"/>
        <w:ind w:firstLine="708"/>
        <w:jc w:val="both"/>
        <w:rPr>
          <w:rFonts w:ascii="Arial" w:hAnsi="Arial" w:cs="Arial"/>
          <w:sz w:val="24"/>
          <w:szCs w:val="24"/>
        </w:rPr>
      </w:pPr>
      <w:r>
        <w:rPr>
          <w:rFonts w:ascii="Arial" w:hAnsi="Arial" w:cs="Arial"/>
          <w:sz w:val="24"/>
          <w:szCs w:val="24"/>
        </w:rPr>
        <w:t xml:space="preserve">Para concluir con este apartado, Hahnel R (s.f.) expone un tipo de planificación que vincula directamente a los actores locales en la toma de decisiones y la participación política. El académico deja claro que </w:t>
      </w:r>
    </w:p>
    <w:p w:rsidR="00477601" w:rsidRDefault="00477601" w:rsidP="00477601">
      <w:pPr>
        <w:spacing w:before="240" w:after="240" w:line="360" w:lineRule="auto"/>
        <w:ind w:left="708"/>
        <w:jc w:val="both"/>
        <w:rPr>
          <w:rFonts w:ascii="Arial" w:hAnsi="Arial" w:cs="Arial"/>
          <w:sz w:val="24"/>
          <w:szCs w:val="24"/>
        </w:rPr>
      </w:pPr>
      <w:r>
        <w:rPr>
          <w:rFonts w:ascii="Arial" w:hAnsi="Arial" w:cs="Arial"/>
          <w:sz w:val="24"/>
          <w:szCs w:val="24"/>
        </w:rPr>
        <w:t>La sociedad aborrece los vacíos de gestión. Si las personas no gestionan sus vidas, una élite económica lo hará en su lugar. […] La planificación autoritaria niega a las personas la capacidad de decidir, mientras que la gestión participativa de la economía permite que sean los afectados quienes se pronuncien directamente. (p. 3-4)</w:t>
      </w:r>
    </w:p>
    <w:p w:rsidR="00477601" w:rsidRPr="00694AC7" w:rsidRDefault="00477601" w:rsidP="00477601">
      <w:pPr>
        <w:pStyle w:val="Ttulo2"/>
        <w:numPr>
          <w:ilvl w:val="1"/>
          <w:numId w:val="14"/>
        </w:numPr>
        <w:spacing w:before="200" w:line="480" w:lineRule="auto"/>
        <w:rPr>
          <w:b/>
        </w:rPr>
      </w:pPr>
      <w:bookmarkStart w:id="45" w:name="_Toc49628449"/>
      <w:bookmarkStart w:id="46" w:name="_Toc50906701"/>
      <w:r w:rsidRPr="00694AC7">
        <w:rPr>
          <w:rFonts w:ascii="Arial" w:hAnsi="Arial" w:cs="Arial"/>
          <w:b/>
          <w:color w:val="00000A"/>
        </w:rPr>
        <w:t>La acción comunitaria desde la planificación social</w:t>
      </w:r>
      <w:bookmarkEnd w:id="45"/>
      <w:bookmarkEnd w:id="46"/>
      <w:r w:rsidRPr="00694AC7">
        <w:rPr>
          <w:rFonts w:ascii="Arial" w:hAnsi="Arial" w:cs="Arial"/>
          <w:b/>
          <w:color w:val="00000A"/>
        </w:rPr>
        <w:t xml:space="preserve"> </w:t>
      </w:r>
    </w:p>
    <w:p w:rsidR="00477601" w:rsidRDefault="00477601" w:rsidP="00477601">
      <w:pPr>
        <w:spacing w:line="360" w:lineRule="auto"/>
        <w:ind w:firstLine="700"/>
        <w:jc w:val="both"/>
        <w:rPr>
          <w:rFonts w:ascii="Arial" w:eastAsia="Times New Roman" w:hAnsi="Arial" w:cs="Arial"/>
          <w:sz w:val="24"/>
          <w:szCs w:val="24"/>
        </w:rPr>
      </w:pPr>
      <w:r>
        <w:rPr>
          <w:rFonts w:ascii="Arial" w:eastAsia="Times New Roman" w:hAnsi="Arial" w:cs="Arial"/>
          <w:sz w:val="24"/>
          <w:szCs w:val="24"/>
        </w:rPr>
        <w:t xml:space="preserve">Es importante destacar que en este proceso de investigación se contempla el desarrollo local y la acción comunitaria como herramientas claves para el desarrollo de los micros políticas –en este caso las AMPR- implementadas y gestionadas por el Estado en zonas específicas del país, como lo son Paquera y Tambor. Desde ese punto de vista, se interpreta que para alcanzar éxito en proyectos de bienestar social, no es una responsabilidad exclusiva del Estado, sino que la acción comunitaria posee un papel casi que protagónico. A continuación se </w:t>
      </w:r>
      <w:r>
        <w:rPr>
          <w:rFonts w:ascii="Arial" w:eastAsia="Times New Roman" w:hAnsi="Arial" w:cs="Arial"/>
          <w:sz w:val="24"/>
          <w:szCs w:val="24"/>
        </w:rPr>
        <w:lastRenderedPageBreak/>
        <w:t xml:space="preserve">vinculará un entramado teórico sobre la gestión pública, la planificación social y la acción comunitaria. </w:t>
      </w:r>
    </w:p>
    <w:p w:rsidR="00477601" w:rsidRDefault="00477601" w:rsidP="00477601">
      <w:pPr>
        <w:spacing w:line="360" w:lineRule="auto"/>
        <w:ind w:firstLine="700"/>
        <w:jc w:val="both"/>
      </w:pPr>
      <w:r>
        <w:rPr>
          <w:rFonts w:ascii="Arial" w:eastAsia="Times New Roman" w:hAnsi="Arial" w:cs="Arial"/>
          <w:sz w:val="24"/>
          <w:szCs w:val="24"/>
        </w:rPr>
        <w:t>De acuerdo con Guillén et al. (2009) la participación comunitaria se nutre de lo local, entendiendo lo local como el espacio esencial para desarrollar una participación integral y cumplida. Desde esta perspectiva, se toma posición en la teoría anterior, ya que en cierto modo, la participación social se debe de ejecutar de abajo hacia arriba.</w:t>
      </w:r>
    </w:p>
    <w:p w:rsidR="00477601" w:rsidRDefault="00477601" w:rsidP="00477601">
      <w:pPr>
        <w:spacing w:line="360" w:lineRule="auto"/>
        <w:ind w:firstLine="700"/>
        <w:jc w:val="both"/>
      </w:pPr>
      <w:r>
        <w:rPr>
          <w:rFonts w:ascii="Arial" w:eastAsia="Times New Roman" w:hAnsi="Arial" w:cs="Arial"/>
          <w:sz w:val="24"/>
          <w:szCs w:val="24"/>
        </w:rPr>
        <w:t>Una corriente que ayuda a interpretar estos procesos de desarrollo y participación local es la de la psicología social, según Montero (2003) esta “</w:t>
      </w:r>
      <w:r>
        <w:rPr>
          <w:rFonts w:ascii="Arial" w:hAnsi="Arial" w:cs="Arial"/>
          <w:sz w:val="24"/>
          <w:szCs w:val="24"/>
        </w:rPr>
        <w:t>analiza la organización para que la comunidad use recursos, reconozca y emplee el poder que tiene o bien busque otros recursos desarrollando nuevas capacidades” (p. 24).</w:t>
      </w:r>
      <w:r>
        <w:rPr>
          <w:rFonts w:ascii="Arial" w:hAnsi="Arial" w:cs="Arial"/>
          <w:i/>
          <w:sz w:val="24"/>
          <w:szCs w:val="24"/>
        </w:rPr>
        <w:t xml:space="preserve"> </w:t>
      </w:r>
      <w:r>
        <w:rPr>
          <w:rFonts w:ascii="Arial" w:hAnsi="Arial" w:cs="Arial"/>
          <w:sz w:val="24"/>
          <w:szCs w:val="24"/>
        </w:rPr>
        <w:t>De esta forma se puede destacar que las relaciones sociales se desarrollan desde el exterior de la comunidad hacia el interior, por lo tanto las comunidades organizadas pueden ejercer poder y realizar el control necesario para lograr transformaciones en su entorno y en sus relaciones internas y externas.</w:t>
      </w:r>
      <w:r>
        <w:rPr>
          <w:rFonts w:ascii="Times New Roman" w:hAnsi="Times New Roman" w:cs="Times New Roman"/>
          <w:sz w:val="24"/>
          <w:szCs w:val="24"/>
        </w:rPr>
        <w:t xml:space="preserve"> </w:t>
      </w:r>
    </w:p>
    <w:p w:rsidR="00477601" w:rsidRDefault="00477601" w:rsidP="00477601">
      <w:pPr>
        <w:spacing w:line="360" w:lineRule="auto"/>
        <w:ind w:firstLine="708"/>
        <w:jc w:val="both"/>
        <w:rPr>
          <w:rFonts w:ascii="Arial" w:eastAsia="Times New Roman" w:hAnsi="Arial" w:cs="Arial"/>
          <w:sz w:val="24"/>
          <w:szCs w:val="24"/>
        </w:rPr>
      </w:pPr>
      <w:r>
        <w:rPr>
          <w:rFonts w:ascii="Arial" w:eastAsia="Times New Roman" w:hAnsi="Arial" w:cs="Arial"/>
          <w:sz w:val="24"/>
          <w:szCs w:val="24"/>
        </w:rPr>
        <w:t>Dentro de los regímenes democráticos, la participación suele ser una condición insoslayable, considerando un contexto de pluralismo y de apertura democrática. No obstante, esos discursos son utilizados principalmente por partidos políticos de manera demagoga, para favorecer principalmente su base electoral. (Caminos, 2003, p. 35). Esto significa que los discursos de participación social en las actuales democracias, conducen a prácticas idealizadas y poco promovidas por el aparato público, en otras palabras, no se garantiza la inserción de las personas en la esfera política, reduciendo las capacidades de organización local y/o comunal.</w:t>
      </w:r>
    </w:p>
    <w:p w:rsidR="00477601" w:rsidRDefault="00477601" w:rsidP="00477601">
      <w:pPr>
        <w:spacing w:line="360" w:lineRule="auto"/>
        <w:ind w:firstLine="708"/>
        <w:jc w:val="both"/>
        <w:rPr>
          <w:rFonts w:ascii="Arial" w:eastAsia="Times New Roman" w:hAnsi="Arial" w:cs="Arial"/>
          <w:sz w:val="24"/>
          <w:szCs w:val="24"/>
        </w:rPr>
      </w:pPr>
      <w:r>
        <w:rPr>
          <w:rFonts w:ascii="Arial" w:eastAsia="Times New Roman" w:hAnsi="Arial" w:cs="Arial"/>
          <w:sz w:val="24"/>
          <w:szCs w:val="24"/>
        </w:rPr>
        <w:t>A partir de lo anterior, es importante rescatar que los conceptos relacionados a la participación ciudadana, poseen muchas veces, connotaciones un tanto limitadas, por ejemplo, se interpreta que la participación es únicamente para “ciudadanos” y por ende, excluye a una serie de individuos que no comparten esa condición un tanto innecesaria para la puesta en práctica de la participación y el empoderamiento de estos y estas sobre sus propias realidades.</w:t>
      </w:r>
    </w:p>
    <w:p w:rsidR="00477601" w:rsidRDefault="00477601" w:rsidP="00477601">
      <w:pPr>
        <w:spacing w:line="360" w:lineRule="auto"/>
        <w:ind w:firstLine="708"/>
        <w:jc w:val="both"/>
      </w:pPr>
      <w:r>
        <w:rPr>
          <w:rFonts w:ascii="Arial" w:eastAsia="Times New Roman" w:hAnsi="Arial" w:cs="Arial"/>
          <w:sz w:val="24"/>
          <w:szCs w:val="24"/>
        </w:rPr>
        <w:lastRenderedPageBreak/>
        <w:t>Partiendo desde una concepción sociológica, varios autores sostienen que las sociedades contemporáneas -las democráticas-, están organizadas de manera multifacética y con elevadas formaciones sociales complejas, reflejadas en organizaciones como el estado, la iglesia, las empresas, etc. No obstante, esas concepciones un tanto burocratizadas de organización no atienden al objetivo final de esta investigación, sino que una parte de la misma. (Mayntz, 1980, p. 11).</w:t>
      </w:r>
    </w:p>
    <w:p w:rsidR="00477601" w:rsidRDefault="00477601" w:rsidP="00477601">
      <w:pPr>
        <w:spacing w:line="360" w:lineRule="auto"/>
        <w:ind w:firstLine="708"/>
        <w:jc w:val="both"/>
        <w:rPr>
          <w:rFonts w:ascii="Arial" w:eastAsia="Times New Roman" w:hAnsi="Arial" w:cs="Arial"/>
          <w:sz w:val="24"/>
          <w:szCs w:val="24"/>
        </w:rPr>
      </w:pPr>
      <w:r>
        <w:rPr>
          <w:rFonts w:ascii="Arial" w:eastAsia="Times New Roman" w:hAnsi="Arial" w:cs="Arial"/>
          <w:sz w:val="24"/>
          <w:szCs w:val="24"/>
        </w:rPr>
        <w:t>Por el contrario, otros autores como Spencer, H (s.f.) sostienen que:</w:t>
      </w:r>
    </w:p>
    <w:p w:rsidR="00477601" w:rsidRDefault="00477601" w:rsidP="00477601">
      <w:pPr>
        <w:spacing w:line="360" w:lineRule="auto"/>
        <w:ind w:left="720"/>
        <w:jc w:val="both"/>
        <w:rPr>
          <w:rFonts w:ascii="Arial" w:eastAsia="Times New Roman" w:hAnsi="Arial" w:cs="Arial"/>
          <w:sz w:val="24"/>
          <w:szCs w:val="24"/>
        </w:rPr>
      </w:pPr>
      <w:r>
        <w:rPr>
          <w:rFonts w:ascii="Arial" w:eastAsia="Times New Roman" w:hAnsi="Arial" w:cs="Arial"/>
          <w:sz w:val="24"/>
          <w:szCs w:val="24"/>
        </w:rPr>
        <w:t>Los hombres no establecieron los ordenamientos políticos deliberadamente, sino que se desarrollaron hacia ellos inconscientemente; no tuvieron probablemente concepción alguna de una condición asociada hasta que se hallaron a sí mismo en ella. (p. 253)</w:t>
      </w:r>
    </w:p>
    <w:p w:rsidR="00477601" w:rsidRDefault="00477601" w:rsidP="00477601">
      <w:pPr>
        <w:spacing w:line="360" w:lineRule="auto"/>
        <w:ind w:firstLine="708"/>
        <w:jc w:val="both"/>
        <w:rPr>
          <w:rFonts w:ascii="Arial" w:eastAsia="Times New Roman" w:hAnsi="Arial" w:cs="Arial"/>
          <w:sz w:val="24"/>
          <w:szCs w:val="24"/>
        </w:rPr>
      </w:pPr>
      <w:r>
        <w:rPr>
          <w:rFonts w:ascii="Arial" w:eastAsia="Times New Roman" w:hAnsi="Arial" w:cs="Arial"/>
          <w:sz w:val="24"/>
          <w:szCs w:val="24"/>
        </w:rPr>
        <w:t>En la tesis anterior, se concibe a los seres humanos como individuos institucionalizados desde su nacimiento, sin opción de decidir sobre el ordenamiento político en el cual se relacionan.</w:t>
      </w:r>
    </w:p>
    <w:p w:rsidR="00477601" w:rsidRDefault="00477601" w:rsidP="00477601">
      <w:pPr>
        <w:spacing w:line="360" w:lineRule="auto"/>
        <w:ind w:firstLine="708"/>
        <w:jc w:val="both"/>
        <w:rPr>
          <w:rFonts w:ascii="Arial" w:eastAsia="Times New Roman" w:hAnsi="Arial" w:cs="Arial"/>
          <w:sz w:val="24"/>
          <w:szCs w:val="24"/>
        </w:rPr>
      </w:pPr>
      <w:r>
        <w:rPr>
          <w:rFonts w:ascii="Arial" w:eastAsia="Times New Roman" w:hAnsi="Arial" w:cs="Arial"/>
          <w:sz w:val="24"/>
          <w:szCs w:val="24"/>
        </w:rPr>
        <w:t>Algunos autores, encasillados como autónomos o muchas veces anarquistas, abogan y teorizan sobre esas prácticas de participación y de autogestión. Según Llaguno (2015) “La cultura política juega un rol prioritario en la preparación psicológica y material de las clases populares para conducir la transformación de sus condiciones de vida” (p. 38). En ese sentido, la construcción de convivencias bajo la autogestión, conlleva un proceso ideológico y práctico que lo facilite, estos procesos deben de alejarse de la idea de que siempre el estado es el aparato supremo que otorga bienestar a las personas.</w:t>
      </w:r>
    </w:p>
    <w:p w:rsidR="00477601" w:rsidRDefault="00477601" w:rsidP="00477601">
      <w:pPr>
        <w:spacing w:line="360" w:lineRule="auto"/>
        <w:ind w:firstLine="708"/>
        <w:jc w:val="both"/>
      </w:pPr>
      <w:r>
        <w:rPr>
          <w:rFonts w:ascii="Arial" w:eastAsia="Times New Roman" w:hAnsi="Arial" w:cs="Arial"/>
          <w:sz w:val="24"/>
          <w:szCs w:val="24"/>
        </w:rPr>
        <w:t xml:space="preserve">No obstante, </w:t>
      </w:r>
      <w:r>
        <w:rPr>
          <w:rFonts w:ascii="Arial" w:hAnsi="Arial" w:cs="Arial"/>
          <w:sz w:val="24"/>
          <w:szCs w:val="24"/>
        </w:rPr>
        <w:t>el poder –estatal- atraviesa todas las dimensiones y relaciones humanas, siempre está presente en ellas. En el poder hay aspectos positivos y negativos cuando se trata de procesos comunitarios. Aunque, la falta de poder pueden ocasionar desajustes y afectar a las personas que pertenecen a una comunidad o grupo, no toda acción de poder es opresora, hay expresiones positivas que permiten la realización de los cambios reclamados por diversos actores sociales.</w:t>
      </w:r>
    </w:p>
    <w:p w:rsidR="00477601" w:rsidRDefault="00477601" w:rsidP="00477601">
      <w:pPr>
        <w:spacing w:line="360" w:lineRule="auto"/>
        <w:ind w:firstLine="708"/>
        <w:jc w:val="both"/>
      </w:pPr>
      <w:r>
        <w:rPr>
          <w:rFonts w:ascii="Arial" w:eastAsia="Times New Roman" w:hAnsi="Arial" w:cs="Arial"/>
          <w:sz w:val="24"/>
          <w:szCs w:val="24"/>
        </w:rPr>
        <w:lastRenderedPageBreak/>
        <w:t>No se pretende analizar la participación en la comunidad como una forma de dominación política, donde se regulan los valores, la vida social y política, sino más bien como una construcción desde abajo, desde lo local, considerando la complejidad de sus realidades.</w:t>
      </w:r>
    </w:p>
    <w:p w:rsidR="00477601" w:rsidRDefault="00477601" w:rsidP="00477601">
      <w:pPr>
        <w:spacing w:line="360" w:lineRule="auto"/>
        <w:ind w:firstLine="708"/>
        <w:jc w:val="both"/>
        <w:rPr>
          <w:rFonts w:ascii="Arial" w:eastAsia="Times New Roman" w:hAnsi="Arial" w:cs="Arial"/>
          <w:sz w:val="24"/>
          <w:szCs w:val="24"/>
        </w:rPr>
      </w:pPr>
      <w:r>
        <w:rPr>
          <w:rFonts w:ascii="Arial" w:eastAsia="Times New Roman" w:hAnsi="Arial" w:cs="Arial"/>
          <w:sz w:val="24"/>
          <w:szCs w:val="24"/>
        </w:rPr>
        <w:t>La capacidad de un ciudadano para ejercer influencia en relación a una intervención estatal que le va a afectar varía según la composición del tejido socioeconómico, político y cultural en el que se integra esa determinada persona. Su posición puede, de tal modo, ser dominante o marginal; estar avalada por otros grupos sociales o ser, por el contrario, rechazada por otros actores públicos y privados.</w:t>
      </w:r>
    </w:p>
    <w:p w:rsidR="00477601" w:rsidRDefault="00477601" w:rsidP="00477601">
      <w:pPr>
        <w:spacing w:line="360" w:lineRule="auto"/>
        <w:ind w:firstLine="708"/>
        <w:jc w:val="both"/>
        <w:rPr>
          <w:rFonts w:ascii="Arial" w:eastAsia="Times New Roman" w:hAnsi="Arial" w:cs="Arial"/>
          <w:sz w:val="24"/>
          <w:szCs w:val="24"/>
        </w:rPr>
      </w:pPr>
      <w:r>
        <w:rPr>
          <w:rFonts w:ascii="Arial" w:eastAsia="Times New Roman" w:hAnsi="Arial" w:cs="Arial"/>
          <w:sz w:val="24"/>
          <w:szCs w:val="24"/>
        </w:rPr>
        <w:t>Ante todo, es importante analizar de manera crítica, la responsabilidad que posee el estado en el tema de participación social. A partir de la concepción funcional del Estado, de sus capacidades y responsabilidades dentro de un sistema democrático, el profesor O´Donnell (2009) lo categoriza en tres colores según zonas geográficas:</w:t>
      </w:r>
    </w:p>
    <w:p w:rsidR="00477601" w:rsidRDefault="00477601" w:rsidP="00477601">
      <w:pPr>
        <w:ind w:left="360"/>
        <w:jc w:val="both"/>
      </w:pPr>
      <w:r>
        <w:rPr>
          <w:rFonts w:ascii="Arial" w:eastAsia="Times New Roman" w:hAnsi="Arial" w:cs="Arial"/>
          <w:sz w:val="24"/>
          <w:szCs w:val="24"/>
        </w:rPr>
        <w:t xml:space="preserve">- </w:t>
      </w:r>
      <w:r>
        <w:rPr>
          <w:rFonts w:ascii="Arial" w:eastAsia="Times New Roman" w:hAnsi="Arial" w:cs="Arial"/>
          <w:b/>
          <w:sz w:val="24"/>
          <w:szCs w:val="24"/>
        </w:rPr>
        <w:t xml:space="preserve">Color azul: </w:t>
      </w:r>
      <w:r>
        <w:rPr>
          <w:rFonts w:ascii="Arial" w:eastAsia="Times New Roman" w:hAnsi="Arial" w:cs="Arial"/>
          <w:sz w:val="24"/>
          <w:szCs w:val="24"/>
        </w:rPr>
        <w:t>Zonas donde el Estado tiene un alto nivel de presencia, tanto territorial como funcional.</w:t>
      </w:r>
    </w:p>
    <w:p w:rsidR="00477601" w:rsidRDefault="00477601" w:rsidP="00477601">
      <w:pPr>
        <w:ind w:left="360"/>
        <w:jc w:val="both"/>
      </w:pPr>
      <w:r>
        <w:rPr>
          <w:rFonts w:ascii="Arial" w:eastAsia="Times New Roman" w:hAnsi="Arial" w:cs="Arial"/>
          <w:sz w:val="24"/>
          <w:szCs w:val="24"/>
        </w:rPr>
        <w:t xml:space="preserve">- </w:t>
      </w:r>
      <w:r>
        <w:rPr>
          <w:rFonts w:ascii="Arial" w:eastAsia="Times New Roman" w:hAnsi="Arial" w:cs="Arial"/>
          <w:b/>
          <w:sz w:val="24"/>
          <w:szCs w:val="24"/>
        </w:rPr>
        <w:t xml:space="preserve">Color verde: </w:t>
      </w:r>
      <w:r>
        <w:rPr>
          <w:rFonts w:ascii="Arial" w:eastAsia="Times New Roman" w:hAnsi="Arial" w:cs="Arial"/>
          <w:sz w:val="24"/>
          <w:szCs w:val="24"/>
        </w:rPr>
        <w:t>Zonas donde el Estado tiene un alto nivel de penetración territorial, pero una presencia significativamente baja desde el punto de vista funcional.</w:t>
      </w:r>
    </w:p>
    <w:p w:rsidR="00477601" w:rsidRDefault="00477601" w:rsidP="00477601">
      <w:pPr>
        <w:ind w:left="360"/>
        <w:jc w:val="both"/>
      </w:pPr>
      <w:r>
        <w:rPr>
          <w:rFonts w:ascii="Arial" w:eastAsia="Times New Roman" w:hAnsi="Arial" w:cs="Arial"/>
          <w:sz w:val="24"/>
          <w:szCs w:val="24"/>
        </w:rPr>
        <w:t xml:space="preserve">- </w:t>
      </w:r>
      <w:r>
        <w:rPr>
          <w:rFonts w:ascii="Arial" w:eastAsia="Times New Roman" w:hAnsi="Arial" w:cs="Arial"/>
          <w:b/>
          <w:sz w:val="24"/>
          <w:szCs w:val="24"/>
        </w:rPr>
        <w:t>Color café</w:t>
      </w:r>
      <w:r>
        <w:rPr>
          <w:rFonts w:ascii="Arial" w:eastAsia="Times New Roman" w:hAnsi="Arial" w:cs="Arial"/>
          <w:b/>
          <w:i/>
          <w:sz w:val="24"/>
          <w:szCs w:val="24"/>
        </w:rPr>
        <w:t>:</w:t>
      </w:r>
      <w:r>
        <w:rPr>
          <w:rFonts w:ascii="Arial" w:eastAsia="Times New Roman" w:hAnsi="Arial" w:cs="Arial"/>
          <w:b/>
          <w:sz w:val="24"/>
          <w:szCs w:val="24"/>
        </w:rPr>
        <w:t xml:space="preserve"> </w:t>
      </w:r>
      <w:r>
        <w:rPr>
          <w:rFonts w:ascii="Arial" w:eastAsia="Times New Roman" w:hAnsi="Arial" w:cs="Arial"/>
          <w:sz w:val="24"/>
          <w:szCs w:val="24"/>
        </w:rPr>
        <w:t>Este indica un nivel muy bajo y nulo de presencia del Estado en su dimensión territorial y funcional.</w:t>
      </w:r>
    </w:p>
    <w:p w:rsidR="00477601" w:rsidRDefault="00477601" w:rsidP="00477601">
      <w:pPr>
        <w:spacing w:line="360" w:lineRule="auto"/>
        <w:ind w:firstLine="708"/>
        <w:jc w:val="both"/>
      </w:pPr>
      <w:r>
        <w:rPr>
          <w:rFonts w:ascii="Arial" w:eastAsia="Times New Roman" w:hAnsi="Arial" w:cs="Arial"/>
          <w:sz w:val="24"/>
          <w:szCs w:val="24"/>
        </w:rPr>
        <w:t xml:space="preserve">Las </w:t>
      </w:r>
      <w:r>
        <w:rPr>
          <w:rFonts w:ascii="Arial" w:eastAsia="Times New Roman" w:hAnsi="Arial" w:cs="Arial"/>
          <w:i/>
          <w:sz w:val="24"/>
          <w:szCs w:val="24"/>
        </w:rPr>
        <w:t>zonas marrones</w:t>
      </w:r>
      <w:r>
        <w:rPr>
          <w:rFonts w:ascii="Arial" w:eastAsia="Times New Roman" w:hAnsi="Arial" w:cs="Arial"/>
          <w:sz w:val="24"/>
          <w:szCs w:val="24"/>
        </w:rPr>
        <w:t>, tal cual lo definió el autor, son las zonas donde el Estado no llega de manera directa o incluso su presencia es nula. Estas zonas principalmente son territorios costeros, rurales y fronterizos, donde los índices de desarrollo social son muy bajos, tal cual lo demuestran las comunidades de Paquera y Tambor.</w:t>
      </w:r>
    </w:p>
    <w:p w:rsidR="00477601" w:rsidRDefault="00477601" w:rsidP="00477601">
      <w:pPr>
        <w:spacing w:line="360" w:lineRule="auto"/>
        <w:ind w:firstLine="708"/>
        <w:jc w:val="both"/>
        <w:rPr>
          <w:rFonts w:ascii="Arial" w:eastAsia="Times New Roman" w:hAnsi="Arial" w:cs="Arial"/>
          <w:sz w:val="24"/>
          <w:szCs w:val="24"/>
        </w:rPr>
      </w:pPr>
      <w:r>
        <w:rPr>
          <w:rFonts w:ascii="Arial" w:eastAsia="Times New Roman" w:hAnsi="Arial" w:cs="Arial"/>
          <w:sz w:val="24"/>
          <w:szCs w:val="24"/>
        </w:rPr>
        <w:t>Lo anterior revela la necesidad de una cultura organizacional local bastante activa y capaz, para que estas personas no dependan únicamente del Estado y así con sus propias capacidades, sus propios recursos, puedan establecer una convivencia de bienestar para todos y todas.</w:t>
      </w:r>
    </w:p>
    <w:p w:rsidR="00477601" w:rsidRPr="00694AC7" w:rsidRDefault="00477601" w:rsidP="00477601">
      <w:pPr>
        <w:pStyle w:val="Ttulo2"/>
        <w:numPr>
          <w:ilvl w:val="1"/>
          <w:numId w:val="14"/>
        </w:numPr>
        <w:spacing w:before="0" w:after="240" w:line="360" w:lineRule="auto"/>
        <w:rPr>
          <w:rFonts w:ascii="Arial" w:hAnsi="Arial" w:cs="Arial"/>
          <w:b/>
          <w:color w:val="00000A"/>
        </w:rPr>
      </w:pPr>
      <w:bookmarkStart w:id="47" w:name="_Toc49628450"/>
      <w:bookmarkStart w:id="48" w:name="_Toc50906702"/>
      <w:bookmarkEnd w:id="47"/>
      <w:r w:rsidRPr="00694AC7">
        <w:rPr>
          <w:rFonts w:ascii="Arial" w:hAnsi="Arial" w:cs="Arial"/>
          <w:b/>
          <w:color w:val="00000A"/>
        </w:rPr>
        <w:lastRenderedPageBreak/>
        <w:t>Relación entre las estrategias de implementación y gestión institucional con la planificación local</w:t>
      </w:r>
      <w:bookmarkEnd w:id="48"/>
    </w:p>
    <w:p w:rsidR="00477601" w:rsidRDefault="00477601" w:rsidP="00477601">
      <w:pPr>
        <w:spacing w:line="360" w:lineRule="auto"/>
        <w:ind w:firstLine="708"/>
        <w:jc w:val="both"/>
        <w:rPr>
          <w:rFonts w:ascii="Arial" w:hAnsi="Arial" w:cs="Arial"/>
          <w:sz w:val="24"/>
          <w:szCs w:val="26"/>
        </w:rPr>
      </w:pPr>
      <w:r>
        <w:rPr>
          <w:rFonts w:ascii="Arial" w:hAnsi="Arial" w:cs="Arial"/>
          <w:sz w:val="24"/>
          <w:szCs w:val="26"/>
        </w:rPr>
        <w:t xml:space="preserve">Es importante destacar que ambos conceptos son relacionados a la teoría de la administración pública. Como se detalló anteriormente, para el caso de la implementación y la gestión institucional pueden existir muchas perspectivas para definir este concepto, esto según su naturaleza y los objetivos que las instituciones ostenten. </w:t>
      </w:r>
    </w:p>
    <w:p w:rsidR="00477601" w:rsidRDefault="00477601" w:rsidP="00477601">
      <w:pPr>
        <w:spacing w:line="360" w:lineRule="auto"/>
        <w:ind w:firstLine="708"/>
        <w:jc w:val="both"/>
        <w:rPr>
          <w:rFonts w:ascii="Arial" w:hAnsi="Arial" w:cs="Arial"/>
          <w:sz w:val="24"/>
          <w:szCs w:val="26"/>
        </w:rPr>
      </w:pPr>
      <w:r>
        <w:rPr>
          <w:rFonts w:ascii="Arial" w:hAnsi="Arial" w:cs="Arial"/>
          <w:sz w:val="24"/>
          <w:szCs w:val="26"/>
        </w:rPr>
        <w:t>Las estrategias de implementación y gestión son procesos que se enmarcan dentro de la teoría de la administración pública. Son definidas como el conjunto de procesos que, tras la fase de programación, tienden a la realización concreta de los objetivos de una política pública (Subirats, 2014). En otras palabras, estas estrategias son los mecanismos que las instituciones utilizan para lograr las metas u objetivos de alguna política pública o proyecto.</w:t>
      </w:r>
    </w:p>
    <w:p w:rsidR="00477601" w:rsidRDefault="00477601" w:rsidP="00477601">
      <w:pPr>
        <w:spacing w:line="360" w:lineRule="auto"/>
        <w:ind w:firstLine="708"/>
        <w:jc w:val="both"/>
        <w:rPr>
          <w:rFonts w:ascii="Arial" w:hAnsi="Arial" w:cs="Arial"/>
          <w:sz w:val="24"/>
          <w:szCs w:val="26"/>
        </w:rPr>
      </w:pPr>
      <w:r>
        <w:rPr>
          <w:rFonts w:ascii="Arial" w:hAnsi="Arial" w:cs="Arial"/>
          <w:sz w:val="24"/>
          <w:szCs w:val="26"/>
        </w:rPr>
        <w:t>Es claro que existe una vinculación directa entre la teoría de la planificación local y las estrategias de implementación y gestión institucional. Una de las principales relaciones es que ambas acciones pertenecen al mismo proceso y método, en donde se parte del entramado teórico de que para lograr estrategias de implementación y gestión eficientes, debe de haber existido previamente un proceso de planificación que tomara en cuenta todos estos factores.</w:t>
      </w:r>
    </w:p>
    <w:p w:rsidR="00477601" w:rsidRDefault="00477601" w:rsidP="00477601">
      <w:pPr>
        <w:spacing w:line="360" w:lineRule="auto"/>
        <w:ind w:firstLine="708"/>
        <w:jc w:val="both"/>
        <w:rPr>
          <w:rFonts w:ascii="Arial" w:hAnsi="Arial" w:cs="Arial"/>
          <w:sz w:val="24"/>
          <w:szCs w:val="26"/>
        </w:rPr>
      </w:pPr>
      <w:r>
        <w:rPr>
          <w:rFonts w:ascii="Arial" w:hAnsi="Arial" w:cs="Arial"/>
          <w:sz w:val="24"/>
          <w:szCs w:val="26"/>
        </w:rPr>
        <w:t>Existe una larga tradición de aplicación y estudio de la planificación pública, sin embargo, en este trabajo compete realmente la planificación desde su enfoque más local. Esta subyace como una necesidad de implementar procesos de planificación en los ámbitos más locales y comunales, en donde también existen relaciones sociales y políticas que conllevan tomas de decisiones; que por tanto, y basándose en las teorías expuestas sobre la planificación, es necesario la utilización de este instrumento para facilitar los procesos de desarrollo.</w:t>
      </w:r>
    </w:p>
    <w:p w:rsidR="00477601" w:rsidRDefault="00477601" w:rsidP="00477601">
      <w:pPr>
        <w:spacing w:line="360" w:lineRule="auto"/>
        <w:ind w:firstLine="708"/>
        <w:jc w:val="both"/>
        <w:rPr>
          <w:rFonts w:ascii="Arial" w:hAnsi="Arial" w:cs="Arial"/>
          <w:sz w:val="24"/>
          <w:szCs w:val="26"/>
        </w:rPr>
      </w:pPr>
      <w:r>
        <w:rPr>
          <w:rFonts w:ascii="Arial" w:hAnsi="Arial" w:cs="Arial"/>
          <w:sz w:val="24"/>
          <w:szCs w:val="26"/>
        </w:rPr>
        <w:t>Existen visiones críticas sobre la relación entre estos dos procesos. Por ejemplo</w:t>
      </w:r>
    </w:p>
    <w:p w:rsidR="00477601" w:rsidRDefault="00477601" w:rsidP="00477601">
      <w:pPr>
        <w:spacing w:line="360" w:lineRule="auto"/>
        <w:ind w:firstLine="708"/>
        <w:jc w:val="both"/>
        <w:rPr>
          <w:rFonts w:ascii="Arial" w:hAnsi="Arial" w:cs="Arial"/>
          <w:sz w:val="24"/>
          <w:szCs w:val="26"/>
        </w:rPr>
      </w:pPr>
      <w:r>
        <w:rPr>
          <w:rFonts w:ascii="Arial" w:hAnsi="Arial" w:cs="Arial"/>
          <w:sz w:val="24"/>
          <w:szCs w:val="26"/>
        </w:rPr>
        <w:lastRenderedPageBreak/>
        <w:t>Según otros autores como Bernazza (2010), se sostiene que la mayoría de promesas electorales o discursos políticos no cuentan con una herramienta de planificación que fortalezca su implementación y gestión. Sugiere que todas las funciones públicas deben de hacerse valer de legitimidad y participación de la ciudadanía, ya que esta identidad social es la que dirige las políticas y los proyectos públicos.</w:t>
      </w:r>
    </w:p>
    <w:p w:rsidR="00477601" w:rsidRDefault="00477601" w:rsidP="00477601">
      <w:pPr>
        <w:spacing w:line="360" w:lineRule="auto"/>
        <w:ind w:firstLine="708"/>
        <w:jc w:val="both"/>
        <w:rPr>
          <w:rFonts w:ascii="Arial" w:hAnsi="Arial" w:cs="Arial"/>
          <w:sz w:val="24"/>
          <w:szCs w:val="26"/>
        </w:rPr>
      </w:pPr>
      <w:r>
        <w:rPr>
          <w:rFonts w:ascii="Arial" w:hAnsi="Arial" w:cs="Arial"/>
          <w:sz w:val="24"/>
          <w:szCs w:val="26"/>
        </w:rPr>
        <w:t xml:space="preserve">La planificación local al igual que las demás fases de la planificación, no dejan de ser construcciones colectivas, por tanto posee como objetivo movilizar los recursos del territorio en torno a proyectos comunes, utilizando otros elementos como las estrategias de implementación y gestión. Estas estrategias se deben preocupar porque vayan relacionadas a lo estipulado según los procesos de planificación. </w:t>
      </w:r>
    </w:p>
    <w:p w:rsidR="00477601" w:rsidRDefault="00477601" w:rsidP="00477601">
      <w:pPr>
        <w:spacing w:line="360" w:lineRule="auto"/>
        <w:ind w:firstLine="708"/>
        <w:jc w:val="both"/>
        <w:rPr>
          <w:rFonts w:ascii="Arial" w:hAnsi="Arial" w:cs="Arial"/>
          <w:sz w:val="24"/>
          <w:szCs w:val="26"/>
        </w:rPr>
      </w:pPr>
      <w:r>
        <w:rPr>
          <w:rFonts w:ascii="Arial" w:hAnsi="Arial" w:cs="Arial"/>
          <w:sz w:val="24"/>
          <w:szCs w:val="26"/>
        </w:rPr>
        <w:t xml:space="preserve">Los procesos de planificación local deben de tener la capacidad de lograr de forma clara y objetiva sus estrategias, conociendo sus capacidades y limitaciones. La planeación local es fundamental para las estrategias de implementación, según Mintzberg (1993) </w:t>
      </w:r>
    </w:p>
    <w:p w:rsidR="00477601" w:rsidRDefault="00477601" w:rsidP="00477601">
      <w:pPr>
        <w:spacing w:line="360" w:lineRule="auto"/>
        <w:ind w:left="708"/>
        <w:jc w:val="both"/>
        <w:rPr>
          <w:rFonts w:ascii="Arial" w:hAnsi="Arial" w:cs="Arial"/>
          <w:sz w:val="24"/>
          <w:szCs w:val="26"/>
        </w:rPr>
      </w:pPr>
      <w:r>
        <w:rPr>
          <w:rFonts w:ascii="Arial" w:hAnsi="Arial" w:cs="Arial"/>
          <w:sz w:val="24"/>
          <w:szCs w:val="26"/>
        </w:rPr>
        <w:t xml:space="preserve">La estrategia es una perspectiva, su contenido implica no solo la selección de una posición, sino una manera particular de percibir el mundo. La estrategia es para la organización lo que la personalidad es para el individuo. (p. 19) </w:t>
      </w:r>
    </w:p>
    <w:p w:rsidR="00477601" w:rsidRPr="004F0BD7" w:rsidRDefault="00477601" w:rsidP="00477601">
      <w:pPr>
        <w:spacing w:line="360" w:lineRule="auto"/>
        <w:ind w:left="708"/>
        <w:jc w:val="both"/>
        <w:rPr>
          <w:rFonts w:ascii="Arial" w:hAnsi="Arial" w:cs="Arial"/>
          <w:sz w:val="24"/>
          <w:szCs w:val="26"/>
        </w:rPr>
        <w:sectPr w:rsidR="00477601" w:rsidRPr="004F0BD7" w:rsidSect="00477601">
          <w:headerReference w:type="even" r:id="rId13"/>
          <w:headerReference w:type="default" r:id="rId14"/>
          <w:footerReference w:type="even" r:id="rId15"/>
          <w:footerReference w:type="default" r:id="rId16"/>
          <w:headerReference w:type="first" r:id="rId17"/>
          <w:footerReference w:type="first" r:id="rId18"/>
          <w:pgSz w:w="12240" w:h="15840"/>
          <w:pgMar w:top="1417" w:right="1701" w:bottom="1417" w:left="1701" w:header="708" w:footer="708" w:gutter="0"/>
          <w:pgNumType w:start="1"/>
          <w:cols w:space="708"/>
          <w:titlePg/>
          <w:docGrid w:linePitch="360"/>
        </w:sectPr>
      </w:pPr>
    </w:p>
    <w:p w:rsidR="00477601" w:rsidRDefault="00477601" w:rsidP="00477601">
      <w:r>
        <w:rPr>
          <w:noProof/>
          <w:lang w:eastAsia="es-CR"/>
        </w:rPr>
        <w:lastRenderedPageBreak/>
        <w:drawing>
          <wp:anchor distT="0" distB="0" distL="114300" distR="114300" simplePos="0" relativeHeight="251659264" behindDoc="0" locked="0" layoutInCell="1" allowOverlap="1" wp14:anchorId="24D37420" wp14:editId="5F1AC8A3">
            <wp:simplePos x="0" y="0"/>
            <wp:positionH relativeFrom="margin">
              <wp:posOffset>709295</wp:posOffset>
            </wp:positionH>
            <wp:positionV relativeFrom="margin">
              <wp:posOffset>177165</wp:posOffset>
            </wp:positionV>
            <wp:extent cx="6829425" cy="5000625"/>
            <wp:effectExtent l="0" t="0" r="9525" b="9525"/>
            <wp:wrapSquare wrapText="bothSides"/>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extLst>
                        <a:ext uri="{28A0092B-C50C-407E-A947-70E740481C1C}">
                          <a14:useLocalDpi xmlns:a14="http://schemas.microsoft.com/office/drawing/2010/main" val="0"/>
                        </a:ext>
                      </a:extLst>
                    </a:blip>
                    <a:stretch>
                      <a:fillRect/>
                    </a:stretch>
                  </pic:blipFill>
                  <pic:spPr>
                    <a:xfrm>
                      <a:off x="0" y="0"/>
                      <a:ext cx="6829425" cy="5000625"/>
                    </a:xfrm>
                    <a:prstGeom prst="rect">
                      <a:avLst/>
                    </a:prstGeom>
                  </pic:spPr>
                </pic:pic>
              </a:graphicData>
            </a:graphic>
          </wp:anchor>
        </w:drawing>
      </w:r>
    </w:p>
    <w:p w:rsidR="00477601" w:rsidRDefault="00477601" w:rsidP="00477601"/>
    <w:p w:rsidR="00477601" w:rsidRDefault="00477601" w:rsidP="00477601">
      <w:pPr>
        <w:sectPr w:rsidR="00477601" w:rsidSect="00424427">
          <w:headerReference w:type="first" r:id="rId20"/>
          <w:footerReference w:type="first" r:id="rId21"/>
          <w:pgSz w:w="15840" w:h="12240" w:orient="landscape"/>
          <w:pgMar w:top="1701" w:right="1418" w:bottom="1701" w:left="1418" w:header="709" w:footer="709" w:gutter="0"/>
          <w:pgNumType w:start="56"/>
          <w:cols w:space="708"/>
          <w:titlePg/>
          <w:docGrid w:linePitch="360"/>
        </w:sectPr>
      </w:pPr>
    </w:p>
    <w:p w:rsidR="00477601" w:rsidRPr="004F0BD7" w:rsidRDefault="00477601" w:rsidP="00477601">
      <w:pPr>
        <w:pStyle w:val="Ttulo2"/>
        <w:spacing w:line="480" w:lineRule="auto"/>
        <w:rPr>
          <w:rFonts w:ascii="Arial" w:hAnsi="Arial" w:cs="Arial"/>
          <w:b/>
          <w:color w:val="00000A"/>
        </w:rPr>
      </w:pPr>
      <w:bookmarkStart w:id="49" w:name="_Toc50906703"/>
      <w:r w:rsidRPr="004F0BD7">
        <w:rPr>
          <w:rFonts w:ascii="Arial" w:hAnsi="Arial" w:cs="Arial"/>
          <w:b/>
          <w:color w:val="00000A"/>
        </w:rPr>
        <w:lastRenderedPageBreak/>
        <w:t>Dimensiones Empíricas</w:t>
      </w:r>
      <w:bookmarkEnd w:id="49"/>
    </w:p>
    <w:p w:rsidR="00477601" w:rsidRDefault="00477601" w:rsidP="00477601">
      <w:pPr>
        <w:spacing w:line="360" w:lineRule="auto"/>
        <w:ind w:firstLine="708"/>
        <w:jc w:val="both"/>
        <w:rPr>
          <w:rFonts w:ascii="Arial" w:hAnsi="Arial" w:cs="Arial"/>
          <w:sz w:val="24"/>
          <w:szCs w:val="26"/>
        </w:rPr>
      </w:pPr>
      <w:r>
        <w:rPr>
          <w:rFonts w:ascii="Arial" w:hAnsi="Arial" w:cs="Arial"/>
          <w:sz w:val="24"/>
          <w:szCs w:val="26"/>
        </w:rPr>
        <w:t>La naturaleza de esta investigación radica en que se parte de ciertas dimensiones empíricas que buscan definir nichos de análisis tentativos del objeto de estudio, que posteriormente permitirán guiar la construcción de la investigación, modificándolas y agregando algunas otras.</w:t>
      </w:r>
    </w:p>
    <w:p w:rsidR="00477601" w:rsidRDefault="00477601" w:rsidP="00477601">
      <w:pPr>
        <w:spacing w:line="360" w:lineRule="auto"/>
        <w:ind w:firstLine="708"/>
        <w:jc w:val="both"/>
        <w:rPr>
          <w:rFonts w:ascii="Arial" w:hAnsi="Arial" w:cs="Arial"/>
          <w:sz w:val="24"/>
          <w:szCs w:val="26"/>
        </w:rPr>
      </w:pPr>
      <w:r>
        <w:rPr>
          <w:rFonts w:ascii="Arial" w:hAnsi="Arial" w:cs="Arial"/>
          <w:sz w:val="24"/>
          <w:szCs w:val="26"/>
        </w:rPr>
        <w:t xml:space="preserve">Estas categorías permiten tener un acercamiento más específico al objeto de estudio, además de orientar las diversas fases de esta investigación, como la recolección y el análisis de la información. </w:t>
      </w:r>
    </w:p>
    <w:p w:rsidR="00477601" w:rsidRDefault="00477601" w:rsidP="00477601">
      <w:pPr>
        <w:spacing w:line="360" w:lineRule="auto"/>
        <w:ind w:firstLine="708"/>
        <w:jc w:val="both"/>
        <w:rPr>
          <w:rFonts w:ascii="Arial" w:hAnsi="Arial" w:cs="Arial"/>
          <w:sz w:val="24"/>
          <w:szCs w:val="26"/>
        </w:rPr>
      </w:pPr>
      <w:r>
        <w:rPr>
          <w:rFonts w:ascii="Arial" w:hAnsi="Arial" w:cs="Arial"/>
          <w:sz w:val="24"/>
          <w:szCs w:val="26"/>
        </w:rPr>
        <w:t xml:space="preserve">El empirismo parte de un enfoque inductivo, el cual según Della Porta &amp; Keating (2013) “El objetivo es obtener una nueva perspectiva de lo relevante en el ámbito empírico de estudio al considerarlo desde el punto de vista de los agentes involucrados” (p. 79). En un paso más avanzado, esas categorías empíricas se interpretan de modo teórico-conceptual para realizar un estudio más integral. </w:t>
      </w:r>
    </w:p>
    <w:p w:rsidR="00477601" w:rsidRDefault="00477601" w:rsidP="00477601">
      <w:pPr>
        <w:spacing w:line="360" w:lineRule="auto"/>
        <w:ind w:firstLine="708"/>
        <w:jc w:val="both"/>
        <w:rPr>
          <w:rFonts w:ascii="Arial" w:hAnsi="Arial" w:cs="Arial"/>
          <w:sz w:val="24"/>
          <w:szCs w:val="26"/>
        </w:rPr>
      </w:pPr>
      <w:r>
        <w:rPr>
          <w:rFonts w:ascii="Arial" w:hAnsi="Arial" w:cs="Arial"/>
          <w:sz w:val="24"/>
          <w:szCs w:val="26"/>
        </w:rPr>
        <w:t>A partir de lo anterior, Landreani (s.f.) plantea que la investigación empírica conlleva a una subjetivación del objeto de estudio, en donde se actúa como un receptor que debe desarrollar técnicas y capacidades de observación sobre la manifestación del objeto de estudio. Esta abstracción luego se verificará con la información y los hechos. En otras palabras, se trata de modificar una realidad confiriéndole una direccionalidad; ya que el conocer por la acción implica también conocer para la acción (p. 8-9).</w:t>
      </w:r>
    </w:p>
    <w:p w:rsidR="00477601" w:rsidRDefault="00477601" w:rsidP="00477601">
      <w:pPr>
        <w:spacing w:line="360" w:lineRule="auto"/>
        <w:ind w:firstLine="708"/>
        <w:jc w:val="both"/>
        <w:rPr>
          <w:rFonts w:ascii="Arial" w:hAnsi="Arial" w:cs="Arial"/>
          <w:sz w:val="24"/>
          <w:szCs w:val="26"/>
        </w:rPr>
      </w:pPr>
      <w:r>
        <w:rPr>
          <w:rFonts w:ascii="Arial" w:hAnsi="Arial" w:cs="Arial"/>
          <w:sz w:val="24"/>
          <w:szCs w:val="26"/>
        </w:rPr>
        <w:t>De las premisas anteriores, se crea la siguiente tabla que resume las categorías empíricas de esta investigación, las cuales buscan interpretar y/o dar significado a la realidad social del objeto de estudio a través de la contextualización teórica y el trabajo de campo.</w:t>
      </w:r>
    </w:p>
    <w:p w:rsidR="00477601" w:rsidRPr="004F0BD7" w:rsidRDefault="00477601" w:rsidP="00477601">
      <w:pPr>
        <w:spacing w:line="360" w:lineRule="auto"/>
        <w:ind w:firstLine="708"/>
        <w:jc w:val="both"/>
        <w:rPr>
          <w:rFonts w:ascii="Arial" w:hAnsi="Arial" w:cs="Arial"/>
          <w:sz w:val="24"/>
          <w:szCs w:val="26"/>
        </w:rPr>
      </w:pPr>
      <w:r>
        <w:rPr>
          <w:rFonts w:ascii="Arial" w:hAnsi="Arial" w:cs="Arial"/>
          <w:sz w:val="24"/>
          <w:szCs w:val="26"/>
        </w:rPr>
        <w:t>Es importante destacar que estas categorías son construcciones subjetivas, las mismas pueden ser susceptibles de variación.</w:t>
      </w:r>
    </w:p>
    <w:p w:rsidR="00477601" w:rsidRDefault="00477601" w:rsidP="00477601"/>
    <w:p w:rsidR="00477601" w:rsidRDefault="00477601" w:rsidP="00477601"/>
    <w:p w:rsidR="00477601" w:rsidRPr="00507EA1" w:rsidRDefault="00477601" w:rsidP="00477601">
      <w:pPr>
        <w:spacing w:line="240" w:lineRule="auto"/>
        <w:rPr>
          <w:sz w:val="24"/>
          <w:szCs w:val="24"/>
        </w:rPr>
      </w:pPr>
      <w:r w:rsidRPr="00507EA1">
        <w:rPr>
          <w:rFonts w:ascii="Arial" w:eastAsia="Times New Roman" w:hAnsi="Arial" w:cs="Arial"/>
          <w:sz w:val="24"/>
          <w:szCs w:val="24"/>
        </w:rPr>
        <w:lastRenderedPageBreak/>
        <w:t>Tabla N° 1 Dimensiones empíricas</w:t>
      </w:r>
    </w:p>
    <w:tbl>
      <w:tblPr>
        <w:tblW w:w="8828" w:type="dxa"/>
        <w:jc w:val="center"/>
        <w:tblBorders>
          <w:top w:val="single" w:sz="4" w:space="0" w:color="00000A"/>
          <w:left w:val="single" w:sz="4" w:space="0" w:color="00000A"/>
          <w:bottom w:val="single" w:sz="4" w:space="0" w:color="00000A"/>
          <w:right w:val="single" w:sz="4" w:space="0" w:color="00000A"/>
          <w:insideH w:val="single" w:sz="4" w:space="0" w:color="00000A"/>
          <w:insideV w:val="single" w:sz="4" w:space="0" w:color="00000A"/>
        </w:tblBorders>
        <w:tblCellMar>
          <w:left w:w="98" w:type="dxa"/>
        </w:tblCellMar>
        <w:tblLook w:val="04A0" w:firstRow="1" w:lastRow="0" w:firstColumn="1" w:lastColumn="0" w:noHBand="0" w:noVBand="1"/>
      </w:tblPr>
      <w:tblGrid>
        <w:gridCol w:w="3434"/>
        <w:gridCol w:w="5394"/>
      </w:tblGrid>
      <w:tr w:rsidR="00477601" w:rsidTr="00392909">
        <w:trPr>
          <w:trHeight w:val="488"/>
          <w:jc w:val="center"/>
        </w:trPr>
        <w:tc>
          <w:tcPr>
            <w:tcW w:w="3434" w:type="dxa"/>
            <w:tcBorders>
              <w:top w:val="single" w:sz="4" w:space="0" w:color="00000A"/>
              <w:left w:val="single" w:sz="4" w:space="0" w:color="00000A"/>
              <w:bottom w:val="single" w:sz="4" w:space="0" w:color="00000A"/>
              <w:right w:val="single" w:sz="4" w:space="0" w:color="00000A"/>
            </w:tcBorders>
            <w:shd w:val="clear" w:color="auto" w:fill="C5E0B3" w:themeFill="accent6" w:themeFillTint="66"/>
            <w:tcMar>
              <w:left w:w="98" w:type="dxa"/>
            </w:tcMar>
            <w:vAlign w:val="center"/>
          </w:tcPr>
          <w:p w:rsidR="00477601" w:rsidRDefault="00477601" w:rsidP="00424427">
            <w:pPr>
              <w:spacing w:after="0" w:line="240" w:lineRule="auto"/>
              <w:jc w:val="center"/>
              <w:rPr>
                <w:rFonts w:ascii="Arial" w:hAnsi="Arial" w:cs="Arial"/>
                <w:b/>
                <w:sz w:val="24"/>
                <w:szCs w:val="24"/>
              </w:rPr>
            </w:pPr>
            <w:r>
              <w:rPr>
                <w:rFonts w:ascii="Arial" w:hAnsi="Arial" w:cs="Arial"/>
                <w:b/>
                <w:sz w:val="24"/>
                <w:szCs w:val="24"/>
              </w:rPr>
              <w:t>Dimensión empírica</w:t>
            </w:r>
          </w:p>
        </w:tc>
        <w:tc>
          <w:tcPr>
            <w:tcW w:w="5393" w:type="dxa"/>
            <w:tcBorders>
              <w:top w:val="single" w:sz="4" w:space="0" w:color="00000A"/>
              <w:left w:val="single" w:sz="4" w:space="0" w:color="00000A"/>
              <w:bottom w:val="single" w:sz="4" w:space="0" w:color="00000A"/>
              <w:right w:val="single" w:sz="4" w:space="0" w:color="00000A"/>
            </w:tcBorders>
            <w:shd w:val="clear" w:color="auto" w:fill="C5E0B3" w:themeFill="accent6" w:themeFillTint="66"/>
            <w:tcMar>
              <w:left w:w="98" w:type="dxa"/>
            </w:tcMar>
            <w:vAlign w:val="center"/>
          </w:tcPr>
          <w:p w:rsidR="00477601" w:rsidRDefault="00477601" w:rsidP="00424427">
            <w:pPr>
              <w:spacing w:after="0" w:line="240" w:lineRule="auto"/>
              <w:jc w:val="center"/>
              <w:rPr>
                <w:rFonts w:ascii="Arial" w:hAnsi="Arial" w:cs="Arial"/>
                <w:b/>
                <w:sz w:val="24"/>
                <w:szCs w:val="24"/>
              </w:rPr>
            </w:pPr>
            <w:r>
              <w:rPr>
                <w:rFonts w:ascii="Arial" w:hAnsi="Arial" w:cs="Arial"/>
                <w:b/>
                <w:sz w:val="24"/>
                <w:szCs w:val="24"/>
              </w:rPr>
              <w:t>Definición</w:t>
            </w:r>
          </w:p>
        </w:tc>
      </w:tr>
      <w:tr w:rsidR="00477601" w:rsidTr="00424427">
        <w:trPr>
          <w:trHeight w:val="145"/>
          <w:jc w:val="center"/>
        </w:trPr>
        <w:tc>
          <w:tcPr>
            <w:tcW w:w="3434" w:type="dxa"/>
            <w:tcBorders>
              <w:top w:val="single" w:sz="4" w:space="0" w:color="00000A"/>
              <w:left w:val="single" w:sz="4" w:space="0" w:color="00000A"/>
              <w:bottom w:val="single" w:sz="4" w:space="0" w:color="00000A"/>
              <w:right w:val="single" w:sz="4" w:space="0" w:color="00000A"/>
            </w:tcBorders>
            <w:shd w:val="clear" w:color="auto" w:fill="auto"/>
            <w:tcMar>
              <w:left w:w="98" w:type="dxa"/>
            </w:tcMar>
            <w:vAlign w:val="center"/>
          </w:tcPr>
          <w:p w:rsidR="00477601" w:rsidRDefault="00477601" w:rsidP="00424427">
            <w:pPr>
              <w:spacing w:after="0" w:line="240" w:lineRule="auto"/>
              <w:jc w:val="center"/>
              <w:rPr>
                <w:rFonts w:ascii="Arial" w:hAnsi="Arial" w:cs="Arial"/>
                <w:sz w:val="24"/>
                <w:szCs w:val="24"/>
              </w:rPr>
            </w:pPr>
            <w:r>
              <w:rPr>
                <w:rFonts w:ascii="Arial" w:hAnsi="Arial" w:cs="Arial"/>
                <w:sz w:val="24"/>
                <w:szCs w:val="24"/>
              </w:rPr>
              <w:t>Implementación y gestión pública</w:t>
            </w:r>
          </w:p>
        </w:tc>
        <w:tc>
          <w:tcPr>
            <w:tcW w:w="5393" w:type="dxa"/>
            <w:tcBorders>
              <w:top w:val="single" w:sz="4" w:space="0" w:color="00000A"/>
              <w:left w:val="single" w:sz="4" w:space="0" w:color="00000A"/>
              <w:bottom w:val="single" w:sz="4" w:space="0" w:color="00000A"/>
              <w:right w:val="single" w:sz="4" w:space="0" w:color="00000A"/>
            </w:tcBorders>
            <w:shd w:val="clear" w:color="auto" w:fill="auto"/>
            <w:tcMar>
              <w:left w:w="98" w:type="dxa"/>
            </w:tcMar>
          </w:tcPr>
          <w:p w:rsidR="00477601" w:rsidRDefault="00477601" w:rsidP="00424427">
            <w:pPr>
              <w:spacing w:after="0" w:line="240" w:lineRule="auto"/>
              <w:jc w:val="both"/>
              <w:rPr>
                <w:rFonts w:ascii="Arial" w:hAnsi="Arial" w:cs="Arial"/>
                <w:color w:val="000000"/>
                <w:sz w:val="24"/>
                <w:szCs w:val="24"/>
              </w:rPr>
            </w:pPr>
            <w:r>
              <w:rPr>
                <w:rFonts w:ascii="Arial" w:hAnsi="Arial" w:cs="Arial"/>
                <w:color w:val="000000"/>
                <w:sz w:val="24"/>
                <w:szCs w:val="24"/>
              </w:rPr>
              <w:t>Acciones públicas gubernamentales que buscan el desarrollo socioeconómico de las diversas comunidades del país de forma homogénea. Poseen metodologías generalizadas y centralizadas, por tanto; sus resultados no son siempre efectivos.</w:t>
            </w:r>
          </w:p>
          <w:p w:rsidR="00477601" w:rsidRDefault="00477601" w:rsidP="00424427">
            <w:pPr>
              <w:spacing w:after="0" w:line="240" w:lineRule="auto"/>
              <w:jc w:val="both"/>
              <w:rPr>
                <w:rFonts w:ascii="Arial" w:hAnsi="Arial" w:cs="Arial"/>
                <w:color w:val="000000"/>
                <w:sz w:val="24"/>
                <w:szCs w:val="24"/>
              </w:rPr>
            </w:pPr>
          </w:p>
        </w:tc>
      </w:tr>
      <w:tr w:rsidR="00477601" w:rsidTr="00424427">
        <w:trPr>
          <w:trHeight w:val="145"/>
          <w:jc w:val="center"/>
        </w:trPr>
        <w:tc>
          <w:tcPr>
            <w:tcW w:w="3434" w:type="dxa"/>
            <w:tcBorders>
              <w:top w:val="single" w:sz="4" w:space="0" w:color="00000A"/>
              <w:left w:val="single" w:sz="4" w:space="0" w:color="00000A"/>
              <w:bottom w:val="single" w:sz="4" w:space="0" w:color="00000A"/>
              <w:right w:val="single" w:sz="4" w:space="0" w:color="00000A"/>
            </w:tcBorders>
            <w:shd w:val="clear" w:color="auto" w:fill="auto"/>
            <w:tcMar>
              <w:left w:w="98" w:type="dxa"/>
            </w:tcMar>
            <w:vAlign w:val="center"/>
          </w:tcPr>
          <w:p w:rsidR="00477601" w:rsidRDefault="00477601" w:rsidP="00424427">
            <w:pPr>
              <w:spacing w:after="0" w:line="240" w:lineRule="auto"/>
              <w:jc w:val="center"/>
              <w:rPr>
                <w:rFonts w:ascii="Arial" w:hAnsi="Arial" w:cs="Arial"/>
                <w:sz w:val="24"/>
                <w:szCs w:val="24"/>
              </w:rPr>
            </w:pPr>
            <w:r>
              <w:rPr>
                <w:rFonts w:ascii="Arial" w:hAnsi="Arial" w:cs="Arial"/>
                <w:sz w:val="24"/>
                <w:szCs w:val="24"/>
              </w:rPr>
              <w:t>Política pública</w:t>
            </w:r>
          </w:p>
        </w:tc>
        <w:tc>
          <w:tcPr>
            <w:tcW w:w="5393" w:type="dxa"/>
            <w:tcBorders>
              <w:top w:val="single" w:sz="4" w:space="0" w:color="00000A"/>
              <w:left w:val="single" w:sz="4" w:space="0" w:color="00000A"/>
              <w:bottom w:val="single" w:sz="4" w:space="0" w:color="00000A"/>
              <w:right w:val="single" w:sz="4" w:space="0" w:color="00000A"/>
            </w:tcBorders>
            <w:shd w:val="clear" w:color="auto" w:fill="auto"/>
            <w:tcMar>
              <w:left w:w="98" w:type="dxa"/>
            </w:tcMar>
          </w:tcPr>
          <w:p w:rsidR="00477601" w:rsidRDefault="00477601" w:rsidP="00424427">
            <w:pPr>
              <w:spacing w:after="0" w:line="240" w:lineRule="auto"/>
              <w:jc w:val="both"/>
              <w:rPr>
                <w:rFonts w:ascii="Arial" w:hAnsi="Arial" w:cs="Arial"/>
                <w:color w:val="000000"/>
                <w:sz w:val="24"/>
                <w:szCs w:val="24"/>
              </w:rPr>
            </w:pPr>
            <w:r>
              <w:rPr>
                <w:rFonts w:ascii="Arial" w:hAnsi="Arial" w:cs="Arial"/>
                <w:color w:val="000000"/>
                <w:sz w:val="24"/>
                <w:szCs w:val="24"/>
              </w:rPr>
              <w:t>Instrumento técnico-político utilizado en la administración pública para ofrecer soluciones reales a las demandas sociales. Posee una estructura sistematizada y cuadrada.</w:t>
            </w:r>
          </w:p>
          <w:p w:rsidR="00477601" w:rsidRDefault="00477601" w:rsidP="00424427">
            <w:pPr>
              <w:spacing w:after="0" w:line="240" w:lineRule="auto"/>
              <w:jc w:val="both"/>
              <w:rPr>
                <w:rFonts w:ascii="Arial" w:hAnsi="Arial" w:cs="Arial"/>
                <w:color w:val="000000"/>
                <w:sz w:val="24"/>
                <w:szCs w:val="24"/>
              </w:rPr>
            </w:pPr>
          </w:p>
        </w:tc>
      </w:tr>
      <w:tr w:rsidR="00477601" w:rsidTr="00424427">
        <w:trPr>
          <w:trHeight w:val="145"/>
          <w:jc w:val="center"/>
        </w:trPr>
        <w:tc>
          <w:tcPr>
            <w:tcW w:w="3434" w:type="dxa"/>
            <w:tcBorders>
              <w:top w:val="single" w:sz="4" w:space="0" w:color="00000A"/>
              <w:left w:val="single" w:sz="4" w:space="0" w:color="00000A"/>
              <w:bottom w:val="single" w:sz="4" w:space="0" w:color="00000A"/>
              <w:right w:val="single" w:sz="4" w:space="0" w:color="00000A"/>
            </w:tcBorders>
            <w:shd w:val="clear" w:color="auto" w:fill="auto"/>
            <w:tcMar>
              <w:left w:w="98" w:type="dxa"/>
            </w:tcMar>
            <w:vAlign w:val="center"/>
          </w:tcPr>
          <w:p w:rsidR="00477601" w:rsidRDefault="00477601" w:rsidP="00424427">
            <w:pPr>
              <w:spacing w:after="0" w:line="240" w:lineRule="auto"/>
              <w:jc w:val="center"/>
              <w:rPr>
                <w:rFonts w:ascii="Arial" w:hAnsi="Arial" w:cs="Arial"/>
                <w:sz w:val="24"/>
                <w:szCs w:val="24"/>
              </w:rPr>
            </w:pPr>
            <w:r>
              <w:rPr>
                <w:rFonts w:ascii="Arial" w:hAnsi="Arial" w:cs="Arial"/>
                <w:sz w:val="24"/>
                <w:szCs w:val="24"/>
              </w:rPr>
              <w:t>Planificación local</w:t>
            </w:r>
          </w:p>
        </w:tc>
        <w:tc>
          <w:tcPr>
            <w:tcW w:w="5393" w:type="dxa"/>
            <w:tcBorders>
              <w:top w:val="single" w:sz="4" w:space="0" w:color="00000A"/>
              <w:left w:val="single" w:sz="4" w:space="0" w:color="00000A"/>
              <w:bottom w:val="single" w:sz="4" w:space="0" w:color="00000A"/>
              <w:right w:val="single" w:sz="4" w:space="0" w:color="00000A"/>
            </w:tcBorders>
            <w:shd w:val="clear" w:color="auto" w:fill="auto"/>
            <w:tcMar>
              <w:left w:w="98" w:type="dxa"/>
            </w:tcMar>
          </w:tcPr>
          <w:p w:rsidR="00477601" w:rsidRDefault="00477601" w:rsidP="00424427">
            <w:pPr>
              <w:spacing w:after="0" w:line="240" w:lineRule="auto"/>
              <w:jc w:val="both"/>
              <w:rPr>
                <w:rFonts w:ascii="Arial" w:hAnsi="Arial" w:cs="Arial"/>
                <w:color w:val="000000"/>
                <w:sz w:val="24"/>
                <w:szCs w:val="24"/>
              </w:rPr>
            </w:pPr>
            <w:r>
              <w:rPr>
                <w:rFonts w:ascii="Arial" w:hAnsi="Arial" w:cs="Arial"/>
                <w:color w:val="000000"/>
                <w:sz w:val="24"/>
                <w:szCs w:val="24"/>
              </w:rPr>
              <w:t>La planificación local constituye uno de los niveles de la planificación nacional. Su función se centra en la formulación y ejecución de planes descentralizados. Este nivel de la planificación supone una auténtica participación social. Es aquí donde los ciudadanos y la municipalidad definen prioridades de su comunidad, los recursos, el aporte del gobierno central, gobierno local, el comunal y los responsables de la ejecución.</w:t>
            </w:r>
          </w:p>
          <w:p w:rsidR="00477601" w:rsidRDefault="00477601" w:rsidP="00424427">
            <w:pPr>
              <w:spacing w:after="0" w:line="240" w:lineRule="auto"/>
              <w:jc w:val="both"/>
              <w:rPr>
                <w:rFonts w:ascii="Arial" w:hAnsi="Arial" w:cs="Arial"/>
                <w:color w:val="000000"/>
                <w:sz w:val="24"/>
                <w:szCs w:val="24"/>
              </w:rPr>
            </w:pPr>
          </w:p>
        </w:tc>
      </w:tr>
      <w:tr w:rsidR="00477601" w:rsidTr="00424427">
        <w:trPr>
          <w:trHeight w:val="145"/>
          <w:jc w:val="center"/>
        </w:trPr>
        <w:tc>
          <w:tcPr>
            <w:tcW w:w="3434" w:type="dxa"/>
            <w:tcBorders>
              <w:top w:val="single" w:sz="4" w:space="0" w:color="00000A"/>
              <w:left w:val="single" w:sz="4" w:space="0" w:color="00000A"/>
              <w:bottom w:val="single" w:sz="4" w:space="0" w:color="00000A"/>
              <w:right w:val="single" w:sz="4" w:space="0" w:color="00000A"/>
            </w:tcBorders>
            <w:shd w:val="clear" w:color="auto" w:fill="auto"/>
            <w:tcMar>
              <w:left w:w="98" w:type="dxa"/>
            </w:tcMar>
            <w:vAlign w:val="center"/>
          </w:tcPr>
          <w:p w:rsidR="00477601" w:rsidRDefault="00477601" w:rsidP="00424427">
            <w:pPr>
              <w:spacing w:after="0" w:line="240" w:lineRule="auto"/>
              <w:jc w:val="center"/>
              <w:rPr>
                <w:rFonts w:ascii="Arial" w:hAnsi="Arial" w:cs="Arial"/>
                <w:sz w:val="24"/>
                <w:szCs w:val="24"/>
              </w:rPr>
            </w:pPr>
            <w:r>
              <w:rPr>
                <w:rFonts w:ascii="Arial" w:hAnsi="Arial" w:cs="Arial"/>
                <w:sz w:val="24"/>
                <w:szCs w:val="24"/>
              </w:rPr>
              <w:t>Acción comunitaria</w:t>
            </w:r>
          </w:p>
        </w:tc>
        <w:tc>
          <w:tcPr>
            <w:tcW w:w="5393" w:type="dxa"/>
            <w:tcBorders>
              <w:top w:val="single" w:sz="4" w:space="0" w:color="00000A"/>
              <w:left w:val="single" w:sz="4" w:space="0" w:color="00000A"/>
              <w:bottom w:val="single" w:sz="4" w:space="0" w:color="00000A"/>
              <w:right w:val="single" w:sz="4" w:space="0" w:color="00000A"/>
            </w:tcBorders>
            <w:shd w:val="clear" w:color="auto" w:fill="auto"/>
            <w:tcMar>
              <w:left w:w="98" w:type="dxa"/>
            </w:tcMar>
          </w:tcPr>
          <w:p w:rsidR="00477601" w:rsidRDefault="00477601" w:rsidP="00424427">
            <w:pPr>
              <w:spacing w:after="0" w:line="240" w:lineRule="auto"/>
              <w:jc w:val="both"/>
              <w:rPr>
                <w:rFonts w:ascii="Arial" w:hAnsi="Arial" w:cs="Arial"/>
                <w:color w:val="000000"/>
                <w:sz w:val="24"/>
                <w:szCs w:val="24"/>
              </w:rPr>
            </w:pPr>
            <w:r>
              <w:rPr>
                <w:rFonts w:ascii="Arial" w:hAnsi="Arial" w:cs="Arial"/>
                <w:color w:val="000000"/>
                <w:sz w:val="24"/>
                <w:szCs w:val="24"/>
              </w:rPr>
              <w:t>Involucramiento y participación real de la sociedad civil en las tomas de decisiones de sus micro entornos políticos, económicos y sociales. Estos mecanismos de participación y organización permiten un desarrollo más equitativo, justo y solidario en las localidades, partiendo de la premisa de “abajo hacia arriba”.</w:t>
            </w:r>
          </w:p>
          <w:p w:rsidR="00477601" w:rsidRDefault="00477601" w:rsidP="00424427">
            <w:pPr>
              <w:spacing w:after="0" w:line="240" w:lineRule="auto"/>
              <w:jc w:val="both"/>
              <w:rPr>
                <w:rFonts w:ascii="Arial" w:hAnsi="Arial" w:cs="Arial"/>
                <w:color w:val="000000"/>
                <w:sz w:val="24"/>
                <w:szCs w:val="24"/>
              </w:rPr>
            </w:pPr>
          </w:p>
        </w:tc>
      </w:tr>
      <w:tr w:rsidR="00477601" w:rsidTr="00424427">
        <w:trPr>
          <w:trHeight w:val="1346"/>
          <w:jc w:val="center"/>
        </w:trPr>
        <w:tc>
          <w:tcPr>
            <w:tcW w:w="3434" w:type="dxa"/>
            <w:tcBorders>
              <w:top w:val="single" w:sz="4" w:space="0" w:color="00000A"/>
              <w:left w:val="single" w:sz="4" w:space="0" w:color="00000A"/>
              <w:bottom w:val="single" w:sz="4" w:space="0" w:color="00000A"/>
              <w:right w:val="single" w:sz="4" w:space="0" w:color="00000A"/>
            </w:tcBorders>
            <w:shd w:val="clear" w:color="auto" w:fill="auto"/>
            <w:tcMar>
              <w:left w:w="98" w:type="dxa"/>
            </w:tcMar>
            <w:vAlign w:val="center"/>
          </w:tcPr>
          <w:p w:rsidR="00477601" w:rsidRDefault="00477601" w:rsidP="00424427">
            <w:pPr>
              <w:spacing w:after="0" w:line="240" w:lineRule="auto"/>
              <w:jc w:val="center"/>
              <w:rPr>
                <w:rFonts w:ascii="Arial" w:hAnsi="Arial" w:cs="Arial"/>
                <w:sz w:val="24"/>
                <w:szCs w:val="24"/>
              </w:rPr>
            </w:pPr>
            <w:r>
              <w:rPr>
                <w:rFonts w:ascii="Arial" w:hAnsi="Arial" w:cs="Arial"/>
                <w:sz w:val="24"/>
                <w:szCs w:val="24"/>
              </w:rPr>
              <w:t>Participación social</w:t>
            </w:r>
          </w:p>
        </w:tc>
        <w:tc>
          <w:tcPr>
            <w:tcW w:w="5393" w:type="dxa"/>
            <w:tcBorders>
              <w:top w:val="single" w:sz="4" w:space="0" w:color="00000A"/>
              <w:left w:val="single" w:sz="4" w:space="0" w:color="00000A"/>
              <w:bottom w:val="single" w:sz="4" w:space="0" w:color="00000A"/>
              <w:right w:val="single" w:sz="4" w:space="0" w:color="00000A"/>
            </w:tcBorders>
            <w:shd w:val="clear" w:color="auto" w:fill="auto"/>
            <w:tcMar>
              <w:left w:w="98" w:type="dxa"/>
            </w:tcMar>
          </w:tcPr>
          <w:p w:rsidR="00477601" w:rsidRDefault="00477601" w:rsidP="00424427">
            <w:pPr>
              <w:spacing w:after="0" w:line="240" w:lineRule="auto"/>
              <w:jc w:val="both"/>
              <w:rPr>
                <w:rFonts w:ascii="Arial" w:hAnsi="Arial" w:cs="Arial"/>
                <w:color w:val="000000"/>
                <w:sz w:val="24"/>
                <w:szCs w:val="24"/>
              </w:rPr>
            </w:pPr>
            <w:r>
              <w:rPr>
                <w:rFonts w:ascii="Arial" w:hAnsi="Arial" w:cs="Arial"/>
                <w:color w:val="000000"/>
                <w:sz w:val="24"/>
                <w:szCs w:val="24"/>
              </w:rPr>
              <w:t>Elemento fundamental para lograr el desarrollo local-comunitario, implica un proceso político, socioeconómico y cultural que potencia la capacidad de las personas de una comunidad para la búsqueda de soluciones a sus necesidades, ante un sentir generalizado de que los beneficios del gobierno central no les llegan.</w:t>
            </w:r>
          </w:p>
          <w:p w:rsidR="00477601" w:rsidRDefault="00477601" w:rsidP="00424427">
            <w:pPr>
              <w:spacing w:after="0" w:line="240" w:lineRule="auto"/>
              <w:jc w:val="both"/>
              <w:rPr>
                <w:rFonts w:ascii="Arial" w:hAnsi="Arial" w:cs="Arial"/>
                <w:color w:val="000000"/>
                <w:sz w:val="24"/>
                <w:szCs w:val="24"/>
              </w:rPr>
            </w:pPr>
          </w:p>
        </w:tc>
      </w:tr>
    </w:tbl>
    <w:p w:rsidR="00477601" w:rsidRDefault="00477601" w:rsidP="00477601">
      <w:pPr>
        <w:spacing w:before="120" w:line="240" w:lineRule="auto"/>
        <w:jc w:val="right"/>
        <w:rPr>
          <w:rFonts w:ascii="Arial" w:eastAsia="Times New Roman" w:hAnsi="Arial" w:cs="Arial"/>
          <w:sz w:val="20"/>
          <w:szCs w:val="24"/>
        </w:rPr>
        <w:sectPr w:rsidR="00477601">
          <w:headerReference w:type="default" r:id="rId22"/>
          <w:footerReference w:type="default" r:id="rId23"/>
          <w:footerReference w:type="first" r:id="rId24"/>
          <w:pgSz w:w="12240" w:h="15840"/>
          <w:pgMar w:top="1417" w:right="1701" w:bottom="1417" w:left="1701" w:header="708" w:footer="708" w:gutter="0"/>
          <w:cols w:space="720"/>
          <w:formProt w:val="0"/>
          <w:titlePg/>
          <w:docGrid w:linePitch="360" w:charSpace="-2049"/>
        </w:sectPr>
      </w:pPr>
      <w:r>
        <w:rPr>
          <w:rFonts w:ascii="Arial" w:eastAsia="Times New Roman" w:hAnsi="Arial" w:cs="Arial"/>
          <w:sz w:val="24"/>
          <w:szCs w:val="24"/>
        </w:rPr>
        <w:t>Fuente: Elaboración propia, 2019.</w:t>
      </w:r>
      <w:r>
        <w:rPr>
          <w:rFonts w:ascii="Arial" w:eastAsia="Times New Roman" w:hAnsi="Arial" w:cs="Arial"/>
          <w:sz w:val="20"/>
          <w:szCs w:val="24"/>
        </w:rPr>
        <w:t xml:space="preserve"> </w:t>
      </w:r>
    </w:p>
    <w:p w:rsidR="00477601" w:rsidRDefault="00477601" w:rsidP="00477601">
      <w:pPr>
        <w:pStyle w:val="Ttulo1"/>
        <w:spacing w:line="480" w:lineRule="auto"/>
      </w:pPr>
      <w:bookmarkStart w:id="50" w:name="_Toc50906704"/>
      <w:r>
        <w:lastRenderedPageBreak/>
        <w:t>Capítulo III. Aspectos Metodológicos</w:t>
      </w:r>
      <w:bookmarkEnd w:id="50"/>
    </w:p>
    <w:p w:rsidR="00477601" w:rsidRDefault="00477601" w:rsidP="00477601">
      <w:pPr>
        <w:spacing w:before="240" w:after="240" w:line="360" w:lineRule="auto"/>
        <w:ind w:firstLine="708"/>
        <w:jc w:val="both"/>
        <w:rPr>
          <w:rFonts w:ascii="Arial" w:hAnsi="Arial" w:cs="Arial"/>
          <w:sz w:val="24"/>
          <w:szCs w:val="24"/>
        </w:rPr>
      </w:pPr>
      <w:r>
        <w:rPr>
          <w:rFonts w:ascii="Arial" w:hAnsi="Arial" w:cs="Arial"/>
          <w:sz w:val="24"/>
          <w:szCs w:val="24"/>
        </w:rPr>
        <w:t>Dentro de las investigaciones existen corrientes ontológicas, epistemológicas, teóricas y metodológicas en las que se categorizan. A continuación se presentan las principales características de la forma y métodos tomados en cuenta para la elaboración de esta investigación.</w:t>
      </w:r>
    </w:p>
    <w:p w:rsidR="00477601" w:rsidRPr="00507EA1" w:rsidRDefault="00477601" w:rsidP="00477601">
      <w:pPr>
        <w:pStyle w:val="Ttulo2"/>
        <w:numPr>
          <w:ilvl w:val="1"/>
          <w:numId w:val="16"/>
        </w:numPr>
        <w:spacing w:before="200" w:line="360" w:lineRule="auto"/>
        <w:rPr>
          <w:b/>
        </w:rPr>
      </w:pPr>
      <w:bookmarkStart w:id="51" w:name="_Toc522610237"/>
      <w:bookmarkStart w:id="52" w:name="_Toc49628453"/>
      <w:bookmarkStart w:id="53" w:name="_Toc522609764"/>
      <w:bookmarkStart w:id="54" w:name="_Toc50906705"/>
      <w:r w:rsidRPr="00507EA1">
        <w:rPr>
          <w:rFonts w:ascii="Arial" w:hAnsi="Arial" w:cs="Arial"/>
          <w:b/>
          <w:color w:val="00000A"/>
        </w:rPr>
        <w:t>Enfoque de investigación</w:t>
      </w:r>
      <w:bookmarkEnd w:id="51"/>
      <w:bookmarkEnd w:id="52"/>
      <w:bookmarkEnd w:id="53"/>
      <w:bookmarkEnd w:id="54"/>
      <w:r w:rsidRPr="00507EA1">
        <w:rPr>
          <w:rFonts w:ascii="Arial" w:hAnsi="Arial" w:cs="Arial"/>
          <w:b/>
          <w:color w:val="00000A"/>
        </w:rPr>
        <w:t xml:space="preserve"> </w:t>
      </w:r>
    </w:p>
    <w:p w:rsidR="00477601" w:rsidRDefault="00477601" w:rsidP="00477601">
      <w:pPr>
        <w:spacing w:before="240" w:after="240" w:line="360" w:lineRule="auto"/>
        <w:ind w:firstLine="708"/>
        <w:jc w:val="both"/>
      </w:pPr>
      <w:r>
        <w:rPr>
          <w:rFonts w:ascii="Arial" w:hAnsi="Arial" w:cs="Arial"/>
          <w:sz w:val="24"/>
          <w:szCs w:val="24"/>
        </w:rPr>
        <w:t xml:space="preserve">Según Della Porta &amp; Keating (2013) los enfoques epistemológicos son aquellos que abordan el </w:t>
      </w:r>
      <w:r>
        <w:rPr>
          <w:rFonts w:ascii="Arial" w:hAnsi="Arial" w:cs="Arial"/>
          <w:i/>
          <w:sz w:val="24"/>
          <w:szCs w:val="24"/>
        </w:rPr>
        <w:t xml:space="preserve">cómo </w:t>
      </w:r>
      <w:r>
        <w:rPr>
          <w:rFonts w:ascii="Arial" w:hAnsi="Arial" w:cs="Arial"/>
          <w:sz w:val="24"/>
          <w:szCs w:val="24"/>
        </w:rPr>
        <w:t xml:space="preserve">conocemos las cosas, se ocupa del carácter, las fuentes y los límites del conocimiento (p. 34). Esta investigación se categoriza dentro del enfoque epistemológico </w:t>
      </w:r>
      <w:r>
        <w:rPr>
          <w:rFonts w:ascii="Arial" w:hAnsi="Arial" w:cs="Arial"/>
          <w:i/>
          <w:sz w:val="24"/>
          <w:szCs w:val="24"/>
        </w:rPr>
        <w:t>interpretativo</w:t>
      </w:r>
      <w:r>
        <w:rPr>
          <w:rFonts w:ascii="Arial" w:hAnsi="Arial" w:cs="Arial"/>
          <w:sz w:val="24"/>
          <w:szCs w:val="24"/>
        </w:rPr>
        <w:t>, ya que en este los significados objetivos y subjetivos se conectan estrechamente, además da mayor importancia a la volición humana, ya que las personas –investigadoras- son agentes significativos, los investigadores tienen como fin descubrir los significados de las diversas realidades. (p. 37).</w:t>
      </w:r>
    </w:p>
    <w:p w:rsidR="00477601" w:rsidRDefault="00477601" w:rsidP="00477601">
      <w:pPr>
        <w:spacing w:before="240" w:after="240" w:line="360" w:lineRule="auto"/>
        <w:ind w:firstLine="708"/>
        <w:jc w:val="both"/>
        <w:rPr>
          <w:rFonts w:ascii="Arial" w:hAnsi="Arial" w:cs="Arial"/>
          <w:sz w:val="24"/>
          <w:szCs w:val="24"/>
        </w:rPr>
      </w:pPr>
      <w:r>
        <w:rPr>
          <w:rFonts w:ascii="Arial" w:hAnsi="Arial" w:cs="Arial"/>
          <w:sz w:val="24"/>
          <w:szCs w:val="24"/>
        </w:rPr>
        <w:t>En cuanto al enfoque metodológico, esta investigación se encuentra ubicada dentro de la esfera metodológica con dominación cualitativa, por cuanto interesa conocer los procesos y construcciones sociales en su dimensión más compleja. Para ello se destacan tres puntos que según Ruiz Olabuenaga e Ispizua (1989) buscan las técnicas cualitativas: 1) Entrar al proceso de construcción social, reconstruyendo los conceptos y acciones de la situación estudiada. 2) Describir y comprender los medios detallados a través de los cuales los sujetos se embarcan en acciones significativas y crean un mundo propio suyo y de los demás. 3) Conocer cómo se crea la estructura básica de la experiencia, su significado, su mantenimiento y participación a través del lenguaje y de otras construcciones simbólicas.</w:t>
      </w:r>
    </w:p>
    <w:p w:rsidR="00477601" w:rsidRDefault="00477601" w:rsidP="00477601">
      <w:pPr>
        <w:spacing w:before="240" w:line="360" w:lineRule="auto"/>
        <w:ind w:firstLine="708"/>
        <w:jc w:val="both"/>
        <w:rPr>
          <w:rFonts w:ascii="Arial" w:hAnsi="Arial" w:cs="Arial"/>
          <w:sz w:val="24"/>
          <w:szCs w:val="24"/>
        </w:rPr>
      </w:pPr>
      <w:r>
        <w:rPr>
          <w:rFonts w:ascii="Arial" w:hAnsi="Arial" w:cs="Arial"/>
          <w:sz w:val="24"/>
          <w:szCs w:val="24"/>
        </w:rPr>
        <w:t xml:space="preserve">Tal como lo menciona el sociólogo Ruíz Olabuenaga (1999) </w:t>
      </w:r>
    </w:p>
    <w:p w:rsidR="00477601" w:rsidRDefault="00477601" w:rsidP="00477601">
      <w:pPr>
        <w:spacing w:before="240" w:line="360" w:lineRule="auto"/>
        <w:ind w:left="708"/>
        <w:jc w:val="both"/>
      </w:pPr>
      <w:r>
        <w:rPr>
          <w:rFonts w:ascii="Arial" w:hAnsi="Arial" w:cs="Arial"/>
          <w:sz w:val="24"/>
          <w:szCs w:val="24"/>
        </w:rPr>
        <w:lastRenderedPageBreak/>
        <w:t xml:space="preserve">La mayoría de los apologistas de las técnicas cualitativas prefieren ver a éstas como el único instrumento para captar el significado auténtico de los fenómenos sociales, en contraposición a las cuantitativas que captarían los hechos sociales sin penetrar en su sentido profundo. </w:t>
      </w:r>
      <w:r>
        <w:rPr>
          <w:rFonts w:ascii="Arial" w:hAnsi="Arial" w:cs="Arial"/>
          <w:i/>
          <w:sz w:val="24"/>
          <w:szCs w:val="24"/>
        </w:rPr>
        <w:t>(</w:t>
      </w:r>
      <w:r>
        <w:rPr>
          <w:rFonts w:ascii="Arial" w:hAnsi="Arial" w:cs="Arial"/>
          <w:sz w:val="24"/>
          <w:szCs w:val="24"/>
        </w:rPr>
        <w:t xml:space="preserve">p. 21) </w:t>
      </w:r>
    </w:p>
    <w:p w:rsidR="00477601" w:rsidRDefault="00477601" w:rsidP="00477601">
      <w:pPr>
        <w:spacing w:before="240" w:line="360" w:lineRule="auto"/>
        <w:ind w:firstLine="708"/>
        <w:jc w:val="both"/>
        <w:rPr>
          <w:rFonts w:ascii="Arial" w:hAnsi="Arial" w:cs="Arial"/>
          <w:sz w:val="24"/>
          <w:szCs w:val="24"/>
        </w:rPr>
      </w:pPr>
      <w:r>
        <w:rPr>
          <w:rFonts w:ascii="Arial" w:hAnsi="Arial" w:cs="Arial"/>
          <w:sz w:val="24"/>
          <w:szCs w:val="24"/>
        </w:rPr>
        <w:t>Bajo esta perspectiva, la investigación se centra en un análisis profundo de las significaciones que se presentan alrededor del objeto de estudio.</w:t>
      </w:r>
    </w:p>
    <w:p w:rsidR="00477601" w:rsidRDefault="00477601" w:rsidP="00477601">
      <w:pPr>
        <w:spacing w:before="240" w:line="360" w:lineRule="auto"/>
        <w:ind w:firstLine="708"/>
        <w:jc w:val="both"/>
      </w:pPr>
      <w:r>
        <w:rPr>
          <w:rFonts w:ascii="Arial" w:hAnsi="Arial" w:cs="Arial"/>
          <w:sz w:val="24"/>
          <w:szCs w:val="24"/>
        </w:rPr>
        <w:t xml:space="preserve">No obstante, en una investigación cualitativa también pueden aparecer herramientas cuantitativas de apoyo -como datos y variables numéricas- para poder explicar y comprender de manera más completa el caso de estudio. Esta postura de mezclas metodológicas permite un análisis más integral y entender de manera más significativa las características, causas y efecto </w:t>
      </w:r>
      <w:r>
        <w:rPr>
          <w:rFonts w:ascii="Arial" w:hAnsi="Arial" w:cs="Arial"/>
          <w:sz w:val="24"/>
        </w:rPr>
        <w:t xml:space="preserve">de la relación entre las estrategias de implementación y gestión institucional con la planificación local en el área marina de pesca responsable Paquera – Tambor. </w:t>
      </w:r>
      <w:r>
        <w:rPr>
          <w:rFonts w:ascii="Arial" w:hAnsi="Arial" w:cs="Arial"/>
          <w:sz w:val="24"/>
          <w:szCs w:val="24"/>
        </w:rPr>
        <w:t xml:space="preserve"> </w:t>
      </w:r>
    </w:p>
    <w:p w:rsidR="00477601" w:rsidRPr="00507EA1" w:rsidRDefault="00477601" w:rsidP="00477601">
      <w:pPr>
        <w:pStyle w:val="Ttulo2"/>
        <w:numPr>
          <w:ilvl w:val="1"/>
          <w:numId w:val="16"/>
        </w:numPr>
        <w:spacing w:before="200" w:line="360" w:lineRule="auto"/>
        <w:rPr>
          <w:b/>
        </w:rPr>
      </w:pPr>
      <w:bookmarkStart w:id="55" w:name="_Toc522609765"/>
      <w:bookmarkStart w:id="56" w:name="_Toc522610238"/>
      <w:bookmarkStart w:id="57" w:name="_Toc49628454"/>
      <w:bookmarkStart w:id="58" w:name="_Toc50906706"/>
      <w:r w:rsidRPr="00507EA1">
        <w:rPr>
          <w:rFonts w:ascii="Arial" w:hAnsi="Arial" w:cs="Arial"/>
          <w:b/>
          <w:color w:val="00000A"/>
        </w:rPr>
        <w:t>Tipo de Investigación</w:t>
      </w:r>
      <w:bookmarkEnd w:id="55"/>
      <w:bookmarkEnd w:id="56"/>
      <w:bookmarkEnd w:id="57"/>
      <w:bookmarkEnd w:id="58"/>
      <w:r w:rsidRPr="00507EA1">
        <w:rPr>
          <w:rFonts w:ascii="Arial" w:hAnsi="Arial" w:cs="Arial"/>
          <w:b/>
          <w:color w:val="00000A"/>
        </w:rPr>
        <w:t xml:space="preserve"> </w:t>
      </w:r>
    </w:p>
    <w:p w:rsidR="00477601" w:rsidRDefault="00477601" w:rsidP="00477601">
      <w:pPr>
        <w:spacing w:before="240" w:after="240" w:line="360" w:lineRule="auto"/>
        <w:ind w:firstLine="708"/>
        <w:jc w:val="both"/>
      </w:pPr>
      <w:r>
        <w:rPr>
          <w:rFonts w:ascii="Arial" w:hAnsi="Arial" w:cs="Arial"/>
          <w:sz w:val="24"/>
          <w:szCs w:val="24"/>
        </w:rPr>
        <w:t xml:space="preserve">El presente estudio se enmarca como investigación </w:t>
      </w:r>
      <w:r>
        <w:rPr>
          <w:rFonts w:ascii="Arial" w:hAnsi="Arial" w:cs="Arial"/>
          <w:i/>
          <w:sz w:val="24"/>
          <w:szCs w:val="24"/>
        </w:rPr>
        <w:t xml:space="preserve">analítico-descriptiva, </w:t>
      </w:r>
      <w:r>
        <w:rPr>
          <w:rFonts w:ascii="Arial" w:hAnsi="Arial" w:cs="Arial"/>
          <w:sz w:val="24"/>
          <w:szCs w:val="24"/>
        </w:rPr>
        <w:t>donde su objetivo es explicar y describir el objeto de estudio y, a partir de esas interpretaciones, analizar y obtener conclusiones (Anduiza, 2009). La investigación descriptiva enumera, ordena, analiza e interpreta una de datos e información con el fin de conocer la realidad del objeto de estudio o fenómeno existente.</w:t>
      </w:r>
    </w:p>
    <w:p w:rsidR="00477601" w:rsidRDefault="00477601" w:rsidP="00477601">
      <w:pPr>
        <w:spacing w:before="240" w:after="240" w:line="360" w:lineRule="auto"/>
        <w:ind w:firstLine="708"/>
        <w:jc w:val="both"/>
      </w:pPr>
      <w:r>
        <w:rPr>
          <w:rFonts w:ascii="Arial" w:hAnsi="Arial" w:cs="Arial"/>
          <w:sz w:val="24"/>
          <w:szCs w:val="24"/>
        </w:rPr>
        <w:t xml:space="preserve">Además, esta investigación es de tipo interpretativista, ya que se desea llevar a cabo una interpretación general sobre los rasgos </w:t>
      </w:r>
      <w:r>
        <w:rPr>
          <w:rFonts w:ascii="Arial" w:hAnsi="Arial" w:cs="Arial"/>
          <w:bCs/>
          <w:sz w:val="24"/>
          <w:szCs w:val="24"/>
        </w:rPr>
        <w:t>principales que se centran en el objeto de estudio</w:t>
      </w:r>
      <w:r>
        <w:rPr>
          <w:rFonts w:ascii="Arial" w:hAnsi="Arial" w:cs="Arial"/>
          <w:sz w:val="24"/>
          <w:szCs w:val="24"/>
        </w:rPr>
        <w:t xml:space="preserve">. Tal estudio posee un tipo de investigación explicativa. Las investigaciones explicativas según Hernández (2006) “están dirigidas a responder por las causas de los eventos y fenómenos físicos o sociales” […] “su interés se centra en explicar por qué ocurre un fenómeno y en qué condiciones se manifiesta” (p.108). Igualmente, tal investigación también tiene un enfoque de </w:t>
      </w:r>
      <w:r>
        <w:rPr>
          <w:rFonts w:ascii="Arial" w:hAnsi="Arial" w:cs="Arial"/>
          <w:bCs/>
          <w:sz w:val="24"/>
          <w:szCs w:val="24"/>
        </w:rPr>
        <w:t>investigación participativa, ya que el objeto estudio será analizado desde una perspectiva directa y recíproca.</w:t>
      </w:r>
    </w:p>
    <w:p w:rsidR="00477601" w:rsidRPr="004E5C66" w:rsidRDefault="00477601" w:rsidP="00477601">
      <w:pPr>
        <w:pStyle w:val="Ttulo2"/>
        <w:numPr>
          <w:ilvl w:val="1"/>
          <w:numId w:val="16"/>
        </w:numPr>
        <w:spacing w:before="200" w:line="360" w:lineRule="auto"/>
        <w:rPr>
          <w:rFonts w:ascii="Arial" w:hAnsi="Arial" w:cs="Arial"/>
          <w:b/>
          <w:color w:val="00000A"/>
        </w:rPr>
      </w:pPr>
      <w:bookmarkStart w:id="59" w:name="_Toc50906707"/>
      <w:bookmarkStart w:id="60" w:name="_Toc522609766"/>
      <w:bookmarkStart w:id="61" w:name="_Toc49628455"/>
      <w:bookmarkStart w:id="62" w:name="_Toc522610239"/>
      <w:r>
        <w:rPr>
          <w:rFonts w:ascii="Arial" w:hAnsi="Arial" w:cs="Arial"/>
          <w:b/>
          <w:color w:val="00000A"/>
        </w:rPr>
        <w:lastRenderedPageBreak/>
        <w:t>Dimensiones Empíricas y Categorías Teóricas de A</w:t>
      </w:r>
      <w:r w:rsidRPr="004E5C66">
        <w:rPr>
          <w:rFonts w:ascii="Arial" w:hAnsi="Arial" w:cs="Arial"/>
          <w:b/>
          <w:color w:val="00000A"/>
        </w:rPr>
        <w:t>nálisis</w:t>
      </w:r>
      <w:bookmarkEnd w:id="59"/>
      <w:r w:rsidRPr="004E5C66">
        <w:rPr>
          <w:rFonts w:ascii="Arial" w:hAnsi="Arial" w:cs="Arial"/>
          <w:b/>
          <w:color w:val="00000A"/>
        </w:rPr>
        <w:t xml:space="preserve"> </w:t>
      </w:r>
    </w:p>
    <w:p w:rsidR="00477601" w:rsidRDefault="00477601" w:rsidP="00477601">
      <w:pPr>
        <w:spacing w:before="240" w:after="240" w:line="360" w:lineRule="auto"/>
        <w:ind w:firstLine="708"/>
        <w:jc w:val="both"/>
        <w:rPr>
          <w:rFonts w:ascii="Arial" w:hAnsi="Arial" w:cs="Arial"/>
          <w:sz w:val="24"/>
          <w:szCs w:val="24"/>
        </w:rPr>
      </w:pPr>
      <w:r w:rsidRPr="004E5C66">
        <w:rPr>
          <w:rFonts w:ascii="Arial" w:hAnsi="Arial" w:cs="Arial"/>
          <w:sz w:val="24"/>
          <w:szCs w:val="24"/>
        </w:rPr>
        <w:t xml:space="preserve">Las categorías </w:t>
      </w:r>
      <w:r>
        <w:rPr>
          <w:rFonts w:ascii="Arial" w:hAnsi="Arial" w:cs="Arial"/>
          <w:sz w:val="24"/>
          <w:szCs w:val="24"/>
        </w:rPr>
        <w:t>teóricas de análisis se pueden definir como una abstracción de las características y atributos del objeto de estudio, que contribuye a organizar la visión de la realidad (Cerdas, H. 1988. Pp. 2); estas categorías de análisis están estrechamente vinculadas con las dimensión empíricas. Estas últimas permiten tener y/o experimentar un primer acercamiento a los objetivos de estudio. Para más detalle ver la tabla N°1.</w:t>
      </w:r>
    </w:p>
    <w:p w:rsidR="00477601" w:rsidRDefault="00477601" w:rsidP="00477601">
      <w:pPr>
        <w:spacing w:before="240" w:after="240" w:line="360" w:lineRule="auto"/>
        <w:ind w:firstLine="708"/>
        <w:jc w:val="both"/>
        <w:rPr>
          <w:rFonts w:ascii="Arial" w:hAnsi="Arial" w:cs="Arial"/>
          <w:sz w:val="24"/>
          <w:szCs w:val="24"/>
        </w:rPr>
      </w:pPr>
      <w:r>
        <w:rPr>
          <w:rFonts w:ascii="Arial" w:hAnsi="Arial" w:cs="Arial"/>
          <w:sz w:val="24"/>
          <w:szCs w:val="24"/>
        </w:rPr>
        <w:t>Las dimensiones empíricas poseen una serie de categorías de análisis que permiten limitar los objetivos de la investigación a los contenidos que realmente interesan, en este caso interesa estudiar con particularidad la estructura jurídica e institucional, las estrategias de gestión e implementación institucional, los procesos de planificación local y la relación de estos elementos alrededor del AMPR Paquera – Tambor.</w:t>
      </w:r>
    </w:p>
    <w:p w:rsidR="00477601" w:rsidRPr="00547EA3" w:rsidRDefault="00477601" w:rsidP="00477601">
      <w:pPr>
        <w:spacing w:before="240" w:after="240" w:line="360" w:lineRule="auto"/>
        <w:ind w:firstLine="708"/>
        <w:jc w:val="both"/>
        <w:rPr>
          <w:rFonts w:ascii="Arial" w:hAnsi="Arial" w:cs="Arial"/>
          <w:sz w:val="24"/>
          <w:szCs w:val="24"/>
        </w:rPr>
      </w:pPr>
      <w:r>
        <w:rPr>
          <w:rFonts w:ascii="Arial" w:hAnsi="Arial" w:cs="Arial"/>
          <w:sz w:val="24"/>
          <w:szCs w:val="24"/>
        </w:rPr>
        <w:t xml:space="preserve">El ciclo de investigación conlleva a definir a través del marco teórico una serie de categorías teóricas que darán sentido al análisis, el cual se complementa y ejecuta con las técnicas de investigación. Para comprender detalladamente este apartado, ver el anexo 1 sobre la matriz metodológica. </w:t>
      </w:r>
    </w:p>
    <w:p w:rsidR="00477601" w:rsidRPr="00507EA1" w:rsidRDefault="00477601" w:rsidP="00477601">
      <w:pPr>
        <w:pStyle w:val="Ttulo2"/>
        <w:numPr>
          <w:ilvl w:val="1"/>
          <w:numId w:val="16"/>
        </w:numPr>
        <w:spacing w:before="200" w:line="360" w:lineRule="auto"/>
        <w:rPr>
          <w:b/>
        </w:rPr>
      </w:pPr>
      <w:bookmarkStart w:id="63" w:name="_Toc50906708"/>
      <w:r w:rsidRPr="00507EA1">
        <w:rPr>
          <w:rFonts w:ascii="Arial" w:hAnsi="Arial" w:cs="Arial"/>
          <w:b/>
          <w:color w:val="00000A"/>
        </w:rPr>
        <w:t>Fuentes de Información</w:t>
      </w:r>
      <w:bookmarkEnd w:id="60"/>
      <w:bookmarkEnd w:id="61"/>
      <w:bookmarkEnd w:id="62"/>
      <w:bookmarkEnd w:id="63"/>
      <w:r w:rsidRPr="00507EA1">
        <w:rPr>
          <w:rFonts w:ascii="Arial" w:hAnsi="Arial" w:cs="Arial"/>
          <w:b/>
          <w:color w:val="00000A"/>
        </w:rPr>
        <w:t xml:space="preserve"> </w:t>
      </w:r>
    </w:p>
    <w:p w:rsidR="00477601" w:rsidRDefault="00477601" w:rsidP="00477601">
      <w:pPr>
        <w:spacing w:before="240" w:after="240" w:line="360" w:lineRule="auto"/>
        <w:ind w:firstLine="708"/>
        <w:jc w:val="both"/>
        <w:rPr>
          <w:rFonts w:ascii="Arial" w:hAnsi="Arial" w:cs="Arial"/>
          <w:sz w:val="24"/>
          <w:szCs w:val="24"/>
        </w:rPr>
      </w:pPr>
      <w:r>
        <w:rPr>
          <w:rFonts w:ascii="Arial" w:hAnsi="Arial" w:cs="Arial"/>
          <w:sz w:val="24"/>
          <w:szCs w:val="24"/>
        </w:rPr>
        <w:t xml:space="preserve">Cabe señalar que los datos e información necesaria para completar la investigación fueron obtenidos a través de la revisión documental, de fuentes bibliográficas procedentes de artículos académicos, tesis, trabajos finales de graduación, leyes, reglamentaciones y noticias como parte del marco de fuentes secundarias a consultar. Los datos permiten entender la realidad del caso de estudio, ya que son los elementos de información que se derivan de la observación y medición (Anduiza. 2009. p. 79). </w:t>
      </w:r>
    </w:p>
    <w:p w:rsidR="00477601" w:rsidRDefault="00477601" w:rsidP="00477601">
      <w:pPr>
        <w:spacing w:before="240" w:after="240" w:line="360" w:lineRule="auto"/>
        <w:ind w:firstLine="708"/>
        <w:jc w:val="both"/>
        <w:rPr>
          <w:rFonts w:ascii="Arial" w:hAnsi="Arial" w:cs="Arial"/>
          <w:sz w:val="24"/>
          <w:szCs w:val="24"/>
        </w:rPr>
      </w:pPr>
      <w:r>
        <w:rPr>
          <w:rFonts w:ascii="Arial" w:hAnsi="Arial" w:cs="Arial"/>
          <w:sz w:val="24"/>
          <w:szCs w:val="24"/>
        </w:rPr>
        <w:t xml:space="preserve">En esta investigación, la mayoría de datos recolectados son de tipo secundarios, ya que es información que ha sido recolectada con anterioridad, tomados de registros, noticias, estadísticas e investigaciones. En el anexo 2 se </w:t>
      </w:r>
      <w:r>
        <w:rPr>
          <w:rFonts w:ascii="Arial" w:hAnsi="Arial" w:cs="Arial"/>
          <w:sz w:val="24"/>
          <w:szCs w:val="24"/>
        </w:rPr>
        <w:lastRenderedPageBreak/>
        <w:t xml:space="preserve">puede observar la tabla de las principales revisiones bibliográficas para esta investigación. </w:t>
      </w:r>
    </w:p>
    <w:p w:rsidR="00477601" w:rsidRDefault="00477601" w:rsidP="00477601">
      <w:pPr>
        <w:spacing w:before="240" w:after="240" w:line="360" w:lineRule="auto"/>
        <w:ind w:firstLine="708"/>
        <w:jc w:val="both"/>
        <w:rPr>
          <w:rFonts w:ascii="Arial" w:hAnsi="Arial" w:cs="Arial"/>
          <w:sz w:val="24"/>
          <w:szCs w:val="24"/>
        </w:rPr>
      </w:pPr>
      <w:r>
        <w:rPr>
          <w:rFonts w:ascii="Arial" w:hAnsi="Arial" w:cs="Arial"/>
          <w:sz w:val="24"/>
          <w:szCs w:val="24"/>
        </w:rPr>
        <w:t>En cuanto a las fuentes primarias, consideradas como aquellas que son otorgadas de manera originaria por personas o entidades; se realizaron entrevistas a personas de Paquera y Playa Tambor, principalmente a aquellas que están más involucradas con los procesos de desarrollo local, específicamente en el proyecto del AMPR Paquera-Tambor.</w:t>
      </w:r>
    </w:p>
    <w:p w:rsidR="00477601" w:rsidRPr="00507EA1" w:rsidRDefault="00477601" w:rsidP="00477601">
      <w:pPr>
        <w:pStyle w:val="Ttulo2"/>
        <w:numPr>
          <w:ilvl w:val="1"/>
          <w:numId w:val="16"/>
        </w:numPr>
        <w:spacing w:before="200" w:line="360" w:lineRule="auto"/>
        <w:rPr>
          <w:b/>
        </w:rPr>
      </w:pPr>
      <w:bookmarkStart w:id="64" w:name="_Toc49628456"/>
      <w:bookmarkStart w:id="65" w:name="_Toc522610240"/>
      <w:bookmarkStart w:id="66" w:name="_Toc522609767"/>
      <w:bookmarkStart w:id="67" w:name="_Toc50906709"/>
      <w:r w:rsidRPr="00507EA1">
        <w:rPr>
          <w:rFonts w:ascii="Arial" w:hAnsi="Arial" w:cs="Arial"/>
          <w:b/>
          <w:color w:val="00000A"/>
        </w:rPr>
        <w:t>Técnicas de Investigación</w:t>
      </w:r>
      <w:bookmarkEnd w:id="64"/>
      <w:bookmarkEnd w:id="65"/>
      <w:bookmarkEnd w:id="66"/>
      <w:bookmarkEnd w:id="67"/>
      <w:r w:rsidRPr="00507EA1">
        <w:rPr>
          <w:rFonts w:ascii="Arial" w:hAnsi="Arial" w:cs="Arial"/>
          <w:b/>
          <w:color w:val="00000A"/>
        </w:rPr>
        <w:t xml:space="preserve"> </w:t>
      </w:r>
    </w:p>
    <w:p w:rsidR="00477601" w:rsidRDefault="00477601" w:rsidP="00477601">
      <w:pPr>
        <w:spacing w:before="240" w:after="240" w:line="360" w:lineRule="auto"/>
        <w:ind w:firstLine="708"/>
        <w:jc w:val="both"/>
        <w:rPr>
          <w:rFonts w:ascii="Arial" w:hAnsi="Arial" w:cs="Arial"/>
          <w:sz w:val="24"/>
          <w:szCs w:val="24"/>
        </w:rPr>
      </w:pPr>
      <w:r>
        <w:rPr>
          <w:rFonts w:ascii="Arial" w:hAnsi="Arial" w:cs="Arial"/>
          <w:sz w:val="24"/>
          <w:szCs w:val="24"/>
        </w:rPr>
        <w:t xml:space="preserve">Para esta investigación se utilizaron una serie de técnicas de investigación cualitativas, las cuales de una manera subjetiva intenta comprender la realidad del objeto de estudio. </w:t>
      </w:r>
    </w:p>
    <w:p w:rsidR="00477601" w:rsidRDefault="00477601" w:rsidP="00477601">
      <w:pPr>
        <w:spacing w:before="240" w:after="240" w:line="360" w:lineRule="auto"/>
        <w:ind w:firstLine="708"/>
        <w:jc w:val="both"/>
        <w:rPr>
          <w:rFonts w:ascii="Arial" w:hAnsi="Arial" w:cs="Arial"/>
          <w:sz w:val="24"/>
          <w:szCs w:val="24"/>
        </w:rPr>
      </w:pPr>
      <w:r>
        <w:rPr>
          <w:rFonts w:ascii="Arial" w:hAnsi="Arial" w:cs="Arial"/>
          <w:sz w:val="24"/>
          <w:szCs w:val="24"/>
        </w:rPr>
        <w:t xml:space="preserve">Estas técnicas se escogieron aferrándose a la naturaleza de esta investigación, la cual se caracteriza por ser un estudio de fenómenos sociales, por lo que dichas herramientas van en la línea de construir el análisis de la investigación en conjunto con la información recolectada en cada una de las técnicas utilizadas. </w:t>
      </w:r>
    </w:p>
    <w:p w:rsidR="00477601" w:rsidRDefault="00477601" w:rsidP="00477601">
      <w:pPr>
        <w:spacing w:before="240" w:after="240" w:line="360" w:lineRule="auto"/>
        <w:ind w:firstLine="708"/>
        <w:jc w:val="both"/>
        <w:rPr>
          <w:rFonts w:ascii="Arial" w:hAnsi="Arial" w:cs="Arial"/>
          <w:sz w:val="24"/>
          <w:szCs w:val="24"/>
        </w:rPr>
      </w:pPr>
      <w:r>
        <w:rPr>
          <w:rFonts w:ascii="Arial" w:hAnsi="Arial" w:cs="Arial"/>
          <w:sz w:val="24"/>
          <w:szCs w:val="24"/>
        </w:rPr>
        <w:t xml:space="preserve">Las principales técnicas de investigación utilizadas para esta investigación son: </w:t>
      </w:r>
    </w:p>
    <w:p w:rsidR="00477601" w:rsidRPr="00A319B9" w:rsidRDefault="00477601" w:rsidP="00477601">
      <w:pPr>
        <w:pStyle w:val="Prrafodelista"/>
        <w:numPr>
          <w:ilvl w:val="0"/>
          <w:numId w:val="13"/>
        </w:numPr>
        <w:spacing w:before="240" w:after="240" w:line="360" w:lineRule="auto"/>
        <w:jc w:val="both"/>
        <w:rPr>
          <w:rFonts w:ascii="Arial" w:hAnsi="Arial" w:cs="Arial"/>
          <w:b/>
          <w:bCs/>
          <w:sz w:val="24"/>
          <w:szCs w:val="24"/>
        </w:rPr>
      </w:pPr>
      <w:r w:rsidRPr="00A319B9">
        <w:rPr>
          <w:rFonts w:ascii="Arial" w:hAnsi="Arial" w:cs="Arial"/>
          <w:b/>
          <w:bCs/>
          <w:sz w:val="24"/>
          <w:szCs w:val="24"/>
        </w:rPr>
        <w:t>Recolección de documentación secundaria</w:t>
      </w:r>
    </w:p>
    <w:p w:rsidR="00477601" w:rsidRDefault="00477601" w:rsidP="00477601">
      <w:pPr>
        <w:spacing w:before="240" w:after="240" w:line="360" w:lineRule="auto"/>
        <w:ind w:firstLine="708"/>
        <w:jc w:val="both"/>
      </w:pPr>
      <w:r>
        <w:rPr>
          <w:rFonts w:ascii="Arial" w:hAnsi="Arial" w:cs="Arial"/>
          <w:sz w:val="24"/>
          <w:szCs w:val="24"/>
        </w:rPr>
        <w:t xml:space="preserve">Esta técnica consiste en detectar, obtener, consultar y extraer información bibliográfica relacionada al objeto de estudio (Abarca, 2013. p. 46). Para esta investigación, como se ha demostrado en los apartados anteriores y como se observará en los resultados, se utilizó una diversidad de documentación secundaria sobre teorías relacionadas a la planificación local y regional, el desarrollo comunitario y la participación social principalmente, aparte de eso, se ha indagado sobre el marco jurídico en el que se base la institucionalidad costarricense para desarrollar estos procesos políticos descentralizados. </w:t>
      </w:r>
    </w:p>
    <w:p w:rsidR="00477601" w:rsidRDefault="00477601" w:rsidP="00477601">
      <w:pPr>
        <w:spacing w:before="240" w:after="240" w:line="360" w:lineRule="auto"/>
        <w:ind w:firstLine="708"/>
        <w:jc w:val="both"/>
        <w:rPr>
          <w:rFonts w:ascii="Arial" w:hAnsi="Arial" w:cs="Arial"/>
          <w:sz w:val="24"/>
          <w:szCs w:val="24"/>
        </w:rPr>
      </w:pPr>
      <w:r>
        <w:rPr>
          <w:rFonts w:ascii="Arial" w:hAnsi="Arial" w:cs="Arial"/>
          <w:sz w:val="24"/>
          <w:szCs w:val="24"/>
        </w:rPr>
        <w:lastRenderedPageBreak/>
        <w:t>Inicialmente, se recopiló la normativa vigente en el tema de pesca en Costa Rica, sobre todo la relacionada a las AMPR en Paquera – Tambor, esto para comprender de manera formal las bases jurídicas del tema de investigación. Seguidamente se realizó la búsqueda de fuentes de información provenientes de investigaciones, estudios y artículos académicos relacionadas al tema de la gestión pública, políticas públicas, planificación local y acción comunitaria.</w:t>
      </w:r>
    </w:p>
    <w:p w:rsidR="00477601" w:rsidRDefault="00477601" w:rsidP="00477601">
      <w:pPr>
        <w:spacing w:before="240" w:after="240" w:line="360" w:lineRule="auto"/>
        <w:jc w:val="both"/>
        <w:rPr>
          <w:rFonts w:ascii="Arial" w:hAnsi="Arial" w:cs="Arial"/>
          <w:sz w:val="24"/>
          <w:szCs w:val="24"/>
        </w:rPr>
      </w:pPr>
      <w:r>
        <w:rPr>
          <w:rFonts w:ascii="Arial" w:hAnsi="Arial" w:cs="Arial"/>
          <w:sz w:val="24"/>
          <w:szCs w:val="24"/>
        </w:rPr>
        <w:tab/>
        <w:t>También se analizaron fuentes secundarias de antecedentes en temas relacionados al objeto de estudio, así como una búsqueda profunda de todas las perspectivas teóricas que sostienen esta investigación.</w:t>
      </w:r>
    </w:p>
    <w:p w:rsidR="00477601" w:rsidRDefault="00477601" w:rsidP="00477601">
      <w:pPr>
        <w:spacing w:before="240" w:after="240" w:line="360" w:lineRule="auto"/>
        <w:ind w:firstLine="708"/>
        <w:jc w:val="both"/>
        <w:rPr>
          <w:rFonts w:ascii="Arial" w:hAnsi="Arial" w:cs="Arial"/>
          <w:sz w:val="24"/>
          <w:szCs w:val="24"/>
        </w:rPr>
      </w:pPr>
      <w:r>
        <w:rPr>
          <w:rFonts w:ascii="Arial" w:hAnsi="Arial" w:cs="Arial"/>
          <w:sz w:val="24"/>
          <w:szCs w:val="24"/>
        </w:rPr>
        <w:t xml:space="preserve">Por último, también se analizaron investigaciones previas sobre las características, diagnósticos y particularidades de las comunidades de Isla Caballo y Playa Tambor realizados por estudiantes de la EPPS en sus procesos de prácticas organizativas. </w:t>
      </w:r>
    </w:p>
    <w:p w:rsidR="00477601" w:rsidRDefault="00477601" w:rsidP="00477601">
      <w:pPr>
        <w:pStyle w:val="Prrafodelista"/>
        <w:numPr>
          <w:ilvl w:val="0"/>
          <w:numId w:val="15"/>
        </w:numPr>
        <w:spacing w:before="240" w:after="240" w:line="360" w:lineRule="auto"/>
        <w:jc w:val="both"/>
        <w:rPr>
          <w:rFonts w:ascii="Arial" w:hAnsi="Arial" w:cs="Arial"/>
          <w:b/>
          <w:sz w:val="24"/>
          <w:szCs w:val="24"/>
        </w:rPr>
      </w:pPr>
      <w:r>
        <w:rPr>
          <w:rFonts w:ascii="Arial" w:hAnsi="Arial" w:cs="Arial"/>
          <w:b/>
          <w:sz w:val="24"/>
          <w:szCs w:val="24"/>
        </w:rPr>
        <w:t xml:space="preserve">Observación </w:t>
      </w:r>
    </w:p>
    <w:p w:rsidR="00477601" w:rsidRDefault="00477601" w:rsidP="00477601">
      <w:pPr>
        <w:spacing w:before="240" w:after="240" w:line="360" w:lineRule="auto"/>
        <w:ind w:firstLine="708"/>
        <w:jc w:val="both"/>
        <w:rPr>
          <w:rFonts w:ascii="Arial" w:hAnsi="Arial" w:cs="Arial"/>
          <w:sz w:val="24"/>
          <w:szCs w:val="24"/>
        </w:rPr>
      </w:pPr>
      <w:r>
        <w:rPr>
          <w:rFonts w:ascii="Arial" w:hAnsi="Arial" w:cs="Arial"/>
          <w:sz w:val="24"/>
          <w:szCs w:val="24"/>
        </w:rPr>
        <w:t>La observación es considerada como la principal herramienta de la etnografía, entiendo esta última como la ciencia que estudia y describe los pueblos y sus culturas. Por tanto, esta es una de las principales técnicas a utilizar durante la presente investigación, ya que se observó de manera subjetiva y con sensibilidad las realidades de las comunidades de Isla Caballo y Playa Tambor como objetos de estudio de esta investigación.</w:t>
      </w:r>
    </w:p>
    <w:p w:rsidR="00477601" w:rsidRDefault="00477601" w:rsidP="00477601">
      <w:pPr>
        <w:spacing w:before="240" w:after="240" w:line="360" w:lineRule="auto"/>
        <w:ind w:firstLine="708"/>
        <w:jc w:val="both"/>
      </w:pPr>
      <w:r>
        <w:rPr>
          <w:noProof/>
          <w:lang w:eastAsia="es-CR"/>
        </w:rPr>
        <mc:AlternateContent>
          <mc:Choice Requires="wps">
            <w:drawing>
              <wp:anchor distT="0" distB="20955" distL="114300" distR="142240" simplePos="0" relativeHeight="251660288" behindDoc="1" locked="0" layoutInCell="1" allowOverlap="1" wp14:anchorId="21900D54" wp14:editId="2E5C0983">
                <wp:simplePos x="0" y="0"/>
                <wp:positionH relativeFrom="column">
                  <wp:posOffset>1797050</wp:posOffset>
                </wp:positionH>
                <wp:positionV relativeFrom="paragraph">
                  <wp:posOffset>882178195</wp:posOffset>
                </wp:positionV>
                <wp:extent cx="1288415" cy="238125"/>
                <wp:effectExtent l="0" t="0" r="0" b="0"/>
                <wp:wrapNone/>
                <wp:docPr id="13" name="Cuadro de texto 2"/>
                <wp:cNvGraphicFramePr/>
                <a:graphic xmlns:a="http://schemas.openxmlformats.org/drawingml/2006/main">
                  <a:graphicData uri="http://schemas.microsoft.com/office/word/2010/wordprocessingShape">
                    <wps:wsp>
                      <wps:cNvSpPr/>
                      <wps:spPr>
                        <a:xfrm>
                          <a:off x="0" y="0"/>
                          <a:ext cx="1287720" cy="237600"/>
                        </a:xfrm>
                        <a:prstGeom prst="rect">
                          <a:avLst/>
                        </a:prstGeom>
                        <a:solidFill>
                          <a:srgbClr val="FFFFFF"/>
                        </a:solidFill>
                        <a:ln w="9360">
                          <a:solidFill>
                            <a:srgbClr val="FFFFFF"/>
                          </a:solidFill>
                          <a:miter/>
                        </a:ln>
                      </wps:spPr>
                      <wps:style>
                        <a:lnRef idx="0">
                          <a:scrgbClr r="0" g="0" b="0"/>
                        </a:lnRef>
                        <a:fillRef idx="0">
                          <a:scrgbClr r="0" g="0" b="0"/>
                        </a:fillRef>
                        <a:effectRef idx="0">
                          <a:scrgbClr r="0" g="0" b="0"/>
                        </a:effectRef>
                        <a:fontRef idx="minor"/>
                      </wps:style>
                      <wps:bodyPr/>
                    </wps:wsp>
                  </a:graphicData>
                </a:graphic>
                <wp14:sizeRelV relativeFrom="margin">
                  <wp14:pctHeight>20000</wp14:pctHeight>
                </wp14:sizeRelV>
              </wp:anchor>
            </w:drawing>
          </mc:Choice>
          <mc:Fallback>
            <w:pict>
              <v:rect w14:anchorId="6F09BFD7" id="Cuadro de texto 2" o:spid="_x0000_s1026" style="position:absolute;margin-left:141.5pt;margin-top:69462.85pt;width:101.45pt;height:18.75pt;z-index:-251656192;visibility:visible;mso-wrap-style:square;mso-height-percent:200;mso-wrap-distance-left:9pt;mso-wrap-distance-top:0;mso-wrap-distance-right:11.2pt;mso-wrap-distance-bottom:1.65pt;mso-position-horizontal:absolute;mso-position-horizontal-relative:text;mso-position-vertical:absolute;mso-position-vertical-relative:text;mso-height-percent:20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" strokecolor="white" strokeweight=".26mm"/>
            </w:pict>
          </mc:Fallback>
        </mc:AlternateContent>
      </w:r>
      <w:r>
        <w:rPr>
          <w:rFonts w:ascii="Arial" w:hAnsi="Arial" w:cs="Arial"/>
          <w:sz w:val="24"/>
          <w:szCs w:val="24"/>
        </w:rPr>
        <w:t xml:space="preserve">Se observaron, principalmente, de manera no participativa las dinámicas sociales, políticas y organizacionales de las comunidades, así como las relaciones de poder entre Estado y sociedad civil. La observación permite recopilar información de la realidad utilizando los sentidos en un contexto real (Ander-Egg. 1999, p. 196). </w:t>
      </w:r>
    </w:p>
    <w:p w:rsidR="00477601" w:rsidRDefault="00424427" w:rsidP="00477601">
      <w:pPr>
        <w:spacing w:before="240" w:after="240" w:line="360" w:lineRule="auto"/>
        <w:ind w:firstLine="708"/>
        <w:jc w:val="both"/>
        <w:rPr>
          <w:rFonts w:ascii="Arial" w:hAnsi="Arial" w:cs="Arial"/>
          <w:sz w:val="24"/>
          <w:szCs w:val="24"/>
        </w:rPr>
      </w:pPr>
      <w:r>
        <w:rPr>
          <w:rFonts w:ascii="Arial" w:hAnsi="Arial" w:cs="Arial"/>
          <w:sz w:val="24"/>
          <w:szCs w:val="24"/>
        </w:rPr>
        <w:t>En el anexo adjunto número tres</w:t>
      </w:r>
      <w:r w:rsidR="00477601">
        <w:rPr>
          <w:rFonts w:ascii="Arial" w:hAnsi="Arial" w:cs="Arial"/>
          <w:sz w:val="24"/>
          <w:szCs w:val="24"/>
        </w:rPr>
        <w:t xml:space="preserve"> se presenta la guía que se utilizó para la aplicación de esta técnica en las giras de campo. </w:t>
      </w:r>
    </w:p>
    <w:p w:rsidR="00424427" w:rsidRDefault="00424427" w:rsidP="00477601">
      <w:pPr>
        <w:spacing w:before="240" w:after="240" w:line="360" w:lineRule="auto"/>
        <w:ind w:firstLine="708"/>
        <w:jc w:val="both"/>
        <w:rPr>
          <w:rFonts w:ascii="Arial" w:hAnsi="Arial" w:cs="Arial"/>
          <w:sz w:val="24"/>
          <w:szCs w:val="24"/>
        </w:rPr>
      </w:pPr>
    </w:p>
    <w:p w:rsidR="00477601" w:rsidRDefault="00477601" w:rsidP="00477601">
      <w:pPr>
        <w:pStyle w:val="Prrafodelista"/>
        <w:numPr>
          <w:ilvl w:val="0"/>
          <w:numId w:val="15"/>
        </w:numPr>
        <w:spacing w:before="240" w:after="240" w:line="360" w:lineRule="auto"/>
        <w:jc w:val="both"/>
        <w:rPr>
          <w:rFonts w:ascii="Arial" w:hAnsi="Arial" w:cs="Arial"/>
          <w:b/>
          <w:sz w:val="24"/>
          <w:szCs w:val="24"/>
        </w:rPr>
      </w:pPr>
      <w:r>
        <w:rPr>
          <w:rFonts w:ascii="Arial" w:hAnsi="Arial" w:cs="Arial"/>
          <w:b/>
          <w:sz w:val="24"/>
          <w:szCs w:val="24"/>
        </w:rPr>
        <w:lastRenderedPageBreak/>
        <w:t>Entrevistas</w:t>
      </w:r>
    </w:p>
    <w:p w:rsidR="00477601" w:rsidRDefault="00477601" w:rsidP="00477601">
      <w:pPr>
        <w:spacing w:before="240" w:after="240" w:line="360" w:lineRule="auto"/>
        <w:ind w:firstLine="708"/>
        <w:jc w:val="both"/>
        <w:rPr>
          <w:rFonts w:ascii="Arial" w:hAnsi="Arial" w:cs="Arial"/>
          <w:sz w:val="24"/>
          <w:szCs w:val="24"/>
        </w:rPr>
      </w:pPr>
      <w:r>
        <w:rPr>
          <w:rFonts w:ascii="Arial" w:hAnsi="Arial" w:cs="Arial"/>
          <w:sz w:val="24"/>
          <w:szCs w:val="24"/>
        </w:rPr>
        <w:t>Las entrevistas son otra técnica de recolección de datos, se refiere principalmente a la interacción entre dos personas o más, en otras palabras, es una conversación que tiene una estructura y propósito (Sibaja, 2013. p. 99).</w:t>
      </w:r>
    </w:p>
    <w:p w:rsidR="00477601" w:rsidRDefault="00477601" w:rsidP="00477601">
      <w:pPr>
        <w:spacing w:before="240" w:after="240" w:line="360" w:lineRule="auto"/>
        <w:ind w:firstLine="708"/>
        <w:jc w:val="both"/>
        <w:rPr>
          <w:rFonts w:ascii="Arial" w:hAnsi="Arial" w:cs="Arial"/>
          <w:sz w:val="24"/>
          <w:szCs w:val="24"/>
        </w:rPr>
      </w:pPr>
      <w:r>
        <w:rPr>
          <w:rFonts w:ascii="Arial" w:hAnsi="Arial" w:cs="Arial"/>
          <w:sz w:val="24"/>
          <w:szCs w:val="24"/>
        </w:rPr>
        <w:t>En esta investigación realizaron dos entrevistas personales: la primera, aplicada a Luis Schutt el 19 de setiembre del 2019 en su casa de habitación en Paquera, quien es líder comunal de esa comunidad y principal propulsor de la creación del área; y la segunda, se aplicó a Alberto Villareal el 20 de setiembre del 2019, actual gestor del AMPR Paquera-Tambor.</w:t>
      </w:r>
    </w:p>
    <w:p w:rsidR="00477601" w:rsidRDefault="00477601" w:rsidP="00477601">
      <w:pPr>
        <w:spacing w:before="240" w:after="240" w:line="360" w:lineRule="auto"/>
        <w:ind w:firstLine="708"/>
        <w:jc w:val="both"/>
      </w:pPr>
      <w:r>
        <w:rPr>
          <w:rFonts w:ascii="Arial" w:hAnsi="Arial" w:cs="Arial"/>
          <w:sz w:val="24"/>
          <w:szCs w:val="24"/>
        </w:rPr>
        <w:t>Como menciona Olabuénaga: “El entrevistador no espera ni supone que el entrevistado sea objetivo y neutral, sino todo lo contrario”.</w:t>
      </w:r>
      <w:r>
        <w:rPr>
          <w:rFonts w:ascii="Arial" w:hAnsi="Arial" w:cs="Arial"/>
          <w:i/>
          <w:sz w:val="24"/>
          <w:szCs w:val="24"/>
        </w:rPr>
        <w:t xml:space="preserve"> </w:t>
      </w:r>
      <w:r>
        <w:rPr>
          <w:rFonts w:ascii="Arial" w:hAnsi="Arial" w:cs="Arial"/>
          <w:sz w:val="24"/>
          <w:szCs w:val="24"/>
        </w:rPr>
        <w:t xml:space="preserve">(1989. p. 129). Abogando por la subjetividad dentro de las técnicas de investigación en las ciencias sociales.  </w:t>
      </w:r>
    </w:p>
    <w:p w:rsidR="00477601" w:rsidRDefault="00477601" w:rsidP="00477601">
      <w:pPr>
        <w:spacing w:after="240" w:line="360" w:lineRule="auto"/>
        <w:ind w:firstLine="708"/>
        <w:jc w:val="both"/>
      </w:pPr>
      <w:r>
        <w:rPr>
          <w:rFonts w:ascii="Arial" w:hAnsi="Arial" w:cs="Arial"/>
          <w:sz w:val="24"/>
          <w:szCs w:val="24"/>
        </w:rPr>
        <w:t>En el apartado de anexos</w:t>
      </w:r>
      <w:r w:rsidR="00424427">
        <w:rPr>
          <w:rFonts w:ascii="Arial" w:hAnsi="Arial" w:cs="Arial"/>
          <w:sz w:val="24"/>
          <w:szCs w:val="24"/>
        </w:rPr>
        <w:t xml:space="preserve"> N3</w:t>
      </w:r>
      <w:r>
        <w:rPr>
          <w:rFonts w:ascii="Arial" w:hAnsi="Arial" w:cs="Arial"/>
          <w:sz w:val="24"/>
          <w:szCs w:val="24"/>
        </w:rPr>
        <w:t xml:space="preserve"> se encuentra la matriz metodológica en donde se detallan los objetivos específicos, así como sus variables, indicadores e instrumentos.</w:t>
      </w:r>
    </w:p>
    <w:p w:rsidR="009718CC" w:rsidRDefault="009718CC"/>
    <w:p w:rsidR="00477601" w:rsidRDefault="00477601"/>
    <w:p w:rsidR="00477601" w:rsidRDefault="00477601"/>
    <w:p w:rsidR="00477601" w:rsidRDefault="00477601"/>
    <w:p w:rsidR="00477601" w:rsidRDefault="00477601"/>
    <w:p w:rsidR="00477601" w:rsidRDefault="00477601"/>
    <w:p w:rsidR="00477601" w:rsidRDefault="00477601"/>
    <w:p w:rsidR="00477601" w:rsidRDefault="00477601"/>
    <w:p w:rsidR="00424427" w:rsidRDefault="00424427"/>
    <w:p w:rsidR="00424427" w:rsidRDefault="00424427"/>
    <w:p w:rsidR="00477601" w:rsidRDefault="00477601"/>
    <w:p w:rsidR="00477601" w:rsidRDefault="00477601" w:rsidP="00477601">
      <w:pPr>
        <w:pStyle w:val="Ttulo1"/>
        <w:spacing w:line="480" w:lineRule="auto"/>
      </w:pPr>
      <w:bookmarkStart w:id="68" w:name="_Toc50906710"/>
      <w:r>
        <w:lastRenderedPageBreak/>
        <w:t>Capítulo IV. Análisis de la información y resultados obtenidos</w:t>
      </w:r>
      <w:bookmarkEnd w:id="68"/>
    </w:p>
    <w:p w:rsidR="00477601" w:rsidRDefault="00477601" w:rsidP="00477601">
      <w:pPr>
        <w:spacing w:line="360" w:lineRule="auto"/>
        <w:ind w:firstLine="708"/>
        <w:jc w:val="both"/>
        <w:rPr>
          <w:rFonts w:ascii="Arial" w:hAnsi="Arial" w:cs="Arial"/>
          <w:sz w:val="24"/>
        </w:rPr>
      </w:pPr>
      <w:r>
        <w:rPr>
          <w:rFonts w:ascii="Arial" w:hAnsi="Arial" w:cs="Arial"/>
          <w:sz w:val="24"/>
        </w:rPr>
        <w:t>El presente capítulo plantea una reflexión crítica y analítica del objeto de estudio, expone los principales hallazgos relacionados al trabajo de campo y la investigación teórica en referencia a las estrategias institucionales y las acciones de planificación local en el AMPR Paquera – Tambor.</w:t>
      </w:r>
    </w:p>
    <w:p w:rsidR="00477601" w:rsidRDefault="00477601" w:rsidP="00477601">
      <w:pPr>
        <w:spacing w:line="360" w:lineRule="auto"/>
        <w:ind w:firstLine="708"/>
        <w:jc w:val="both"/>
        <w:rPr>
          <w:rFonts w:ascii="Arial" w:hAnsi="Arial" w:cs="Arial"/>
          <w:sz w:val="24"/>
        </w:rPr>
      </w:pPr>
      <w:r>
        <w:rPr>
          <w:rFonts w:ascii="Arial" w:hAnsi="Arial" w:cs="Arial"/>
          <w:sz w:val="24"/>
        </w:rPr>
        <w:t xml:space="preserve">En primer orden, se realiza una descripción o contextualización del territorio donde se encuentra el AMPR Paquera-Tambor, aunando en aspectos característicos de la zona, tales como el clima, el desarrollo social, las actividades económicas, entre otros y así comprender de manera geográfica o espacial las dinámicas alrededor del AMPR. </w:t>
      </w:r>
    </w:p>
    <w:p w:rsidR="00477601" w:rsidRDefault="00477601" w:rsidP="00477601">
      <w:pPr>
        <w:spacing w:line="360" w:lineRule="auto"/>
        <w:ind w:firstLine="708"/>
        <w:jc w:val="both"/>
        <w:rPr>
          <w:rFonts w:ascii="Arial" w:hAnsi="Arial" w:cs="Arial"/>
          <w:sz w:val="24"/>
        </w:rPr>
      </w:pPr>
      <w:r>
        <w:rPr>
          <w:rFonts w:ascii="Arial" w:hAnsi="Arial" w:cs="Arial"/>
          <w:sz w:val="24"/>
        </w:rPr>
        <w:t>Posteriormente, se efectúa un análisis de la normativa jurídica e institucional en las que se fundamentan las AMPR. Se reconocen cuáles son las principales normas, leyes e instituciones públicas que dan sustento formal o público al proyecto del AMPR.</w:t>
      </w:r>
    </w:p>
    <w:p w:rsidR="00477601" w:rsidRDefault="00477601" w:rsidP="00477601">
      <w:pPr>
        <w:spacing w:line="360" w:lineRule="auto"/>
        <w:ind w:firstLine="708"/>
        <w:jc w:val="both"/>
        <w:rPr>
          <w:rFonts w:ascii="Arial" w:hAnsi="Arial" w:cs="Arial"/>
          <w:sz w:val="24"/>
        </w:rPr>
      </w:pPr>
      <w:r>
        <w:rPr>
          <w:rFonts w:ascii="Arial" w:hAnsi="Arial" w:cs="Arial"/>
          <w:sz w:val="24"/>
        </w:rPr>
        <w:t xml:space="preserve">Luego se analizan las estrategias de implementación y gestión institucional, para poner en perspectiva el accionar público y la puesta en práctica de la normativa anteriormente señalada, con el fin de conocer desde el panorama institucional su relación con el proyecto. </w:t>
      </w:r>
    </w:p>
    <w:p w:rsidR="00477601" w:rsidRDefault="00477601" w:rsidP="00477601">
      <w:pPr>
        <w:spacing w:line="360" w:lineRule="auto"/>
        <w:ind w:firstLine="708"/>
        <w:jc w:val="both"/>
        <w:rPr>
          <w:rFonts w:ascii="Arial" w:hAnsi="Arial" w:cs="Arial"/>
          <w:sz w:val="24"/>
        </w:rPr>
      </w:pPr>
      <w:r>
        <w:rPr>
          <w:rFonts w:ascii="Arial" w:hAnsi="Arial" w:cs="Arial"/>
          <w:sz w:val="24"/>
        </w:rPr>
        <w:t xml:space="preserve">También, se evidencian algunas de las acciones y/o estrategias de planificación local alrededor del AMPR, para comprender y vislumbrar el trabajo tan significativo y protagónico que se ha desarrollado en esta iniciativa desde la organización local-comunal. </w:t>
      </w:r>
    </w:p>
    <w:p w:rsidR="00477601" w:rsidRDefault="00477601" w:rsidP="00477601">
      <w:pPr>
        <w:spacing w:line="360" w:lineRule="auto"/>
        <w:ind w:firstLine="708"/>
        <w:jc w:val="both"/>
        <w:rPr>
          <w:rFonts w:ascii="Arial" w:hAnsi="Arial" w:cs="Arial"/>
          <w:sz w:val="24"/>
        </w:rPr>
      </w:pPr>
      <w:r>
        <w:rPr>
          <w:rFonts w:ascii="Arial" w:hAnsi="Arial" w:cs="Arial"/>
          <w:sz w:val="24"/>
        </w:rPr>
        <w:t>Por último, se hace un análisis del vínculo entre todos los apartados antes mencionados. Es importante señalar que todo este estudio se nutre del trabajo de campo, las entrevistas a profundidad y sobre todo de las categorías teóricas de análisis anteriormente desarrolladas, las cuales pretenden principalmente entender las dinámicas sociales, políticas, económicas y ambientales del proyecto del AMPR desde lo jurídico-institucional y su vínculo con lo local y viceversa.</w:t>
      </w:r>
    </w:p>
    <w:p w:rsidR="00477601" w:rsidRPr="001D7DF6" w:rsidRDefault="00477601" w:rsidP="00477601">
      <w:pPr>
        <w:pStyle w:val="Ttulo2"/>
        <w:numPr>
          <w:ilvl w:val="1"/>
          <w:numId w:val="22"/>
        </w:numPr>
        <w:spacing w:before="200" w:line="480" w:lineRule="auto"/>
        <w:rPr>
          <w:rFonts w:ascii="Arial" w:hAnsi="Arial" w:cs="Arial"/>
          <w:b/>
          <w:color w:val="00000A"/>
        </w:rPr>
      </w:pPr>
      <w:bookmarkStart w:id="69" w:name="_Toc49628458"/>
      <w:bookmarkStart w:id="70" w:name="_Toc50906711"/>
      <w:bookmarkEnd w:id="69"/>
      <w:r w:rsidRPr="001D7DF6">
        <w:rPr>
          <w:rFonts w:ascii="Arial" w:hAnsi="Arial" w:cs="Arial"/>
          <w:b/>
          <w:color w:val="00000A"/>
        </w:rPr>
        <w:lastRenderedPageBreak/>
        <w:t>Contextualización del territorio del AMPR Paquera-Tambor</w:t>
      </w:r>
      <w:bookmarkEnd w:id="70"/>
    </w:p>
    <w:p w:rsidR="00477601" w:rsidRDefault="00477601" w:rsidP="00477601">
      <w:pPr>
        <w:spacing w:line="360" w:lineRule="auto"/>
        <w:jc w:val="both"/>
        <w:rPr>
          <w:rFonts w:ascii="Arial" w:hAnsi="Arial" w:cs="Arial"/>
          <w:b/>
          <w:sz w:val="24"/>
          <w:szCs w:val="24"/>
        </w:rPr>
      </w:pPr>
      <w:r>
        <w:rPr>
          <w:rFonts w:ascii="Arial" w:hAnsi="Arial" w:cs="Arial"/>
          <w:b/>
          <w:sz w:val="24"/>
          <w:szCs w:val="24"/>
        </w:rPr>
        <w:t>Aspectos generales</w:t>
      </w:r>
    </w:p>
    <w:p w:rsidR="00477601" w:rsidRDefault="00477601" w:rsidP="00477601">
      <w:pPr>
        <w:spacing w:line="360" w:lineRule="auto"/>
        <w:ind w:firstLine="708"/>
        <w:jc w:val="both"/>
        <w:rPr>
          <w:rFonts w:ascii="Arial" w:hAnsi="Arial" w:cs="Arial"/>
          <w:sz w:val="24"/>
          <w:szCs w:val="24"/>
        </w:rPr>
      </w:pPr>
      <w:r>
        <w:rPr>
          <w:rFonts w:ascii="Arial" w:hAnsi="Arial" w:cs="Arial"/>
          <w:sz w:val="24"/>
          <w:szCs w:val="24"/>
        </w:rPr>
        <w:t>El Área Marina de Pesca Responsable Paquera-Tambor se encuentra ubicada en comunidades de los distritos de Paquera y Cóbano de la provincia de Puntarenas, específicamente en el extremo sur del Golfo de Nicoya.</w:t>
      </w:r>
    </w:p>
    <w:p w:rsidR="00477601" w:rsidRDefault="00477601" w:rsidP="00477601">
      <w:pPr>
        <w:spacing w:line="360" w:lineRule="auto"/>
        <w:ind w:firstLine="708"/>
        <w:jc w:val="both"/>
        <w:rPr>
          <w:rFonts w:ascii="Arial" w:hAnsi="Arial" w:cs="Arial"/>
          <w:sz w:val="24"/>
          <w:szCs w:val="24"/>
        </w:rPr>
      </w:pPr>
      <w:r>
        <w:rPr>
          <w:rFonts w:ascii="Arial" w:hAnsi="Arial" w:cs="Arial"/>
          <w:sz w:val="24"/>
          <w:szCs w:val="24"/>
        </w:rPr>
        <w:t>Paquera es el distrito número cinco de Puntarenas, según el último censo del INEC (2011), posee una población de 6,686 habitantes, un área de longitud de 337.88 kilómetros aproximadamente y su altura media ronda entre los 0 y 710 msnm.</w:t>
      </w:r>
    </w:p>
    <w:p w:rsidR="00477601" w:rsidRDefault="00477601" w:rsidP="00477601">
      <w:pPr>
        <w:spacing w:line="360" w:lineRule="auto"/>
        <w:ind w:firstLine="708"/>
        <w:jc w:val="both"/>
        <w:rPr>
          <w:rFonts w:ascii="Arial" w:hAnsi="Arial" w:cs="Arial"/>
          <w:sz w:val="24"/>
          <w:szCs w:val="24"/>
        </w:rPr>
      </w:pPr>
      <w:r>
        <w:rPr>
          <w:rFonts w:ascii="Arial" w:hAnsi="Arial" w:cs="Arial"/>
          <w:sz w:val="24"/>
          <w:szCs w:val="24"/>
        </w:rPr>
        <w:t>Cabe mencionar que Paquera posee potencial turístico, ya que cuenta con alta riqueza natural, contiene además zonas de protección destinadas a la conservación de la flora y la fauna. Algunos mamíferos que resaltan son los Mono Cara Blanca. (INDER. 2014. p. 11)</w:t>
      </w:r>
    </w:p>
    <w:p w:rsidR="00477601" w:rsidRDefault="00477601" w:rsidP="00477601">
      <w:pPr>
        <w:spacing w:line="360" w:lineRule="auto"/>
        <w:ind w:firstLine="708"/>
        <w:jc w:val="both"/>
        <w:rPr>
          <w:rFonts w:ascii="Arial" w:hAnsi="Arial" w:cs="Arial"/>
          <w:sz w:val="24"/>
          <w:szCs w:val="24"/>
        </w:rPr>
      </w:pPr>
      <w:r>
        <w:rPr>
          <w:rFonts w:ascii="Arial" w:hAnsi="Arial" w:cs="Arial"/>
          <w:sz w:val="24"/>
          <w:szCs w:val="24"/>
        </w:rPr>
        <w:t>Cóbano es el distrito número once de Puntarenas, posee un área de longitud de aproximadamente 316.6 kilómetros y registra una altura de 150 msnm. Según datos del INDER (2011), posee una población total de 7,494 habitantes.</w:t>
      </w:r>
    </w:p>
    <w:p w:rsidR="00477601" w:rsidRDefault="00477601" w:rsidP="00477601">
      <w:pPr>
        <w:spacing w:line="360" w:lineRule="auto"/>
        <w:ind w:firstLine="708"/>
        <w:jc w:val="both"/>
        <w:rPr>
          <w:rFonts w:ascii="Arial" w:hAnsi="Arial" w:cs="Arial"/>
          <w:sz w:val="24"/>
          <w:szCs w:val="24"/>
        </w:rPr>
      </w:pPr>
      <w:r>
        <w:rPr>
          <w:rFonts w:ascii="Arial" w:hAnsi="Arial" w:cs="Arial"/>
          <w:sz w:val="24"/>
          <w:szCs w:val="24"/>
        </w:rPr>
        <w:t>Según una caracterización que realizó el INDER en el año 2014, Cóbano destaca por la agricultura y la ganadería, y en los últimos años han desarrollado gran capacidad turística. Se puede encontrar la Reserva Natural Absoluta de Cabo Blanco (2014. p. 12).</w:t>
      </w:r>
    </w:p>
    <w:p w:rsidR="00477601" w:rsidRDefault="00477601" w:rsidP="00477601">
      <w:pPr>
        <w:spacing w:line="360" w:lineRule="auto"/>
        <w:jc w:val="both"/>
        <w:rPr>
          <w:rFonts w:ascii="Arial" w:hAnsi="Arial" w:cs="Arial"/>
          <w:b/>
          <w:sz w:val="24"/>
          <w:szCs w:val="24"/>
        </w:rPr>
      </w:pPr>
      <w:r>
        <w:rPr>
          <w:rFonts w:ascii="Arial" w:hAnsi="Arial" w:cs="Arial"/>
          <w:b/>
          <w:sz w:val="24"/>
          <w:szCs w:val="24"/>
        </w:rPr>
        <w:t xml:space="preserve">Localización territorial </w:t>
      </w:r>
    </w:p>
    <w:p w:rsidR="00477601" w:rsidRDefault="00477601" w:rsidP="00477601">
      <w:pPr>
        <w:spacing w:line="360" w:lineRule="auto"/>
        <w:ind w:firstLine="708"/>
        <w:jc w:val="both"/>
        <w:rPr>
          <w:rFonts w:ascii="Arial" w:hAnsi="Arial" w:cs="Arial"/>
          <w:sz w:val="24"/>
          <w:szCs w:val="24"/>
        </w:rPr>
      </w:pPr>
      <w:r>
        <w:rPr>
          <w:rFonts w:ascii="Arial" w:hAnsi="Arial" w:cs="Arial"/>
          <w:sz w:val="24"/>
          <w:szCs w:val="24"/>
        </w:rPr>
        <w:t>A continuación se presentan imágenes de la localización del Golfo de Nicoya, los sectores y comunidades que conforman el AMPR Paquera-Tambor:</w:t>
      </w:r>
    </w:p>
    <w:p w:rsidR="00477601" w:rsidRDefault="00477601" w:rsidP="00477601">
      <w:pPr>
        <w:spacing w:after="0" w:line="360" w:lineRule="auto"/>
        <w:ind w:firstLine="708"/>
        <w:jc w:val="center"/>
        <w:rPr>
          <w:rFonts w:ascii="Arial" w:hAnsi="Arial" w:cs="Arial"/>
          <w:b/>
          <w:sz w:val="24"/>
        </w:rPr>
      </w:pPr>
      <w:r>
        <w:rPr>
          <w:rFonts w:ascii="Arial" w:hAnsi="Arial" w:cs="Arial"/>
          <w:b/>
          <w:noProof/>
          <w:sz w:val="24"/>
          <w:lang w:eastAsia="es-CR"/>
        </w:rPr>
        <w:lastRenderedPageBreak/>
        <w:drawing>
          <wp:anchor distT="0" distB="7620" distL="114300" distR="120650" simplePos="0" relativeHeight="251662336" behindDoc="0" locked="0" layoutInCell="1" allowOverlap="1" wp14:anchorId="108C8373" wp14:editId="799B9203">
            <wp:simplePos x="0" y="0"/>
            <wp:positionH relativeFrom="margin">
              <wp:align>center</wp:align>
            </wp:positionH>
            <wp:positionV relativeFrom="paragraph">
              <wp:posOffset>1270</wp:posOffset>
            </wp:positionV>
            <wp:extent cx="3879215" cy="2221230"/>
            <wp:effectExtent l="0" t="0" r="0" b="0"/>
            <wp:wrapTight wrapText="bothSides">
              <wp:wrapPolygon edited="0">
                <wp:start x="-34" y="0"/>
                <wp:lineTo x="-34" y="21320"/>
                <wp:lineTo x="21460" y="21320"/>
                <wp:lineTo x="21460" y="0"/>
                <wp:lineTo x="-34" y="0"/>
              </wp:wrapPolygon>
            </wp:wrapTight>
            <wp:docPr id="14"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Imagen 8"/>
                    <pic:cNvPicPr>
                      <a:picLocks noChangeAspect="1" noChangeArrowheads="1"/>
                    </pic:cNvPicPr>
                  </pic:nvPicPr>
                  <pic:blipFill>
                    <a:blip r:embed="rId25"/>
                    <a:stretch>
                      <a:fillRect/>
                    </a:stretch>
                  </pic:blipFill>
                  <pic:spPr bwMode="auto">
                    <a:xfrm>
                      <a:off x="0" y="0"/>
                      <a:ext cx="3879215" cy="2221230"/>
                    </a:xfrm>
                    <a:prstGeom prst="rect">
                      <a:avLst/>
                    </a:prstGeom>
                  </pic:spPr>
                </pic:pic>
              </a:graphicData>
            </a:graphic>
          </wp:anchor>
        </w:drawing>
      </w:r>
    </w:p>
    <w:p w:rsidR="00477601" w:rsidRDefault="00477601" w:rsidP="00477601">
      <w:pPr>
        <w:spacing w:after="0" w:line="360" w:lineRule="auto"/>
        <w:ind w:firstLine="708"/>
        <w:jc w:val="center"/>
        <w:rPr>
          <w:rFonts w:ascii="Arial" w:hAnsi="Arial" w:cs="Arial"/>
          <w:b/>
          <w:sz w:val="24"/>
        </w:rPr>
      </w:pPr>
    </w:p>
    <w:p w:rsidR="00477601" w:rsidRDefault="00477601" w:rsidP="00477601">
      <w:pPr>
        <w:rPr>
          <w:rFonts w:ascii="Arial" w:hAnsi="Arial" w:cs="Arial"/>
          <w:sz w:val="24"/>
        </w:rPr>
      </w:pPr>
    </w:p>
    <w:p w:rsidR="00477601" w:rsidRDefault="00477601" w:rsidP="00477601">
      <w:pPr>
        <w:rPr>
          <w:rFonts w:ascii="Arial" w:hAnsi="Arial" w:cs="Arial"/>
          <w:sz w:val="24"/>
        </w:rPr>
      </w:pPr>
    </w:p>
    <w:p w:rsidR="00477601" w:rsidRDefault="00477601" w:rsidP="00477601">
      <w:pPr>
        <w:rPr>
          <w:rFonts w:ascii="Arial" w:hAnsi="Arial" w:cs="Arial"/>
          <w:sz w:val="24"/>
        </w:rPr>
      </w:pPr>
    </w:p>
    <w:p w:rsidR="00477601" w:rsidRDefault="00477601" w:rsidP="00477601">
      <w:pPr>
        <w:rPr>
          <w:rFonts w:ascii="Arial" w:hAnsi="Arial" w:cs="Arial"/>
          <w:sz w:val="24"/>
        </w:rPr>
      </w:pPr>
    </w:p>
    <w:p w:rsidR="00477601" w:rsidRDefault="00477601" w:rsidP="00477601">
      <w:pPr>
        <w:rPr>
          <w:rFonts w:ascii="Arial" w:hAnsi="Arial" w:cs="Arial"/>
          <w:sz w:val="24"/>
        </w:rPr>
      </w:pPr>
    </w:p>
    <w:p w:rsidR="00477601" w:rsidRDefault="00477601" w:rsidP="00477601">
      <w:pPr>
        <w:rPr>
          <w:rFonts w:ascii="Arial" w:hAnsi="Arial" w:cs="Arial"/>
          <w:sz w:val="20"/>
        </w:rPr>
      </w:pPr>
    </w:p>
    <w:p w:rsidR="00477601" w:rsidRDefault="00477601" w:rsidP="00477601">
      <w:pPr>
        <w:jc w:val="center"/>
        <w:rPr>
          <w:rFonts w:ascii="Arial" w:hAnsi="Arial" w:cs="Arial"/>
          <w:sz w:val="24"/>
          <w:szCs w:val="24"/>
        </w:rPr>
      </w:pPr>
      <w:r>
        <w:rPr>
          <w:rFonts w:ascii="Arial" w:hAnsi="Arial" w:cs="Arial"/>
          <w:sz w:val="24"/>
          <w:szCs w:val="24"/>
        </w:rPr>
        <w:t>Figura N° 2. Golfo de Nicoya</w:t>
      </w:r>
    </w:p>
    <w:p w:rsidR="00477601" w:rsidRDefault="00477601" w:rsidP="00477601">
      <w:pPr>
        <w:spacing w:after="0" w:line="360" w:lineRule="auto"/>
        <w:ind w:firstLine="708"/>
        <w:jc w:val="center"/>
        <w:rPr>
          <w:rFonts w:ascii="Arial" w:hAnsi="Arial" w:cs="Arial"/>
          <w:b/>
          <w:sz w:val="24"/>
        </w:rPr>
      </w:pPr>
    </w:p>
    <w:p w:rsidR="00477601" w:rsidRDefault="00477601" w:rsidP="00477601">
      <w:pPr>
        <w:spacing w:line="360" w:lineRule="auto"/>
        <w:jc w:val="right"/>
        <w:rPr>
          <w:rFonts w:ascii="Arial" w:hAnsi="Arial" w:cs="Arial"/>
          <w:sz w:val="20"/>
        </w:rPr>
      </w:pPr>
      <w:r>
        <w:rPr>
          <w:noProof/>
          <w:lang w:eastAsia="es-CR"/>
        </w:rPr>
        <w:drawing>
          <wp:anchor distT="0" distB="0" distL="114300" distR="114300" simplePos="0" relativeHeight="251663360" behindDoc="0" locked="0" layoutInCell="1" allowOverlap="1" wp14:anchorId="603D88FB" wp14:editId="33BCE3D2">
            <wp:simplePos x="0" y="0"/>
            <wp:positionH relativeFrom="margin">
              <wp:align>center</wp:align>
            </wp:positionH>
            <wp:positionV relativeFrom="paragraph">
              <wp:posOffset>6985</wp:posOffset>
            </wp:positionV>
            <wp:extent cx="4762500" cy="3685540"/>
            <wp:effectExtent l="0" t="0" r="0" b="0"/>
            <wp:wrapTight wrapText="bothSides">
              <wp:wrapPolygon edited="0">
                <wp:start x="-38" y="0"/>
                <wp:lineTo x="-38" y="21264"/>
                <wp:lineTo x="21406" y="21264"/>
                <wp:lineTo x="21406" y="0"/>
                <wp:lineTo x="-38" y="0"/>
              </wp:wrapPolygon>
            </wp:wrapTight>
            <wp:docPr id="15" name="Imagen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Imagen 20"/>
                    <pic:cNvPicPr>
                      <a:picLocks noChangeAspect="1" noChangeArrowheads="1"/>
                    </pic:cNvPicPr>
                  </pic:nvPicPr>
                  <pic:blipFill>
                    <a:blip r:embed="rId26"/>
                    <a:stretch>
                      <a:fillRect/>
                    </a:stretch>
                  </pic:blipFill>
                  <pic:spPr bwMode="auto">
                    <a:xfrm>
                      <a:off x="0" y="0"/>
                      <a:ext cx="4762500" cy="3685540"/>
                    </a:xfrm>
                    <a:prstGeom prst="rect">
                      <a:avLst/>
                    </a:prstGeom>
                  </pic:spPr>
                </pic:pic>
              </a:graphicData>
            </a:graphic>
          </wp:anchor>
        </w:drawing>
      </w:r>
      <w:r>
        <w:rPr>
          <w:rFonts w:ascii="Arial" w:hAnsi="Arial" w:cs="Arial"/>
          <w:sz w:val="20"/>
        </w:rPr>
        <w:t xml:space="preserve">         </w:t>
      </w:r>
    </w:p>
    <w:p w:rsidR="00477601" w:rsidRDefault="00477601" w:rsidP="00477601">
      <w:pPr>
        <w:spacing w:line="360" w:lineRule="auto"/>
        <w:jc w:val="right"/>
        <w:rPr>
          <w:rFonts w:ascii="Arial" w:hAnsi="Arial" w:cs="Arial"/>
          <w:sz w:val="20"/>
        </w:rPr>
      </w:pPr>
    </w:p>
    <w:p w:rsidR="00477601" w:rsidRDefault="00477601" w:rsidP="00477601">
      <w:pPr>
        <w:spacing w:line="360" w:lineRule="auto"/>
        <w:jc w:val="right"/>
        <w:rPr>
          <w:rFonts w:ascii="Arial" w:hAnsi="Arial" w:cs="Arial"/>
          <w:sz w:val="20"/>
        </w:rPr>
      </w:pPr>
    </w:p>
    <w:p w:rsidR="00477601" w:rsidRDefault="00477601" w:rsidP="00477601">
      <w:pPr>
        <w:spacing w:line="360" w:lineRule="auto"/>
        <w:jc w:val="right"/>
        <w:rPr>
          <w:rFonts w:ascii="Arial" w:hAnsi="Arial" w:cs="Arial"/>
          <w:sz w:val="20"/>
        </w:rPr>
      </w:pPr>
    </w:p>
    <w:p w:rsidR="00477601" w:rsidRDefault="00477601" w:rsidP="00477601">
      <w:pPr>
        <w:spacing w:line="360" w:lineRule="auto"/>
        <w:jc w:val="right"/>
        <w:rPr>
          <w:rFonts w:ascii="Arial" w:hAnsi="Arial" w:cs="Arial"/>
          <w:sz w:val="20"/>
        </w:rPr>
      </w:pPr>
    </w:p>
    <w:p w:rsidR="00477601" w:rsidRDefault="00477601" w:rsidP="00477601">
      <w:pPr>
        <w:spacing w:line="360" w:lineRule="auto"/>
        <w:jc w:val="right"/>
        <w:rPr>
          <w:rFonts w:ascii="Arial" w:hAnsi="Arial" w:cs="Arial"/>
          <w:sz w:val="20"/>
        </w:rPr>
      </w:pPr>
    </w:p>
    <w:p w:rsidR="00477601" w:rsidRDefault="00477601" w:rsidP="00477601">
      <w:pPr>
        <w:spacing w:line="360" w:lineRule="auto"/>
        <w:jc w:val="right"/>
        <w:rPr>
          <w:rFonts w:ascii="Arial" w:hAnsi="Arial" w:cs="Arial"/>
          <w:sz w:val="20"/>
        </w:rPr>
      </w:pPr>
    </w:p>
    <w:p w:rsidR="00477601" w:rsidRDefault="00477601" w:rsidP="00477601">
      <w:pPr>
        <w:spacing w:line="360" w:lineRule="auto"/>
        <w:jc w:val="right"/>
        <w:rPr>
          <w:rFonts w:ascii="Arial" w:hAnsi="Arial" w:cs="Arial"/>
          <w:sz w:val="20"/>
        </w:rPr>
      </w:pPr>
    </w:p>
    <w:p w:rsidR="00477601" w:rsidRDefault="00477601" w:rsidP="00477601">
      <w:pPr>
        <w:spacing w:line="360" w:lineRule="auto"/>
        <w:jc w:val="right"/>
        <w:rPr>
          <w:rFonts w:ascii="Arial" w:hAnsi="Arial" w:cs="Arial"/>
          <w:sz w:val="20"/>
        </w:rPr>
      </w:pPr>
    </w:p>
    <w:p w:rsidR="00477601" w:rsidRDefault="00477601" w:rsidP="00477601">
      <w:pPr>
        <w:spacing w:line="360" w:lineRule="auto"/>
        <w:jc w:val="right"/>
        <w:rPr>
          <w:rFonts w:ascii="Arial" w:hAnsi="Arial" w:cs="Arial"/>
          <w:sz w:val="20"/>
        </w:rPr>
      </w:pPr>
    </w:p>
    <w:p w:rsidR="00477601" w:rsidRDefault="00477601" w:rsidP="00477601">
      <w:pPr>
        <w:spacing w:line="360" w:lineRule="auto"/>
        <w:jc w:val="right"/>
        <w:rPr>
          <w:rFonts w:ascii="Arial" w:hAnsi="Arial" w:cs="Arial"/>
          <w:sz w:val="20"/>
        </w:rPr>
      </w:pPr>
    </w:p>
    <w:p w:rsidR="00477601" w:rsidRDefault="00477601" w:rsidP="00477601">
      <w:pPr>
        <w:spacing w:line="360" w:lineRule="auto"/>
        <w:jc w:val="right"/>
        <w:rPr>
          <w:rFonts w:ascii="Arial" w:hAnsi="Arial" w:cs="Arial"/>
          <w:sz w:val="20"/>
        </w:rPr>
      </w:pPr>
    </w:p>
    <w:p w:rsidR="00477601" w:rsidRDefault="00477601" w:rsidP="00477601">
      <w:pPr>
        <w:jc w:val="center"/>
        <w:rPr>
          <w:rFonts w:ascii="Arial" w:hAnsi="Arial" w:cs="Arial"/>
          <w:sz w:val="24"/>
          <w:szCs w:val="24"/>
        </w:rPr>
      </w:pPr>
      <w:r>
        <w:rPr>
          <w:rFonts w:ascii="Arial" w:hAnsi="Arial" w:cs="Arial"/>
          <w:sz w:val="24"/>
          <w:szCs w:val="24"/>
        </w:rPr>
        <w:t>Figura N° 3. Ubicación territorial del extremo sur del Golfo de Nicoya</w:t>
      </w:r>
    </w:p>
    <w:p w:rsidR="00477601" w:rsidRDefault="00477601" w:rsidP="00477601">
      <w:pPr>
        <w:spacing w:line="360" w:lineRule="auto"/>
        <w:jc w:val="right"/>
        <w:rPr>
          <w:rFonts w:ascii="Arial" w:hAnsi="Arial" w:cs="Arial"/>
          <w:sz w:val="20"/>
        </w:rPr>
      </w:pPr>
    </w:p>
    <w:p w:rsidR="00477601" w:rsidRPr="00A904D7" w:rsidRDefault="00477601" w:rsidP="00477601">
      <w:pPr>
        <w:spacing w:line="360" w:lineRule="auto"/>
        <w:ind w:firstLine="708"/>
        <w:jc w:val="both"/>
        <w:rPr>
          <w:rFonts w:ascii="Arial" w:hAnsi="Arial" w:cs="Arial"/>
          <w:sz w:val="24"/>
          <w:szCs w:val="24"/>
        </w:rPr>
      </w:pPr>
      <w:r>
        <w:rPr>
          <w:rFonts w:ascii="Arial" w:hAnsi="Arial" w:cs="Arial"/>
          <w:sz w:val="24"/>
          <w:szCs w:val="24"/>
        </w:rPr>
        <w:t xml:space="preserve">La siguiente imagen demuestra que el bosque húmedo tropical es el que se encuentra en mayor escala en estas localidades, mientras que los bosques muy húmedos –zona roja- se encuentran mayoritariamente en Cóbano y Paquera. </w:t>
      </w:r>
    </w:p>
    <w:p w:rsidR="00477601" w:rsidRDefault="00477601" w:rsidP="00477601">
      <w:pPr>
        <w:spacing w:after="0" w:line="240" w:lineRule="auto"/>
        <w:jc w:val="center"/>
        <w:rPr>
          <w:rFonts w:ascii="Arial" w:hAnsi="Arial" w:cs="Arial"/>
          <w:sz w:val="24"/>
          <w:szCs w:val="24"/>
        </w:rPr>
      </w:pPr>
      <w:r>
        <w:rPr>
          <w:rFonts w:ascii="Arial" w:hAnsi="Arial" w:cs="Arial"/>
          <w:noProof/>
          <w:sz w:val="24"/>
          <w:szCs w:val="24"/>
          <w:lang w:eastAsia="es-CR"/>
        </w:rPr>
        <w:lastRenderedPageBreak/>
        <w:drawing>
          <wp:anchor distT="0" distB="0" distL="114300" distR="123190" simplePos="0" relativeHeight="251664384" behindDoc="0" locked="0" layoutInCell="1" allowOverlap="1" wp14:anchorId="707CB292" wp14:editId="7ADB8F95">
            <wp:simplePos x="0" y="0"/>
            <wp:positionH relativeFrom="margin">
              <wp:align>center</wp:align>
            </wp:positionH>
            <wp:positionV relativeFrom="paragraph">
              <wp:posOffset>635</wp:posOffset>
            </wp:positionV>
            <wp:extent cx="5114925" cy="3430905"/>
            <wp:effectExtent l="0" t="0" r="0" b="0"/>
            <wp:wrapSquare wrapText="bothSides"/>
            <wp:docPr id="16" name="Imagen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Imagen 22"/>
                    <pic:cNvPicPr>
                      <a:picLocks noChangeAspect="1" noChangeArrowheads="1"/>
                    </pic:cNvPicPr>
                  </pic:nvPicPr>
                  <pic:blipFill>
                    <a:blip r:embed="rId27"/>
                    <a:stretch>
                      <a:fillRect/>
                    </a:stretch>
                  </pic:blipFill>
                  <pic:spPr bwMode="auto">
                    <a:xfrm>
                      <a:off x="0" y="0"/>
                      <a:ext cx="5114925" cy="3430905"/>
                    </a:xfrm>
                    <a:prstGeom prst="rect">
                      <a:avLst/>
                    </a:prstGeom>
                  </pic:spPr>
                </pic:pic>
              </a:graphicData>
            </a:graphic>
          </wp:anchor>
        </w:drawing>
      </w:r>
    </w:p>
    <w:p w:rsidR="00477601" w:rsidRDefault="00477601" w:rsidP="00477601">
      <w:pPr>
        <w:spacing w:line="480" w:lineRule="auto"/>
        <w:jc w:val="center"/>
        <w:rPr>
          <w:rFonts w:ascii="Arial" w:hAnsi="Arial" w:cs="Arial"/>
          <w:sz w:val="24"/>
          <w:szCs w:val="24"/>
        </w:rPr>
      </w:pPr>
      <w:r>
        <w:rPr>
          <w:rFonts w:ascii="Arial" w:hAnsi="Arial" w:cs="Arial"/>
          <w:sz w:val="24"/>
          <w:szCs w:val="24"/>
        </w:rPr>
        <w:t>Figura N° 4. Zonas de vida en el territorio sur del Golfo de Nicoya</w:t>
      </w:r>
    </w:p>
    <w:p w:rsidR="00477601" w:rsidRDefault="00477601" w:rsidP="00477601">
      <w:pPr>
        <w:spacing w:line="360" w:lineRule="auto"/>
        <w:ind w:firstLine="708"/>
        <w:jc w:val="both"/>
        <w:rPr>
          <w:rFonts w:ascii="Arial" w:hAnsi="Arial" w:cs="Arial"/>
          <w:sz w:val="24"/>
          <w:szCs w:val="24"/>
        </w:rPr>
      </w:pPr>
      <w:r>
        <w:rPr>
          <w:rFonts w:ascii="Arial" w:hAnsi="Arial" w:cs="Arial"/>
          <w:sz w:val="24"/>
          <w:szCs w:val="24"/>
        </w:rPr>
        <w:t>En cuanto a las lluvias, los niveles de precipitación son de 1,500 mm/año en zonas secas y de 3,500 mm/año en sus zonas más húmedas. (INDER. 2014. p. 35).</w:t>
      </w:r>
    </w:p>
    <w:p w:rsidR="00477601" w:rsidRDefault="00477601" w:rsidP="00477601">
      <w:pPr>
        <w:spacing w:line="360" w:lineRule="auto"/>
        <w:ind w:firstLine="708"/>
        <w:jc w:val="both"/>
        <w:rPr>
          <w:rFonts w:ascii="Arial" w:hAnsi="Arial" w:cs="Arial"/>
          <w:sz w:val="24"/>
          <w:szCs w:val="24"/>
        </w:rPr>
      </w:pPr>
      <w:r>
        <w:rPr>
          <w:rFonts w:ascii="Arial" w:hAnsi="Arial" w:cs="Arial"/>
          <w:sz w:val="24"/>
          <w:szCs w:val="24"/>
        </w:rPr>
        <w:t xml:space="preserve">Las zonas bioclimáticas se pueden categorizas en muy cálido y cálido: </w:t>
      </w:r>
    </w:p>
    <w:p w:rsidR="00477601" w:rsidRDefault="00477601" w:rsidP="00477601">
      <w:pPr>
        <w:spacing w:after="0" w:line="480" w:lineRule="auto"/>
        <w:rPr>
          <w:rFonts w:ascii="Arial" w:hAnsi="Arial" w:cs="Arial"/>
          <w:sz w:val="24"/>
          <w:szCs w:val="24"/>
        </w:rPr>
      </w:pPr>
      <w:r>
        <w:rPr>
          <w:rFonts w:ascii="Arial" w:hAnsi="Arial" w:cs="Arial"/>
          <w:sz w:val="24"/>
          <w:szCs w:val="24"/>
        </w:rPr>
        <w:t>Tabla N° 2 Zonas Bioclimáticas</w:t>
      </w:r>
    </w:p>
    <w:tbl>
      <w:tblPr>
        <w:tblW w:w="9062" w:type="dxa"/>
        <w:tblInd w:w="-10" w:type="dxa"/>
        <w:tblBorders>
          <w:top w:val="single" w:sz="4" w:space="0" w:color="00000A"/>
          <w:left w:val="single" w:sz="4" w:space="0" w:color="00000A"/>
          <w:bottom w:val="single" w:sz="4" w:space="0" w:color="00000A"/>
          <w:right w:val="single" w:sz="4" w:space="0" w:color="00000A"/>
          <w:insideH w:val="single" w:sz="4" w:space="0" w:color="00000A"/>
          <w:insideV w:val="single" w:sz="4" w:space="0" w:color="00000A"/>
        </w:tblBorders>
        <w:tblCellMar>
          <w:left w:w="98" w:type="dxa"/>
        </w:tblCellMar>
        <w:tblLook w:val="04A0" w:firstRow="1" w:lastRow="0" w:firstColumn="1" w:lastColumn="0" w:noHBand="0" w:noVBand="1"/>
      </w:tblPr>
      <w:tblGrid>
        <w:gridCol w:w="4532"/>
        <w:gridCol w:w="4530"/>
      </w:tblGrid>
      <w:tr w:rsidR="00477601" w:rsidTr="00424427">
        <w:trPr>
          <w:trHeight w:val="384"/>
        </w:trPr>
        <w:tc>
          <w:tcPr>
            <w:tcW w:w="4531" w:type="dxa"/>
            <w:tcBorders>
              <w:top w:val="single" w:sz="4" w:space="0" w:color="00000A"/>
              <w:left w:val="single" w:sz="4" w:space="0" w:color="00000A"/>
              <w:bottom w:val="single" w:sz="4" w:space="0" w:color="00000A"/>
              <w:right w:val="single" w:sz="4" w:space="0" w:color="00000A"/>
            </w:tcBorders>
            <w:shd w:val="clear" w:color="auto" w:fill="D6E3BC"/>
            <w:tcMar>
              <w:left w:w="98" w:type="dxa"/>
            </w:tcMar>
            <w:vAlign w:val="center"/>
          </w:tcPr>
          <w:p w:rsidR="00477601" w:rsidRPr="00A904D7" w:rsidRDefault="00477601" w:rsidP="00424427">
            <w:pPr>
              <w:spacing w:after="0" w:line="276" w:lineRule="auto"/>
              <w:jc w:val="center"/>
              <w:rPr>
                <w:rFonts w:ascii="Arial" w:hAnsi="Arial" w:cs="Arial"/>
                <w:b/>
                <w:sz w:val="24"/>
                <w:szCs w:val="24"/>
              </w:rPr>
            </w:pPr>
            <w:r w:rsidRPr="00A904D7">
              <w:rPr>
                <w:rFonts w:ascii="Arial" w:hAnsi="Arial" w:cs="Arial"/>
                <w:b/>
                <w:sz w:val="24"/>
                <w:szCs w:val="24"/>
              </w:rPr>
              <w:t>Zona Bioclimática</w:t>
            </w:r>
          </w:p>
        </w:tc>
        <w:tc>
          <w:tcPr>
            <w:tcW w:w="4530" w:type="dxa"/>
            <w:tcBorders>
              <w:top w:val="single" w:sz="4" w:space="0" w:color="00000A"/>
              <w:left w:val="single" w:sz="4" w:space="0" w:color="00000A"/>
              <w:bottom w:val="single" w:sz="4" w:space="0" w:color="00000A"/>
              <w:right w:val="single" w:sz="4" w:space="0" w:color="00000A"/>
            </w:tcBorders>
            <w:shd w:val="clear" w:color="auto" w:fill="D6E3BC"/>
            <w:tcMar>
              <w:left w:w="98" w:type="dxa"/>
            </w:tcMar>
            <w:vAlign w:val="center"/>
          </w:tcPr>
          <w:p w:rsidR="00477601" w:rsidRPr="00A904D7" w:rsidRDefault="00477601" w:rsidP="00424427">
            <w:pPr>
              <w:spacing w:after="0" w:line="276" w:lineRule="auto"/>
              <w:jc w:val="center"/>
              <w:rPr>
                <w:rFonts w:ascii="Arial" w:hAnsi="Arial" w:cs="Arial"/>
                <w:b/>
                <w:sz w:val="24"/>
                <w:szCs w:val="24"/>
              </w:rPr>
            </w:pPr>
            <w:r w:rsidRPr="00A904D7">
              <w:rPr>
                <w:rFonts w:ascii="Arial" w:hAnsi="Arial" w:cs="Arial"/>
                <w:b/>
                <w:sz w:val="24"/>
                <w:szCs w:val="24"/>
              </w:rPr>
              <w:t>Temperatura (C°)</w:t>
            </w:r>
          </w:p>
        </w:tc>
      </w:tr>
      <w:tr w:rsidR="00477601" w:rsidTr="00424427">
        <w:trPr>
          <w:trHeight w:val="384"/>
        </w:trPr>
        <w:tc>
          <w:tcPr>
            <w:tcW w:w="4531" w:type="dxa"/>
            <w:tcBorders>
              <w:top w:val="single" w:sz="4" w:space="0" w:color="00000A"/>
              <w:left w:val="single" w:sz="4" w:space="0" w:color="00000A"/>
              <w:bottom w:val="single" w:sz="4" w:space="0" w:color="00000A"/>
              <w:right w:val="single" w:sz="4" w:space="0" w:color="00000A"/>
            </w:tcBorders>
            <w:shd w:val="clear" w:color="auto" w:fill="auto"/>
            <w:tcMar>
              <w:left w:w="98" w:type="dxa"/>
            </w:tcMar>
            <w:vAlign w:val="center"/>
          </w:tcPr>
          <w:p w:rsidR="00477601" w:rsidRPr="00A904D7" w:rsidRDefault="00477601" w:rsidP="00424427">
            <w:pPr>
              <w:spacing w:after="0" w:line="276" w:lineRule="auto"/>
              <w:jc w:val="center"/>
              <w:rPr>
                <w:rFonts w:ascii="Arial" w:hAnsi="Arial" w:cs="Arial"/>
                <w:sz w:val="24"/>
                <w:szCs w:val="24"/>
              </w:rPr>
            </w:pPr>
            <w:r w:rsidRPr="00A904D7">
              <w:rPr>
                <w:rFonts w:ascii="Arial" w:hAnsi="Arial" w:cs="Arial"/>
                <w:sz w:val="24"/>
                <w:szCs w:val="24"/>
              </w:rPr>
              <w:t>Muy cálido</w:t>
            </w:r>
          </w:p>
        </w:tc>
        <w:tc>
          <w:tcPr>
            <w:tcW w:w="4530" w:type="dxa"/>
            <w:tcBorders>
              <w:top w:val="single" w:sz="4" w:space="0" w:color="00000A"/>
              <w:left w:val="single" w:sz="4" w:space="0" w:color="00000A"/>
              <w:bottom w:val="single" w:sz="4" w:space="0" w:color="00000A"/>
              <w:right w:val="single" w:sz="4" w:space="0" w:color="00000A"/>
            </w:tcBorders>
            <w:shd w:val="clear" w:color="auto" w:fill="auto"/>
            <w:tcMar>
              <w:left w:w="98" w:type="dxa"/>
            </w:tcMar>
            <w:vAlign w:val="center"/>
          </w:tcPr>
          <w:p w:rsidR="00477601" w:rsidRPr="00A904D7" w:rsidRDefault="00477601" w:rsidP="00424427">
            <w:pPr>
              <w:spacing w:after="0" w:line="276" w:lineRule="auto"/>
              <w:jc w:val="center"/>
              <w:rPr>
                <w:rFonts w:ascii="Arial" w:hAnsi="Arial" w:cs="Arial"/>
                <w:sz w:val="24"/>
                <w:szCs w:val="24"/>
              </w:rPr>
            </w:pPr>
            <w:r w:rsidRPr="00A904D7">
              <w:rPr>
                <w:rFonts w:ascii="Arial" w:hAnsi="Arial" w:cs="Arial"/>
                <w:sz w:val="24"/>
                <w:szCs w:val="24"/>
              </w:rPr>
              <w:t>24°-26°</w:t>
            </w:r>
          </w:p>
        </w:tc>
      </w:tr>
      <w:tr w:rsidR="00477601" w:rsidTr="00424427">
        <w:trPr>
          <w:trHeight w:val="374"/>
        </w:trPr>
        <w:tc>
          <w:tcPr>
            <w:tcW w:w="4531" w:type="dxa"/>
            <w:tcBorders>
              <w:top w:val="single" w:sz="4" w:space="0" w:color="00000A"/>
              <w:left w:val="single" w:sz="4" w:space="0" w:color="00000A"/>
              <w:bottom w:val="single" w:sz="4" w:space="0" w:color="00000A"/>
              <w:right w:val="single" w:sz="4" w:space="0" w:color="00000A"/>
            </w:tcBorders>
            <w:shd w:val="clear" w:color="auto" w:fill="auto"/>
            <w:tcMar>
              <w:left w:w="98" w:type="dxa"/>
            </w:tcMar>
            <w:vAlign w:val="center"/>
          </w:tcPr>
          <w:p w:rsidR="00477601" w:rsidRPr="00A904D7" w:rsidRDefault="00477601" w:rsidP="00424427">
            <w:pPr>
              <w:spacing w:after="0" w:line="276" w:lineRule="auto"/>
              <w:jc w:val="center"/>
              <w:rPr>
                <w:rFonts w:ascii="Arial" w:hAnsi="Arial" w:cs="Arial"/>
                <w:sz w:val="24"/>
                <w:szCs w:val="24"/>
              </w:rPr>
            </w:pPr>
            <w:r w:rsidRPr="00A904D7">
              <w:rPr>
                <w:rFonts w:ascii="Arial" w:hAnsi="Arial" w:cs="Arial"/>
                <w:sz w:val="24"/>
                <w:szCs w:val="24"/>
              </w:rPr>
              <w:t>Cálido</w:t>
            </w:r>
          </w:p>
        </w:tc>
        <w:tc>
          <w:tcPr>
            <w:tcW w:w="4530" w:type="dxa"/>
            <w:tcBorders>
              <w:top w:val="single" w:sz="4" w:space="0" w:color="00000A"/>
              <w:left w:val="single" w:sz="4" w:space="0" w:color="00000A"/>
              <w:bottom w:val="single" w:sz="4" w:space="0" w:color="00000A"/>
              <w:right w:val="single" w:sz="4" w:space="0" w:color="00000A"/>
            </w:tcBorders>
            <w:shd w:val="clear" w:color="auto" w:fill="auto"/>
            <w:tcMar>
              <w:left w:w="98" w:type="dxa"/>
            </w:tcMar>
            <w:vAlign w:val="center"/>
          </w:tcPr>
          <w:p w:rsidR="00477601" w:rsidRPr="00A904D7" w:rsidRDefault="00477601" w:rsidP="00424427">
            <w:pPr>
              <w:spacing w:after="0" w:line="276" w:lineRule="auto"/>
              <w:jc w:val="center"/>
              <w:rPr>
                <w:rFonts w:ascii="Arial" w:hAnsi="Arial" w:cs="Arial"/>
                <w:sz w:val="24"/>
                <w:szCs w:val="24"/>
              </w:rPr>
            </w:pPr>
            <w:r w:rsidRPr="00A904D7">
              <w:rPr>
                <w:rFonts w:ascii="Arial" w:hAnsi="Arial" w:cs="Arial"/>
                <w:sz w:val="24"/>
                <w:szCs w:val="24"/>
              </w:rPr>
              <w:t>17°-23°</w:t>
            </w:r>
          </w:p>
        </w:tc>
      </w:tr>
    </w:tbl>
    <w:p w:rsidR="00477601" w:rsidRPr="00D70294" w:rsidRDefault="00477601" w:rsidP="00477601">
      <w:pPr>
        <w:spacing w:before="240" w:line="360" w:lineRule="auto"/>
        <w:jc w:val="right"/>
        <w:rPr>
          <w:rFonts w:ascii="Arial" w:hAnsi="Arial" w:cs="Arial"/>
          <w:sz w:val="20"/>
          <w:szCs w:val="20"/>
        </w:rPr>
      </w:pPr>
      <w:r w:rsidRPr="00D70294">
        <w:rPr>
          <w:rFonts w:ascii="Arial" w:hAnsi="Arial" w:cs="Arial"/>
          <w:sz w:val="20"/>
          <w:szCs w:val="20"/>
        </w:rPr>
        <w:t>Fuente: Elaboración propia con datos del INDER, 2019.</w:t>
      </w:r>
    </w:p>
    <w:p w:rsidR="00477601" w:rsidRPr="00D70294" w:rsidRDefault="00477601" w:rsidP="00477601">
      <w:pPr>
        <w:spacing w:before="240" w:line="360" w:lineRule="auto"/>
        <w:jc w:val="right"/>
        <w:rPr>
          <w:rFonts w:ascii="Arial" w:hAnsi="Arial" w:cs="Arial"/>
          <w:sz w:val="20"/>
          <w:szCs w:val="20"/>
        </w:rPr>
      </w:pPr>
    </w:p>
    <w:p w:rsidR="00477601" w:rsidRDefault="00477601" w:rsidP="00477601">
      <w:pPr>
        <w:spacing w:before="240" w:line="360" w:lineRule="auto"/>
        <w:jc w:val="right"/>
        <w:rPr>
          <w:rFonts w:ascii="Arial" w:hAnsi="Arial" w:cs="Arial"/>
          <w:i/>
          <w:sz w:val="20"/>
          <w:szCs w:val="20"/>
        </w:rPr>
      </w:pPr>
    </w:p>
    <w:p w:rsidR="00477601" w:rsidRDefault="00477601" w:rsidP="00477601">
      <w:pPr>
        <w:spacing w:line="360" w:lineRule="auto"/>
        <w:jc w:val="both"/>
        <w:rPr>
          <w:rFonts w:ascii="Arial" w:hAnsi="Arial" w:cs="Arial"/>
          <w:b/>
          <w:sz w:val="24"/>
          <w:szCs w:val="24"/>
        </w:rPr>
      </w:pPr>
      <w:r>
        <w:rPr>
          <w:rFonts w:ascii="Arial" w:hAnsi="Arial" w:cs="Arial"/>
          <w:b/>
          <w:sz w:val="24"/>
          <w:szCs w:val="24"/>
        </w:rPr>
        <w:t>Actividades productivas</w:t>
      </w:r>
    </w:p>
    <w:p w:rsidR="00477601" w:rsidRDefault="00477601" w:rsidP="00477601">
      <w:pPr>
        <w:spacing w:line="360" w:lineRule="auto"/>
        <w:ind w:firstLine="360"/>
        <w:jc w:val="both"/>
        <w:rPr>
          <w:rFonts w:ascii="Arial" w:hAnsi="Arial" w:cs="Arial"/>
          <w:sz w:val="24"/>
          <w:szCs w:val="24"/>
        </w:rPr>
      </w:pPr>
      <w:r>
        <w:rPr>
          <w:rFonts w:ascii="Arial" w:hAnsi="Arial" w:cs="Arial"/>
          <w:sz w:val="24"/>
          <w:szCs w:val="24"/>
        </w:rPr>
        <w:t>En Paquera y Tambor, las actividades productivas son muy similares, según el INDER las principales en ambas comunidades son:</w:t>
      </w:r>
    </w:p>
    <w:p w:rsidR="00477601" w:rsidRDefault="00477601" w:rsidP="00477601">
      <w:pPr>
        <w:pStyle w:val="Prrafodelista"/>
        <w:numPr>
          <w:ilvl w:val="0"/>
          <w:numId w:val="20"/>
        </w:numPr>
        <w:spacing w:after="158" w:line="360" w:lineRule="auto"/>
        <w:jc w:val="both"/>
        <w:rPr>
          <w:rFonts w:ascii="Arial" w:hAnsi="Arial" w:cs="Arial"/>
          <w:sz w:val="24"/>
          <w:szCs w:val="24"/>
        </w:rPr>
      </w:pPr>
      <w:r>
        <w:rPr>
          <w:rFonts w:ascii="Arial" w:hAnsi="Arial" w:cs="Arial"/>
          <w:sz w:val="24"/>
          <w:szCs w:val="24"/>
        </w:rPr>
        <w:lastRenderedPageBreak/>
        <w:t xml:space="preserve">Ganadería de carne y de cría. </w:t>
      </w:r>
    </w:p>
    <w:p w:rsidR="00477601" w:rsidRDefault="00477601" w:rsidP="00477601">
      <w:pPr>
        <w:pStyle w:val="Prrafodelista"/>
        <w:numPr>
          <w:ilvl w:val="0"/>
          <w:numId w:val="20"/>
        </w:numPr>
        <w:spacing w:after="158" w:line="360" w:lineRule="auto"/>
        <w:jc w:val="both"/>
        <w:rPr>
          <w:rFonts w:ascii="Arial" w:hAnsi="Arial" w:cs="Arial"/>
          <w:sz w:val="24"/>
          <w:szCs w:val="24"/>
        </w:rPr>
      </w:pPr>
      <w:r>
        <w:rPr>
          <w:rFonts w:ascii="Arial" w:hAnsi="Arial" w:cs="Arial"/>
          <w:sz w:val="24"/>
          <w:szCs w:val="24"/>
        </w:rPr>
        <w:t xml:space="preserve">Agricultura de los siguientes productos: mango, guayaba, maíz, plátano, arroz y frijol. </w:t>
      </w:r>
    </w:p>
    <w:p w:rsidR="00477601" w:rsidRDefault="00477601" w:rsidP="00477601">
      <w:pPr>
        <w:pStyle w:val="Prrafodelista"/>
        <w:numPr>
          <w:ilvl w:val="0"/>
          <w:numId w:val="20"/>
        </w:numPr>
        <w:spacing w:after="158" w:line="360" w:lineRule="auto"/>
        <w:jc w:val="both"/>
        <w:rPr>
          <w:rFonts w:ascii="Arial" w:hAnsi="Arial" w:cs="Arial"/>
          <w:sz w:val="24"/>
          <w:szCs w:val="24"/>
        </w:rPr>
      </w:pPr>
      <w:r>
        <w:rPr>
          <w:rFonts w:ascii="Arial" w:hAnsi="Arial" w:cs="Arial"/>
          <w:sz w:val="24"/>
          <w:szCs w:val="24"/>
        </w:rPr>
        <w:t xml:space="preserve">Pesca. </w:t>
      </w:r>
    </w:p>
    <w:p w:rsidR="00477601" w:rsidRDefault="00477601" w:rsidP="00477601">
      <w:pPr>
        <w:pStyle w:val="Prrafodelista"/>
        <w:numPr>
          <w:ilvl w:val="0"/>
          <w:numId w:val="20"/>
        </w:numPr>
        <w:spacing w:after="158" w:line="360" w:lineRule="auto"/>
        <w:jc w:val="both"/>
        <w:rPr>
          <w:rFonts w:ascii="Arial" w:hAnsi="Arial" w:cs="Arial"/>
          <w:sz w:val="24"/>
          <w:szCs w:val="24"/>
        </w:rPr>
      </w:pPr>
      <w:r>
        <w:rPr>
          <w:rFonts w:ascii="Arial" w:hAnsi="Arial" w:cs="Arial"/>
          <w:sz w:val="24"/>
          <w:szCs w:val="24"/>
        </w:rPr>
        <w:t>Turismo.</w:t>
      </w:r>
    </w:p>
    <w:p w:rsidR="00477601" w:rsidRDefault="00477601" w:rsidP="00477601">
      <w:pPr>
        <w:spacing w:line="360" w:lineRule="auto"/>
        <w:jc w:val="both"/>
        <w:rPr>
          <w:rFonts w:ascii="Arial" w:hAnsi="Arial" w:cs="Arial"/>
          <w:b/>
          <w:sz w:val="24"/>
          <w:szCs w:val="24"/>
        </w:rPr>
      </w:pPr>
      <w:r>
        <w:rPr>
          <w:rFonts w:ascii="Arial" w:hAnsi="Arial" w:cs="Arial"/>
          <w:b/>
          <w:sz w:val="24"/>
          <w:szCs w:val="24"/>
        </w:rPr>
        <w:t>Turismo</w:t>
      </w:r>
    </w:p>
    <w:p w:rsidR="00477601" w:rsidRDefault="00477601" w:rsidP="00477601">
      <w:pPr>
        <w:spacing w:line="360" w:lineRule="auto"/>
        <w:ind w:firstLine="708"/>
        <w:jc w:val="both"/>
        <w:rPr>
          <w:rFonts w:ascii="Arial" w:hAnsi="Arial" w:cs="Arial"/>
          <w:sz w:val="24"/>
          <w:szCs w:val="24"/>
        </w:rPr>
      </w:pPr>
      <w:r>
        <w:rPr>
          <w:rFonts w:ascii="Arial" w:hAnsi="Arial" w:cs="Arial"/>
          <w:sz w:val="24"/>
          <w:szCs w:val="24"/>
        </w:rPr>
        <w:t xml:space="preserve">Como se mencionó anteriormente, el turismo es un sector que poco a poco ha ido evolucionando en estas zonas, principalmente por su atractivo y belleza escénica-natural. A continuación se muestra una tabla con las principales playas y o atractivos turísticos de estas comunidades. </w:t>
      </w:r>
    </w:p>
    <w:p w:rsidR="00477601" w:rsidRDefault="00477601" w:rsidP="00477601">
      <w:pPr>
        <w:spacing w:after="0" w:line="360" w:lineRule="auto"/>
        <w:rPr>
          <w:rFonts w:ascii="Arial" w:hAnsi="Arial" w:cs="Arial"/>
          <w:sz w:val="24"/>
          <w:szCs w:val="24"/>
        </w:rPr>
      </w:pPr>
      <w:r>
        <w:rPr>
          <w:rFonts w:ascii="Arial" w:hAnsi="Arial" w:cs="Arial"/>
          <w:sz w:val="24"/>
          <w:szCs w:val="24"/>
        </w:rPr>
        <w:t>Tabla N° 3 Principales atractivos turísticos de Paquera y Cóbano</w:t>
      </w:r>
    </w:p>
    <w:tbl>
      <w:tblPr>
        <w:tblW w:w="8872" w:type="dxa"/>
        <w:tblInd w:w="-10" w:type="dxa"/>
        <w:tblBorders>
          <w:top w:val="single" w:sz="4" w:space="0" w:color="00000A"/>
          <w:left w:val="single" w:sz="4" w:space="0" w:color="00000A"/>
          <w:bottom w:val="single" w:sz="4" w:space="0" w:color="00000A"/>
          <w:right w:val="single" w:sz="4" w:space="0" w:color="00000A"/>
          <w:insideH w:val="single" w:sz="4" w:space="0" w:color="00000A"/>
          <w:insideV w:val="single" w:sz="4" w:space="0" w:color="00000A"/>
        </w:tblBorders>
        <w:tblCellMar>
          <w:left w:w="98" w:type="dxa"/>
        </w:tblCellMar>
        <w:tblLook w:val="04A0" w:firstRow="1" w:lastRow="0" w:firstColumn="1" w:lastColumn="0" w:noHBand="0" w:noVBand="1"/>
      </w:tblPr>
      <w:tblGrid>
        <w:gridCol w:w="2263"/>
        <w:gridCol w:w="6609"/>
      </w:tblGrid>
      <w:tr w:rsidR="00477601" w:rsidTr="00424427">
        <w:trPr>
          <w:trHeight w:val="481"/>
        </w:trPr>
        <w:tc>
          <w:tcPr>
            <w:tcW w:w="2263" w:type="dxa"/>
            <w:tcBorders>
              <w:top w:val="single" w:sz="4" w:space="0" w:color="00000A"/>
              <w:left w:val="single" w:sz="4" w:space="0" w:color="00000A"/>
              <w:bottom w:val="single" w:sz="4" w:space="0" w:color="00000A"/>
              <w:right w:val="single" w:sz="4" w:space="0" w:color="00000A"/>
            </w:tcBorders>
            <w:shd w:val="clear" w:color="auto" w:fill="D6E3BC"/>
            <w:tcMar>
              <w:left w:w="98" w:type="dxa"/>
            </w:tcMar>
            <w:vAlign w:val="center"/>
          </w:tcPr>
          <w:p w:rsidR="00477601" w:rsidRPr="00D70294" w:rsidRDefault="00477601" w:rsidP="00424427">
            <w:pPr>
              <w:spacing w:after="0" w:line="276" w:lineRule="auto"/>
              <w:jc w:val="center"/>
              <w:rPr>
                <w:rFonts w:ascii="Arial" w:hAnsi="Arial" w:cs="Arial"/>
                <w:b/>
                <w:sz w:val="24"/>
                <w:szCs w:val="24"/>
              </w:rPr>
            </w:pPr>
            <w:r w:rsidRPr="00D70294">
              <w:rPr>
                <w:rFonts w:ascii="Arial" w:hAnsi="Arial" w:cs="Arial"/>
                <w:b/>
                <w:sz w:val="24"/>
                <w:szCs w:val="24"/>
              </w:rPr>
              <w:t>Distrito</w:t>
            </w:r>
          </w:p>
        </w:tc>
        <w:tc>
          <w:tcPr>
            <w:tcW w:w="6608" w:type="dxa"/>
            <w:tcBorders>
              <w:top w:val="single" w:sz="4" w:space="0" w:color="00000A"/>
              <w:left w:val="single" w:sz="4" w:space="0" w:color="00000A"/>
              <w:bottom w:val="single" w:sz="4" w:space="0" w:color="00000A"/>
              <w:right w:val="single" w:sz="4" w:space="0" w:color="00000A"/>
            </w:tcBorders>
            <w:shd w:val="clear" w:color="auto" w:fill="D6E3BC"/>
            <w:tcMar>
              <w:left w:w="98" w:type="dxa"/>
            </w:tcMar>
            <w:vAlign w:val="center"/>
          </w:tcPr>
          <w:p w:rsidR="00477601" w:rsidRPr="00D70294" w:rsidRDefault="00477601" w:rsidP="00424427">
            <w:pPr>
              <w:spacing w:after="0" w:line="276" w:lineRule="auto"/>
              <w:jc w:val="center"/>
              <w:rPr>
                <w:rFonts w:ascii="Arial" w:hAnsi="Arial" w:cs="Arial"/>
                <w:b/>
                <w:sz w:val="24"/>
                <w:szCs w:val="24"/>
              </w:rPr>
            </w:pPr>
            <w:r w:rsidRPr="00D70294">
              <w:rPr>
                <w:rFonts w:ascii="Arial" w:hAnsi="Arial" w:cs="Arial"/>
                <w:b/>
                <w:sz w:val="24"/>
                <w:szCs w:val="24"/>
              </w:rPr>
              <w:t>Principales atractivos turísticos</w:t>
            </w:r>
          </w:p>
        </w:tc>
      </w:tr>
      <w:tr w:rsidR="00477601" w:rsidTr="00424427">
        <w:trPr>
          <w:trHeight w:val="2671"/>
        </w:trPr>
        <w:tc>
          <w:tcPr>
            <w:tcW w:w="2263" w:type="dxa"/>
            <w:tcBorders>
              <w:top w:val="single" w:sz="4" w:space="0" w:color="00000A"/>
              <w:left w:val="single" w:sz="4" w:space="0" w:color="00000A"/>
              <w:bottom w:val="single" w:sz="4" w:space="0" w:color="00000A"/>
              <w:right w:val="single" w:sz="4" w:space="0" w:color="00000A"/>
            </w:tcBorders>
            <w:shd w:val="clear" w:color="auto" w:fill="auto"/>
            <w:tcMar>
              <w:left w:w="98" w:type="dxa"/>
            </w:tcMar>
            <w:vAlign w:val="center"/>
          </w:tcPr>
          <w:p w:rsidR="00477601" w:rsidRPr="00D70294" w:rsidRDefault="00477601" w:rsidP="00424427">
            <w:pPr>
              <w:spacing w:after="0" w:line="276" w:lineRule="auto"/>
              <w:jc w:val="center"/>
              <w:rPr>
                <w:rFonts w:ascii="Arial" w:hAnsi="Arial" w:cs="Arial"/>
                <w:sz w:val="24"/>
                <w:szCs w:val="24"/>
              </w:rPr>
            </w:pPr>
            <w:r w:rsidRPr="00D70294">
              <w:rPr>
                <w:rFonts w:ascii="Arial" w:hAnsi="Arial" w:cs="Arial"/>
                <w:sz w:val="24"/>
                <w:szCs w:val="24"/>
              </w:rPr>
              <w:t>Paquera</w:t>
            </w:r>
          </w:p>
        </w:tc>
        <w:tc>
          <w:tcPr>
            <w:tcW w:w="6608" w:type="dxa"/>
            <w:tcBorders>
              <w:top w:val="single" w:sz="4" w:space="0" w:color="00000A"/>
              <w:left w:val="single" w:sz="4" w:space="0" w:color="00000A"/>
              <w:bottom w:val="single" w:sz="4" w:space="0" w:color="00000A"/>
              <w:right w:val="single" w:sz="4" w:space="0" w:color="00000A"/>
            </w:tcBorders>
            <w:shd w:val="clear" w:color="auto" w:fill="auto"/>
            <w:tcMar>
              <w:left w:w="98" w:type="dxa"/>
            </w:tcMar>
            <w:vAlign w:val="center"/>
          </w:tcPr>
          <w:p w:rsidR="00477601" w:rsidRPr="00D70294" w:rsidRDefault="00477601" w:rsidP="00424427">
            <w:pPr>
              <w:spacing w:after="0" w:line="276" w:lineRule="auto"/>
              <w:rPr>
                <w:rFonts w:ascii="Arial" w:hAnsi="Arial" w:cs="Arial"/>
                <w:sz w:val="24"/>
                <w:szCs w:val="24"/>
              </w:rPr>
            </w:pPr>
            <w:r w:rsidRPr="00D70294">
              <w:rPr>
                <w:rFonts w:ascii="Arial" w:hAnsi="Arial" w:cs="Arial"/>
                <w:sz w:val="24"/>
                <w:szCs w:val="24"/>
              </w:rPr>
              <w:t>Refugio Nacional de Vida Silvestre Curú.</w:t>
            </w:r>
          </w:p>
          <w:p w:rsidR="00477601" w:rsidRPr="00D70294" w:rsidRDefault="00477601" w:rsidP="00424427">
            <w:pPr>
              <w:spacing w:after="0" w:line="276" w:lineRule="auto"/>
              <w:rPr>
                <w:rFonts w:ascii="Arial" w:hAnsi="Arial" w:cs="Arial"/>
                <w:sz w:val="24"/>
                <w:szCs w:val="24"/>
              </w:rPr>
            </w:pPr>
            <w:r w:rsidRPr="00D70294">
              <w:rPr>
                <w:rFonts w:ascii="Arial" w:hAnsi="Arial" w:cs="Arial"/>
                <w:sz w:val="24"/>
                <w:szCs w:val="24"/>
              </w:rPr>
              <w:t xml:space="preserve">Reserva Biológica de las islas Guayabo, Negritos y de los Pájaros. </w:t>
            </w:r>
          </w:p>
          <w:p w:rsidR="00477601" w:rsidRPr="00D70294" w:rsidRDefault="00477601" w:rsidP="00424427">
            <w:pPr>
              <w:spacing w:after="0" w:line="276" w:lineRule="auto"/>
              <w:rPr>
                <w:rFonts w:ascii="Arial" w:hAnsi="Arial" w:cs="Arial"/>
                <w:sz w:val="24"/>
                <w:szCs w:val="24"/>
              </w:rPr>
            </w:pPr>
            <w:r w:rsidRPr="00D70294">
              <w:rPr>
                <w:rFonts w:ascii="Arial" w:hAnsi="Arial" w:cs="Arial"/>
                <w:sz w:val="24"/>
                <w:szCs w:val="24"/>
              </w:rPr>
              <w:t>Bahía grande.</w:t>
            </w:r>
          </w:p>
          <w:p w:rsidR="00477601" w:rsidRPr="00D70294" w:rsidRDefault="00477601" w:rsidP="00424427">
            <w:pPr>
              <w:spacing w:after="0" w:line="276" w:lineRule="auto"/>
              <w:rPr>
                <w:rFonts w:ascii="Arial" w:hAnsi="Arial" w:cs="Arial"/>
                <w:sz w:val="24"/>
                <w:szCs w:val="24"/>
              </w:rPr>
            </w:pPr>
            <w:r w:rsidRPr="00D70294">
              <w:rPr>
                <w:rFonts w:ascii="Arial" w:hAnsi="Arial" w:cs="Arial"/>
                <w:sz w:val="24"/>
                <w:szCs w:val="24"/>
              </w:rPr>
              <w:t>Playa Blanca.</w:t>
            </w:r>
          </w:p>
          <w:p w:rsidR="00477601" w:rsidRPr="00D70294" w:rsidRDefault="00477601" w:rsidP="00424427">
            <w:pPr>
              <w:spacing w:after="0" w:line="276" w:lineRule="auto"/>
              <w:rPr>
                <w:rFonts w:ascii="Arial" w:hAnsi="Arial" w:cs="Arial"/>
                <w:sz w:val="24"/>
                <w:szCs w:val="24"/>
              </w:rPr>
            </w:pPr>
            <w:r w:rsidRPr="00D70294">
              <w:rPr>
                <w:rFonts w:ascii="Arial" w:hAnsi="Arial" w:cs="Arial"/>
                <w:sz w:val="24"/>
                <w:szCs w:val="24"/>
              </w:rPr>
              <w:t>Isla Tortuga.</w:t>
            </w:r>
          </w:p>
          <w:p w:rsidR="00477601" w:rsidRPr="00D70294" w:rsidRDefault="00477601" w:rsidP="00424427">
            <w:pPr>
              <w:spacing w:after="0" w:line="276" w:lineRule="auto"/>
              <w:rPr>
                <w:rFonts w:ascii="Arial" w:hAnsi="Arial" w:cs="Arial"/>
                <w:sz w:val="24"/>
                <w:szCs w:val="24"/>
              </w:rPr>
            </w:pPr>
            <w:r w:rsidRPr="00D70294">
              <w:rPr>
                <w:rFonts w:ascii="Arial" w:hAnsi="Arial" w:cs="Arial"/>
                <w:sz w:val="24"/>
                <w:szCs w:val="24"/>
              </w:rPr>
              <w:t>Playa Órganos.</w:t>
            </w:r>
          </w:p>
          <w:p w:rsidR="00477601" w:rsidRPr="00D70294" w:rsidRDefault="00477601" w:rsidP="00424427">
            <w:pPr>
              <w:spacing w:after="0" w:line="276" w:lineRule="auto"/>
              <w:rPr>
                <w:rFonts w:ascii="Arial" w:hAnsi="Arial" w:cs="Arial"/>
                <w:sz w:val="24"/>
                <w:szCs w:val="24"/>
              </w:rPr>
            </w:pPr>
            <w:r w:rsidRPr="00D70294">
              <w:rPr>
                <w:rFonts w:ascii="Arial" w:hAnsi="Arial" w:cs="Arial"/>
                <w:sz w:val="24"/>
                <w:szCs w:val="24"/>
              </w:rPr>
              <w:t>Playa Pochote.</w:t>
            </w:r>
          </w:p>
          <w:p w:rsidR="00477601" w:rsidRPr="00D70294" w:rsidRDefault="00477601" w:rsidP="00424427">
            <w:pPr>
              <w:spacing w:after="0" w:line="276" w:lineRule="auto"/>
              <w:rPr>
                <w:rFonts w:ascii="Arial" w:hAnsi="Arial" w:cs="Arial"/>
                <w:sz w:val="24"/>
                <w:szCs w:val="24"/>
              </w:rPr>
            </w:pPr>
            <w:r w:rsidRPr="00D70294">
              <w:rPr>
                <w:rFonts w:ascii="Arial" w:hAnsi="Arial" w:cs="Arial"/>
                <w:sz w:val="24"/>
                <w:szCs w:val="24"/>
              </w:rPr>
              <w:t>Playa Pájaros.</w:t>
            </w:r>
          </w:p>
        </w:tc>
      </w:tr>
      <w:tr w:rsidR="00477601" w:rsidTr="00424427">
        <w:trPr>
          <w:trHeight w:val="1811"/>
        </w:trPr>
        <w:tc>
          <w:tcPr>
            <w:tcW w:w="2263" w:type="dxa"/>
            <w:tcBorders>
              <w:top w:val="single" w:sz="4" w:space="0" w:color="00000A"/>
              <w:left w:val="single" w:sz="4" w:space="0" w:color="00000A"/>
              <w:bottom w:val="single" w:sz="4" w:space="0" w:color="00000A"/>
              <w:right w:val="single" w:sz="4" w:space="0" w:color="00000A"/>
            </w:tcBorders>
            <w:shd w:val="clear" w:color="auto" w:fill="auto"/>
            <w:tcMar>
              <w:left w:w="98" w:type="dxa"/>
            </w:tcMar>
            <w:vAlign w:val="center"/>
          </w:tcPr>
          <w:p w:rsidR="00477601" w:rsidRPr="00D70294" w:rsidRDefault="00477601" w:rsidP="00424427">
            <w:pPr>
              <w:spacing w:after="0" w:line="276" w:lineRule="auto"/>
              <w:jc w:val="center"/>
              <w:rPr>
                <w:rFonts w:ascii="Arial" w:hAnsi="Arial" w:cs="Arial"/>
                <w:sz w:val="24"/>
                <w:szCs w:val="24"/>
              </w:rPr>
            </w:pPr>
            <w:r w:rsidRPr="00D70294">
              <w:rPr>
                <w:rFonts w:ascii="Arial" w:hAnsi="Arial" w:cs="Arial"/>
                <w:sz w:val="24"/>
                <w:szCs w:val="24"/>
              </w:rPr>
              <w:t>Cóbano</w:t>
            </w:r>
          </w:p>
        </w:tc>
        <w:tc>
          <w:tcPr>
            <w:tcW w:w="6608" w:type="dxa"/>
            <w:tcBorders>
              <w:top w:val="single" w:sz="4" w:space="0" w:color="00000A"/>
              <w:left w:val="single" w:sz="4" w:space="0" w:color="00000A"/>
              <w:bottom w:val="single" w:sz="4" w:space="0" w:color="00000A"/>
              <w:right w:val="single" w:sz="4" w:space="0" w:color="00000A"/>
            </w:tcBorders>
            <w:shd w:val="clear" w:color="auto" w:fill="auto"/>
            <w:tcMar>
              <w:left w:w="98" w:type="dxa"/>
            </w:tcMar>
            <w:vAlign w:val="center"/>
          </w:tcPr>
          <w:p w:rsidR="00477601" w:rsidRPr="00D70294" w:rsidRDefault="00477601" w:rsidP="00424427">
            <w:pPr>
              <w:spacing w:after="0" w:line="276" w:lineRule="auto"/>
              <w:rPr>
                <w:rFonts w:ascii="Arial" w:hAnsi="Arial" w:cs="Arial"/>
                <w:sz w:val="24"/>
                <w:szCs w:val="24"/>
              </w:rPr>
            </w:pPr>
            <w:r w:rsidRPr="00D70294">
              <w:rPr>
                <w:rFonts w:ascii="Arial" w:hAnsi="Arial" w:cs="Arial"/>
                <w:sz w:val="24"/>
                <w:szCs w:val="24"/>
              </w:rPr>
              <w:t>Reserva Natural Absoluta Cabo Blanco.</w:t>
            </w:r>
          </w:p>
          <w:p w:rsidR="00477601" w:rsidRPr="00D70294" w:rsidRDefault="00477601" w:rsidP="00424427">
            <w:pPr>
              <w:spacing w:after="0" w:line="276" w:lineRule="auto"/>
              <w:rPr>
                <w:rFonts w:ascii="Arial" w:hAnsi="Arial" w:cs="Arial"/>
                <w:sz w:val="24"/>
                <w:szCs w:val="24"/>
              </w:rPr>
            </w:pPr>
            <w:r w:rsidRPr="00D70294">
              <w:rPr>
                <w:rFonts w:ascii="Arial" w:hAnsi="Arial" w:cs="Arial"/>
                <w:sz w:val="24"/>
                <w:szCs w:val="24"/>
              </w:rPr>
              <w:t>Playa El Carmen.</w:t>
            </w:r>
          </w:p>
          <w:p w:rsidR="00477601" w:rsidRPr="00D70294" w:rsidRDefault="00477601" w:rsidP="00424427">
            <w:pPr>
              <w:spacing w:after="0" w:line="276" w:lineRule="auto"/>
              <w:rPr>
                <w:rFonts w:ascii="Arial" w:hAnsi="Arial" w:cs="Arial"/>
                <w:sz w:val="24"/>
                <w:szCs w:val="24"/>
              </w:rPr>
            </w:pPr>
            <w:r w:rsidRPr="00D70294">
              <w:rPr>
                <w:rFonts w:ascii="Arial" w:hAnsi="Arial" w:cs="Arial"/>
                <w:sz w:val="24"/>
                <w:szCs w:val="24"/>
              </w:rPr>
              <w:t>Playa Montezuma.</w:t>
            </w:r>
          </w:p>
          <w:p w:rsidR="00477601" w:rsidRPr="00D70294" w:rsidRDefault="00477601" w:rsidP="00424427">
            <w:pPr>
              <w:spacing w:after="0" w:line="276" w:lineRule="auto"/>
              <w:rPr>
                <w:rFonts w:ascii="Arial" w:hAnsi="Arial" w:cs="Arial"/>
                <w:sz w:val="24"/>
                <w:szCs w:val="24"/>
              </w:rPr>
            </w:pPr>
            <w:r w:rsidRPr="00D70294">
              <w:rPr>
                <w:rFonts w:ascii="Arial" w:hAnsi="Arial" w:cs="Arial"/>
                <w:sz w:val="24"/>
                <w:szCs w:val="24"/>
              </w:rPr>
              <w:t>Playa Cabuya.</w:t>
            </w:r>
          </w:p>
          <w:p w:rsidR="00477601" w:rsidRPr="00D70294" w:rsidRDefault="00477601" w:rsidP="00424427">
            <w:pPr>
              <w:spacing w:after="0" w:line="276" w:lineRule="auto"/>
              <w:rPr>
                <w:rFonts w:ascii="Arial" w:hAnsi="Arial" w:cs="Arial"/>
                <w:sz w:val="24"/>
                <w:szCs w:val="24"/>
              </w:rPr>
            </w:pPr>
            <w:r w:rsidRPr="00D70294">
              <w:rPr>
                <w:rFonts w:ascii="Arial" w:hAnsi="Arial" w:cs="Arial"/>
                <w:sz w:val="24"/>
                <w:szCs w:val="24"/>
              </w:rPr>
              <w:t>Playa Mal País.</w:t>
            </w:r>
          </w:p>
          <w:p w:rsidR="00477601" w:rsidRPr="00D70294" w:rsidRDefault="00477601" w:rsidP="00424427">
            <w:pPr>
              <w:spacing w:after="0" w:line="276" w:lineRule="auto"/>
              <w:rPr>
                <w:rFonts w:ascii="Arial" w:hAnsi="Arial" w:cs="Arial"/>
                <w:sz w:val="24"/>
                <w:szCs w:val="24"/>
              </w:rPr>
            </w:pPr>
            <w:r w:rsidRPr="00D70294">
              <w:rPr>
                <w:rFonts w:ascii="Arial" w:hAnsi="Arial" w:cs="Arial"/>
                <w:sz w:val="24"/>
                <w:szCs w:val="24"/>
              </w:rPr>
              <w:t>Cascadas de Montezuma.</w:t>
            </w:r>
          </w:p>
        </w:tc>
      </w:tr>
    </w:tbl>
    <w:p w:rsidR="00477601" w:rsidRDefault="00477601" w:rsidP="00477601">
      <w:pPr>
        <w:spacing w:before="240" w:line="360" w:lineRule="auto"/>
        <w:jc w:val="right"/>
        <w:rPr>
          <w:rFonts w:ascii="Arial" w:hAnsi="Arial" w:cs="Arial"/>
          <w:sz w:val="20"/>
          <w:szCs w:val="20"/>
        </w:rPr>
      </w:pPr>
      <w:r>
        <w:rPr>
          <w:rFonts w:ascii="Arial" w:hAnsi="Arial" w:cs="Arial"/>
          <w:sz w:val="20"/>
          <w:szCs w:val="20"/>
        </w:rPr>
        <w:t>Fuente: Elaboración propia con datos del INDER, 2019.</w:t>
      </w:r>
    </w:p>
    <w:p w:rsidR="00477601" w:rsidRDefault="00477601" w:rsidP="00477601">
      <w:pPr>
        <w:spacing w:before="240" w:line="360" w:lineRule="auto"/>
        <w:jc w:val="right"/>
        <w:rPr>
          <w:rFonts w:ascii="Arial" w:hAnsi="Arial" w:cs="Arial"/>
          <w:sz w:val="20"/>
          <w:szCs w:val="20"/>
        </w:rPr>
      </w:pPr>
    </w:p>
    <w:p w:rsidR="00477601" w:rsidRDefault="00477601" w:rsidP="00477601">
      <w:pPr>
        <w:spacing w:line="360" w:lineRule="auto"/>
        <w:jc w:val="both"/>
        <w:rPr>
          <w:rFonts w:ascii="Arial" w:hAnsi="Arial" w:cs="Arial"/>
          <w:b/>
          <w:sz w:val="24"/>
          <w:szCs w:val="24"/>
        </w:rPr>
      </w:pPr>
      <w:r>
        <w:rPr>
          <w:rFonts w:ascii="Arial" w:hAnsi="Arial" w:cs="Arial"/>
          <w:b/>
          <w:sz w:val="24"/>
          <w:szCs w:val="24"/>
        </w:rPr>
        <w:t xml:space="preserve">Dimensión Social </w:t>
      </w:r>
    </w:p>
    <w:p w:rsidR="00477601" w:rsidRDefault="00477601" w:rsidP="00477601">
      <w:pPr>
        <w:spacing w:line="360" w:lineRule="auto"/>
        <w:ind w:firstLine="708"/>
        <w:jc w:val="both"/>
        <w:rPr>
          <w:rFonts w:ascii="Arial" w:hAnsi="Arial" w:cs="Arial"/>
          <w:sz w:val="24"/>
          <w:szCs w:val="24"/>
        </w:rPr>
      </w:pPr>
      <w:r>
        <w:rPr>
          <w:rFonts w:ascii="Arial" w:hAnsi="Arial" w:cs="Arial"/>
          <w:sz w:val="24"/>
          <w:szCs w:val="24"/>
        </w:rPr>
        <w:t xml:space="preserve">Para medir el desarrollo social de las comunidades de Paquera y Tambor, se utilizará el Índice de Desarrollo Social creado por el MIDEPLAN en el año 2017, el </w:t>
      </w:r>
      <w:r>
        <w:rPr>
          <w:rFonts w:ascii="Arial" w:hAnsi="Arial" w:cs="Arial"/>
          <w:sz w:val="24"/>
          <w:szCs w:val="24"/>
        </w:rPr>
        <w:lastRenderedPageBreak/>
        <w:t xml:space="preserve">cual tiene como objetivo ordenar los 483 distritos de Costa Rica según su nivel de desarrollo social, principalmente en las categorías de economía, participación social, salud, educativa y seguridad (MIDEPLAN, 2017). Seguidamente se presentan los datos de ambos distritos: </w:t>
      </w:r>
    </w:p>
    <w:p w:rsidR="00477601" w:rsidRDefault="00477601" w:rsidP="00477601">
      <w:pPr>
        <w:spacing w:after="0" w:line="360" w:lineRule="auto"/>
        <w:rPr>
          <w:rFonts w:ascii="Arial" w:hAnsi="Arial" w:cs="Arial"/>
          <w:sz w:val="24"/>
          <w:szCs w:val="24"/>
        </w:rPr>
      </w:pPr>
      <w:r>
        <w:rPr>
          <w:rFonts w:ascii="Arial" w:hAnsi="Arial" w:cs="Arial"/>
          <w:sz w:val="24"/>
          <w:szCs w:val="24"/>
        </w:rPr>
        <w:t>Tabla N° 4 Índice de Desarrollo Social de Paquera y Cóbano</w:t>
      </w:r>
    </w:p>
    <w:tbl>
      <w:tblPr>
        <w:tblW w:w="8828" w:type="dxa"/>
        <w:tblInd w:w="-10" w:type="dxa"/>
        <w:tblBorders>
          <w:top w:val="single" w:sz="4" w:space="0" w:color="00000A"/>
          <w:left w:val="single" w:sz="4" w:space="0" w:color="00000A"/>
          <w:bottom w:val="single" w:sz="4" w:space="0" w:color="00000A"/>
          <w:right w:val="single" w:sz="4" w:space="0" w:color="00000A"/>
          <w:insideH w:val="single" w:sz="4" w:space="0" w:color="00000A"/>
          <w:insideV w:val="single" w:sz="4" w:space="0" w:color="00000A"/>
        </w:tblBorders>
        <w:tblCellMar>
          <w:left w:w="98" w:type="dxa"/>
        </w:tblCellMar>
        <w:tblLook w:val="04A0" w:firstRow="1" w:lastRow="0" w:firstColumn="1" w:lastColumn="0" w:noHBand="0" w:noVBand="1"/>
      </w:tblPr>
      <w:tblGrid>
        <w:gridCol w:w="2942"/>
        <w:gridCol w:w="2943"/>
        <w:gridCol w:w="2943"/>
      </w:tblGrid>
      <w:tr w:rsidR="00477601" w:rsidTr="00424427">
        <w:tc>
          <w:tcPr>
            <w:tcW w:w="2942" w:type="dxa"/>
            <w:tcBorders>
              <w:top w:val="single" w:sz="4" w:space="0" w:color="00000A"/>
              <w:left w:val="single" w:sz="4" w:space="0" w:color="00000A"/>
              <w:bottom w:val="single" w:sz="4" w:space="0" w:color="00000A"/>
              <w:right w:val="single" w:sz="4" w:space="0" w:color="00000A"/>
            </w:tcBorders>
            <w:shd w:val="clear" w:color="auto" w:fill="D6E3BC"/>
            <w:tcMar>
              <w:left w:w="98" w:type="dxa"/>
            </w:tcMar>
            <w:vAlign w:val="center"/>
          </w:tcPr>
          <w:p w:rsidR="00477601" w:rsidRPr="00D70294" w:rsidRDefault="00477601" w:rsidP="00424427">
            <w:pPr>
              <w:spacing w:after="0" w:line="276" w:lineRule="auto"/>
              <w:jc w:val="center"/>
              <w:rPr>
                <w:rFonts w:ascii="Arial" w:hAnsi="Arial" w:cs="Arial"/>
                <w:b/>
                <w:sz w:val="24"/>
                <w:szCs w:val="24"/>
              </w:rPr>
            </w:pPr>
            <w:r w:rsidRPr="00D70294">
              <w:rPr>
                <w:rFonts w:ascii="Arial" w:hAnsi="Arial" w:cs="Arial"/>
                <w:b/>
                <w:sz w:val="24"/>
                <w:szCs w:val="24"/>
              </w:rPr>
              <w:t>Distrito</w:t>
            </w:r>
          </w:p>
        </w:tc>
        <w:tc>
          <w:tcPr>
            <w:tcW w:w="2943" w:type="dxa"/>
            <w:tcBorders>
              <w:top w:val="single" w:sz="4" w:space="0" w:color="00000A"/>
              <w:left w:val="single" w:sz="4" w:space="0" w:color="00000A"/>
              <w:bottom w:val="single" w:sz="4" w:space="0" w:color="00000A"/>
              <w:right w:val="single" w:sz="4" w:space="0" w:color="00000A"/>
            </w:tcBorders>
            <w:shd w:val="clear" w:color="auto" w:fill="D6E3BC"/>
            <w:tcMar>
              <w:left w:w="98" w:type="dxa"/>
            </w:tcMar>
            <w:vAlign w:val="center"/>
          </w:tcPr>
          <w:p w:rsidR="00477601" w:rsidRPr="00D70294" w:rsidRDefault="00477601" w:rsidP="00424427">
            <w:pPr>
              <w:spacing w:after="0" w:line="276" w:lineRule="auto"/>
              <w:jc w:val="center"/>
              <w:rPr>
                <w:rFonts w:ascii="Arial" w:hAnsi="Arial" w:cs="Arial"/>
                <w:b/>
                <w:sz w:val="24"/>
                <w:szCs w:val="24"/>
              </w:rPr>
            </w:pPr>
            <w:r w:rsidRPr="00D70294">
              <w:rPr>
                <w:rFonts w:ascii="Arial" w:hAnsi="Arial" w:cs="Arial"/>
                <w:b/>
                <w:sz w:val="24"/>
                <w:szCs w:val="24"/>
              </w:rPr>
              <w:t>Puntación</w:t>
            </w:r>
          </w:p>
        </w:tc>
        <w:tc>
          <w:tcPr>
            <w:tcW w:w="2943" w:type="dxa"/>
            <w:tcBorders>
              <w:top w:val="single" w:sz="4" w:space="0" w:color="00000A"/>
              <w:left w:val="single" w:sz="4" w:space="0" w:color="00000A"/>
              <w:bottom w:val="single" w:sz="4" w:space="0" w:color="00000A"/>
              <w:right w:val="single" w:sz="4" w:space="0" w:color="00000A"/>
            </w:tcBorders>
            <w:shd w:val="clear" w:color="auto" w:fill="D6E3BC"/>
            <w:tcMar>
              <w:left w:w="98" w:type="dxa"/>
            </w:tcMar>
            <w:vAlign w:val="center"/>
          </w:tcPr>
          <w:p w:rsidR="00477601" w:rsidRPr="00D70294" w:rsidRDefault="00477601" w:rsidP="00424427">
            <w:pPr>
              <w:spacing w:after="0" w:line="276" w:lineRule="auto"/>
              <w:jc w:val="center"/>
              <w:rPr>
                <w:rFonts w:ascii="Arial" w:hAnsi="Arial" w:cs="Arial"/>
                <w:b/>
                <w:sz w:val="24"/>
                <w:szCs w:val="24"/>
              </w:rPr>
            </w:pPr>
            <w:r w:rsidRPr="00D70294">
              <w:rPr>
                <w:rFonts w:ascii="Arial" w:hAnsi="Arial" w:cs="Arial"/>
                <w:b/>
                <w:sz w:val="24"/>
                <w:szCs w:val="24"/>
              </w:rPr>
              <w:t>Posición</w:t>
            </w:r>
          </w:p>
        </w:tc>
      </w:tr>
      <w:tr w:rsidR="00477601" w:rsidTr="00424427">
        <w:trPr>
          <w:trHeight w:val="320"/>
        </w:trPr>
        <w:tc>
          <w:tcPr>
            <w:tcW w:w="2942" w:type="dxa"/>
            <w:tcBorders>
              <w:top w:val="single" w:sz="4" w:space="0" w:color="00000A"/>
              <w:left w:val="single" w:sz="4" w:space="0" w:color="00000A"/>
              <w:bottom w:val="single" w:sz="4" w:space="0" w:color="00000A"/>
              <w:right w:val="single" w:sz="4" w:space="0" w:color="00000A"/>
            </w:tcBorders>
            <w:shd w:val="clear" w:color="auto" w:fill="auto"/>
            <w:tcMar>
              <w:left w:w="98" w:type="dxa"/>
            </w:tcMar>
            <w:vAlign w:val="center"/>
          </w:tcPr>
          <w:p w:rsidR="00477601" w:rsidRPr="00D70294" w:rsidRDefault="00477601" w:rsidP="00424427">
            <w:pPr>
              <w:spacing w:after="0" w:line="276" w:lineRule="auto"/>
              <w:jc w:val="center"/>
              <w:rPr>
                <w:rFonts w:ascii="Arial" w:hAnsi="Arial" w:cs="Arial"/>
                <w:sz w:val="24"/>
                <w:szCs w:val="24"/>
              </w:rPr>
            </w:pPr>
            <w:r w:rsidRPr="00D70294">
              <w:rPr>
                <w:rFonts w:ascii="Arial" w:hAnsi="Arial" w:cs="Arial"/>
                <w:sz w:val="24"/>
                <w:szCs w:val="24"/>
              </w:rPr>
              <w:t>Cóbano</w:t>
            </w:r>
          </w:p>
        </w:tc>
        <w:tc>
          <w:tcPr>
            <w:tcW w:w="2943" w:type="dxa"/>
            <w:tcBorders>
              <w:top w:val="single" w:sz="4" w:space="0" w:color="00000A"/>
              <w:left w:val="single" w:sz="4" w:space="0" w:color="00000A"/>
              <w:bottom w:val="single" w:sz="4" w:space="0" w:color="00000A"/>
              <w:right w:val="single" w:sz="4" w:space="0" w:color="00000A"/>
            </w:tcBorders>
            <w:shd w:val="clear" w:color="auto" w:fill="auto"/>
            <w:tcMar>
              <w:left w:w="98" w:type="dxa"/>
            </w:tcMar>
            <w:vAlign w:val="center"/>
          </w:tcPr>
          <w:p w:rsidR="00477601" w:rsidRPr="00D70294" w:rsidRDefault="00477601" w:rsidP="00424427">
            <w:pPr>
              <w:spacing w:after="0" w:line="276" w:lineRule="auto"/>
              <w:jc w:val="center"/>
              <w:rPr>
                <w:rFonts w:ascii="Arial" w:hAnsi="Arial" w:cs="Arial"/>
                <w:sz w:val="24"/>
                <w:szCs w:val="24"/>
              </w:rPr>
            </w:pPr>
            <w:r w:rsidRPr="00D70294">
              <w:rPr>
                <w:rFonts w:ascii="Arial" w:hAnsi="Arial" w:cs="Arial"/>
                <w:sz w:val="24"/>
                <w:szCs w:val="24"/>
              </w:rPr>
              <w:t>56.26</w:t>
            </w:r>
          </w:p>
        </w:tc>
        <w:tc>
          <w:tcPr>
            <w:tcW w:w="2943" w:type="dxa"/>
            <w:tcBorders>
              <w:top w:val="single" w:sz="4" w:space="0" w:color="00000A"/>
              <w:left w:val="single" w:sz="4" w:space="0" w:color="00000A"/>
              <w:bottom w:val="single" w:sz="4" w:space="0" w:color="00000A"/>
              <w:right w:val="single" w:sz="4" w:space="0" w:color="00000A"/>
            </w:tcBorders>
            <w:shd w:val="clear" w:color="auto" w:fill="auto"/>
            <w:tcMar>
              <w:left w:w="98" w:type="dxa"/>
            </w:tcMar>
            <w:vAlign w:val="center"/>
          </w:tcPr>
          <w:p w:rsidR="00477601" w:rsidRPr="00D70294" w:rsidRDefault="00477601" w:rsidP="00424427">
            <w:pPr>
              <w:spacing w:after="0" w:line="276" w:lineRule="auto"/>
              <w:jc w:val="center"/>
              <w:rPr>
                <w:rFonts w:ascii="Arial" w:hAnsi="Arial" w:cs="Arial"/>
                <w:sz w:val="24"/>
                <w:szCs w:val="24"/>
              </w:rPr>
            </w:pPr>
            <w:r w:rsidRPr="00D70294">
              <w:rPr>
                <w:rFonts w:ascii="Arial" w:hAnsi="Arial" w:cs="Arial"/>
                <w:sz w:val="24"/>
                <w:szCs w:val="24"/>
              </w:rPr>
              <w:t>313</w:t>
            </w:r>
          </w:p>
        </w:tc>
      </w:tr>
      <w:tr w:rsidR="00477601" w:rsidTr="00424427">
        <w:tc>
          <w:tcPr>
            <w:tcW w:w="2942" w:type="dxa"/>
            <w:tcBorders>
              <w:top w:val="single" w:sz="4" w:space="0" w:color="00000A"/>
              <w:left w:val="single" w:sz="4" w:space="0" w:color="00000A"/>
              <w:bottom w:val="single" w:sz="4" w:space="0" w:color="00000A"/>
              <w:right w:val="single" w:sz="4" w:space="0" w:color="00000A"/>
            </w:tcBorders>
            <w:shd w:val="clear" w:color="auto" w:fill="auto"/>
            <w:tcMar>
              <w:left w:w="98" w:type="dxa"/>
            </w:tcMar>
            <w:vAlign w:val="center"/>
          </w:tcPr>
          <w:p w:rsidR="00477601" w:rsidRPr="00D70294" w:rsidRDefault="00477601" w:rsidP="00424427">
            <w:pPr>
              <w:spacing w:after="0" w:line="276" w:lineRule="auto"/>
              <w:jc w:val="center"/>
              <w:rPr>
                <w:rFonts w:ascii="Arial" w:hAnsi="Arial" w:cs="Arial"/>
                <w:sz w:val="24"/>
                <w:szCs w:val="24"/>
              </w:rPr>
            </w:pPr>
            <w:r w:rsidRPr="00D70294">
              <w:rPr>
                <w:rFonts w:ascii="Arial" w:hAnsi="Arial" w:cs="Arial"/>
                <w:sz w:val="24"/>
                <w:szCs w:val="24"/>
              </w:rPr>
              <w:t>Paquera</w:t>
            </w:r>
          </w:p>
        </w:tc>
        <w:tc>
          <w:tcPr>
            <w:tcW w:w="2943" w:type="dxa"/>
            <w:tcBorders>
              <w:top w:val="single" w:sz="4" w:space="0" w:color="00000A"/>
              <w:left w:val="single" w:sz="4" w:space="0" w:color="00000A"/>
              <w:bottom w:val="single" w:sz="4" w:space="0" w:color="00000A"/>
              <w:right w:val="single" w:sz="4" w:space="0" w:color="00000A"/>
            </w:tcBorders>
            <w:shd w:val="clear" w:color="auto" w:fill="auto"/>
            <w:tcMar>
              <w:left w:w="98" w:type="dxa"/>
            </w:tcMar>
            <w:vAlign w:val="center"/>
          </w:tcPr>
          <w:p w:rsidR="00477601" w:rsidRPr="00D70294" w:rsidRDefault="00477601" w:rsidP="00424427">
            <w:pPr>
              <w:spacing w:after="0" w:line="276" w:lineRule="auto"/>
              <w:jc w:val="center"/>
              <w:rPr>
                <w:rFonts w:ascii="Arial" w:hAnsi="Arial" w:cs="Arial"/>
                <w:sz w:val="24"/>
                <w:szCs w:val="24"/>
              </w:rPr>
            </w:pPr>
            <w:r w:rsidRPr="00D70294">
              <w:rPr>
                <w:rFonts w:ascii="Arial" w:hAnsi="Arial" w:cs="Arial"/>
                <w:sz w:val="24"/>
                <w:szCs w:val="24"/>
              </w:rPr>
              <w:t>55,97</w:t>
            </w:r>
          </w:p>
        </w:tc>
        <w:tc>
          <w:tcPr>
            <w:tcW w:w="2943" w:type="dxa"/>
            <w:tcBorders>
              <w:top w:val="single" w:sz="4" w:space="0" w:color="00000A"/>
              <w:left w:val="single" w:sz="4" w:space="0" w:color="00000A"/>
              <w:bottom w:val="single" w:sz="4" w:space="0" w:color="00000A"/>
              <w:right w:val="single" w:sz="4" w:space="0" w:color="00000A"/>
            </w:tcBorders>
            <w:shd w:val="clear" w:color="auto" w:fill="auto"/>
            <w:tcMar>
              <w:left w:w="98" w:type="dxa"/>
            </w:tcMar>
            <w:vAlign w:val="center"/>
          </w:tcPr>
          <w:p w:rsidR="00477601" w:rsidRPr="00D70294" w:rsidRDefault="00477601" w:rsidP="00424427">
            <w:pPr>
              <w:spacing w:after="0" w:line="276" w:lineRule="auto"/>
              <w:jc w:val="center"/>
              <w:rPr>
                <w:rFonts w:ascii="Arial" w:hAnsi="Arial" w:cs="Arial"/>
                <w:sz w:val="24"/>
                <w:szCs w:val="24"/>
              </w:rPr>
            </w:pPr>
            <w:r w:rsidRPr="00D70294">
              <w:rPr>
                <w:rFonts w:ascii="Arial" w:hAnsi="Arial" w:cs="Arial"/>
                <w:sz w:val="24"/>
                <w:szCs w:val="24"/>
              </w:rPr>
              <w:t>320</w:t>
            </w:r>
          </w:p>
        </w:tc>
      </w:tr>
    </w:tbl>
    <w:p w:rsidR="00477601" w:rsidRDefault="00477601" w:rsidP="00477601">
      <w:pPr>
        <w:spacing w:before="240" w:line="360" w:lineRule="auto"/>
        <w:jc w:val="right"/>
        <w:rPr>
          <w:rFonts w:ascii="Arial" w:hAnsi="Arial" w:cs="Arial"/>
          <w:sz w:val="20"/>
          <w:szCs w:val="24"/>
        </w:rPr>
      </w:pPr>
      <w:r>
        <w:rPr>
          <w:rFonts w:ascii="Arial" w:hAnsi="Arial" w:cs="Arial"/>
          <w:sz w:val="20"/>
          <w:szCs w:val="24"/>
        </w:rPr>
        <w:t>Fuente: Elaboración propia con datos del MIDEPLAN, 2017.</w:t>
      </w:r>
    </w:p>
    <w:p w:rsidR="00477601" w:rsidRDefault="00477601" w:rsidP="00477601">
      <w:pPr>
        <w:spacing w:line="360" w:lineRule="auto"/>
        <w:ind w:firstLine="708"/>
        <w:jc w:val="both"/>
        <w:rPr>
          <w:rFonts w:ascii="Arial" w:hAnsi="Arial" w:cs="Arial"/>
          <w:sz w:val="24"/>
          <w:szCs w:val="24"/>
        </w:rPr>
      </w:pPr>
      <w:r>
        <w:rPr>
          <w:rFonts w:ascii="Arial" w:hAnsi="Arial" w:cs="Arial"/>
          <w:sz w:val="24"/>
          <w:szCs w:val="24"/>
        </w:rPr>
        <w:t>Ambos distritos se encuentran dentro de los niveles bajos, siendo áreas de menos desarrollo relativo que las demás. Prácticamente, presentan las mismas condiciones, ya que la diferencia en la puntación es únicamente de 0.29. Esto demuestra que son zonas vulnerables del país, que exhiben deficiencias en la prestación de servicios públicos y demás dimensiones del índice, que ocasionan está desigualdad social.</w:t>
      </w:r>
    </w:p>
    <w:p w:rsidR="00477601" w:rsidRDefault="00477601" w:rsidP="00477601">
      <w:pPr>
        <w:spacing w:line="360" w:lineRule="auto"/>
        <w:ind w:left="708"/>
        <w:jc w:val="both"/>
        <w:rPr>
          <w:rFonts w:ascii="Arial" w:hAnsi="Arial" w:cs="Arial"/>
          <w:sz w:val="24"/>
          <w:szCs w:val="24"/>
        </w:rPr>
      </w:pPr>
      <w:r>
        <w:rPr>
          <w:rFonts w:ascii="Arial" w:hAnsi="Arial" w:cs="Arial"/>
          <w:sz w:val="24"/>
          <w:szCs w:val="24"/>
        </w:rPr>
        <w:t>La población de la costa muestra un rezago en los indicadores educativos, posee una tasa de analfabetismo superior al 10% y enfrenta las mayores limitaciones en lo referente a la seguridad social así como los menores estándares de vida según el Plan Regulador del Distrito de Paquera. Por ejemplo, en la zona del estero de Paquera y Punta del Río, 9 de cada 10 personas tiene una educación que no supera la primaria. (Cecilia, Guillén &amp; Vargas, 2016)</w:t>
      </w:r>
    </w:p>
    <w:p w:rsidR="00477601" w:rsidRDefault="00477601" w:rsidP="00477601">
      <w:pPr>
        <w:spacing w:line="360" w:lineRule="auto"/>
        <w:ind w:left="708"/>
        <w:jc w:val="both"/>
        <w:rPr>
          <w:rFonts w:ascii="Arial" w:hAnsi="Arial" w:cs="Arial"/>
          <w:sz w:val="24"/>
          <w:szCs w:val="24"/>
        </w:rPr>
      </w:pPr>
    </w:p>
    <w:p w:rsidR="00477601" w:rsidRDefault="00477601" w:rsidP="00477601">
      <w:pPr>
        <w:spacing w:line="360" w:lineRule="auto"/>
        <w:ind w:left="708"/>
        <w:jc w:val="both"/>
        <w:rPr>
          <w:rFonts w:ascii="Arial" w:hAnsi="Arial" w:cs="Arial"/>
          <w:sz w:val="24"/>
          <w:szCs w:val="24"/>
        </w:rPr>
      </w:pPr>
    </w:p>
    <w:p w:rsidR="00477601" w:rsidRDefault="00477601" w:rsidP="00477601">
      <w:pPr>
        <w:spacing w:line="360" w:lineRule="auto"/>
        <w:jc w:val="both"/>
        <w:rPr>
          <w:rFonts w:ascii="Arial" w:hAnsi="Arial" w:cs="Arial"/>
          <w:b/>
          <w:sz w:val="24"/>
          <w:szCs w:val="24"/>
        </w:rPr>
      </w:pPr>
      <w:r>
        <w:br w:type="page"/>
      </w:r>
    </w:p>
    <w:p w:rsidR="00477601" w:rsidRDefault="00477601" w:rsidP="00477601">
      <w:pPr>
        <w:spacing w:line="360" w:lineRule="auto"/>
        <w:jc w:val="both"/>
        <w:rPr>
          <w:rFonts w:ascii="Arial" w:hAnsi="Arial" w:cs="Arial"/>
          <w:b/>
          <w:sz w:val="24"/>
          <w:szCs w:val="24"/>
        </w:rPr>
      </w:pPr>
      <w:r>
        <w:rPr>
          <w:rFonts w:ascii="Arial" w:hAnsi="Arial" w:cs="Arial"/>
          <w:b/>
          <w:sz w:val="24"/>
          <w:szCs w:val="24"/>
        </w:rPr>
        <w:lastRenderedPageBreak/>
        <w:t>Dimensión Política-Institucional</w:t>
      </w:r>
      <w:r>
        <w:rPr>
          <w:rFonts w:ascii="Arial" w:hAnsi="Arial" w:cs="Arial"/>
          <w:b/>
          <w:sz w:val="24"/>
          <w:szCs w:val="24"/>
        </w:rPr>
        <w:tab/>
      </w:r>
    </w:p>
    <w:p w:rsidR="00477601" w:rsidRDefault="00477601" w:rsidP="00477601">
      <w:pPr>
        <w:spacing w:line="360" w:lineRule="auto"/>
        <w:jc w:val="both"/>
        <w:rPr>
          <w:rFonts w:ascii="Arial" w:hAnsi="Arial" w:cs="Arial"/>
          <w:sz w:val="24"/>
          <w:szCs w:val="24"/>
        </w:rPr>
      </w:pPr>
      <w:r>
        <w:rPr>
          <w:rFonts w:ascii="Arial" w:hAnsi="Arial" w:cs="Arial"/>
          <w:sz w:val="24"/>
          <w:szCs w:val="24"/>
        </w:rPr>
        <w:tab/>
        <w:t xml:space="preserve">Seguidamente, se presentan las principales instituciones que poseen una mayor presencia o impacto en el territorio que compone el AMPR Paquera – Tambor. </w:t>
      </w:r>
    </w:p>
    <w:p w:rsidR="00477601" w:rsidRDefault="00477601" w:rsidP="00477601">
      <w:pPr>
        <w:spacing w:line="360" w:lineRule="auto"/>
        <w:ind w:firstLine="708"/>
        <w:jc w:val="both"/>
        <w:rPr>
          <w:rFonts w:ascii="Arial" w:hAnsi="Arial" w:cs="Arial"/>
          <w:sz w:val="24"/>
          <w:szCs w:val="24"/>
        </w:rPr>
      </w:pPr>
      <w:r>
        <w:rPr>
          <w:rFonts w:ascii="Arial" w:hAnsi="Arial" w:cs="Arial"/>
          <w:sz w:val="24"/>
          <w:szCs w:val="24"/>
        </w:rPr>
        <w:t>En el caso de Tambor, está regido por la Municipalidad de Cóbano, quién es el representante político e institucional de mayor importancia e injerencia en la zona. Para el distrito de Paquera, la presencia de la institucionalidad local se da a través del Concejo Municipal de Distrito, el cual es una desconcentración de la Municipalidad de Puntarenas que posee una serie de acciones administrativas.</w:t>
      </w:r>
    </w:p>
    <w:p w:rsidR="00477601" w:rsidRDefault="00477601" w:rsidP="00477601">
      <w:pPr>
        <w:spacing w:line="360" w:lineRule="auto"/>
        <w:ind w:firstLine="708"/>
        <w:jc w:val="both"/>
        <w:rPr>
          <w:rFonts w:ascii="Arial" w:hAnsi="Arial" w:cs="Arial"/>
          <w:sz w:val="24"/>
          <w:szCs w:val="24"/>
        </w:rPr>
      </w:pPr>
      <w:r>
        <w:rPr>
          <w:rFonts w:ascii="Arial" w:hAnsi="Arial" w:cs="Arial"/>
          <w:sz w:val="24"/>
          <w:szCs w:val="24"/>
        </w:rPr>
        <w:t xml:space="preserve">En ambos distritos existen una serie de asociaciones de diversos indóles, algunas de ellas son: Asociación de Desarrollo de Tambor, Cámara de Turismo de Tambor, Asociación de Pescadores de Paquera, Asociación de Buzos de Paquera, Asociación de pescadoras y pescadores unidos de Playa Blanca, entre otras. </w:t>
      </w:r>
    </w:p>
    <w:p w:rsidR="00477601" w:rsidRDefault="00477601" w:rsidP="00477601">
      <w:pPr>
        <w:spacing w:line="360" w:lineRule="auto"/>
        <w:ind w:firstLine="708"/>
        <w:jc w:val="both"/>
        <w:rPr>
          <w:rFonts w:ascii="Arial" w:hAnsi="Arial" w:cs="Arial"/>
          <w:sz w:val="24"/>
          <w:szCs w:val="24"/>
        </w:rPr>
      </w:pPr>
      <w:r>
        <w:rPr>
          <w:rFonts w:ascii="Arial" w:hAnsi="Arial" w:cs="Arial"/>
          <w:sz w:val="24"/>
          <w:szCs w:val="24"/>
        </w:rPr>
        <w:t xml:space="preserve">Algunas de las instituciones públicas que tienen algún tipo de injerencia política, administrativa o social son: </w:t>
      </w:r>
    </w:p>
    <w:p w:rsidR="00477601" w:rsidRDefault="00477601" w:rsidP="00477601">
      <w:pPr>
        <w:pStyle w:val="Prrafodelista"/>
        <w:numPr>
          <w:ilvl w:val="0"/>
          <w:numId w:val="20"/>
        </w:numPr>
        <w:spacing w:after="158" w:line="360" w:lineRule="auto"/>
        <w:jc w:val="both"/>
        <w:rPr>
          <w:rFonts w:ascii="Arial" w:hAnsi="Arial" w:cs="Arial"/>
          <w:sz w:val="24"/>
          <w:szCs w:val="24"/>
        </w:rPr>
      </w:pPr>
      <w:r>
        <w:rPr>
          <w:rFonts w:ascii="Arial" w:hAnsi="Arial" w:cs="Arial"/>
          <w:sz w:val="24"/>
          <w:szCs w:val="24"/>
        </w:rPr>
        <w:t xml:space="preserve">Instituto Costarricense de Pesca y Acuicultura. </w:t>
      </w:r>
    </w:p>
    <w:p w:rsidR="00477601" w:rsidRDefault="00477601" w:rsidP="00477601">
      <w:pPr>
        <w:pStyle w:val="Prrafodelista"/>
        <w:numPr>
          <w:ilvl w:val="0"/>
          <w:numId w:val="20"/>
        </w:numPr>
        <w:spacing w:after="158" w:line="360" w:lineRule="auto"/>
        <w:jc w:val="both"/>
        <w:rPr>
          <w:rFonts w:ascii="Arial" w:hAnsi="Arial" w:cs="Arial"/>
          <w:sz w:val="24"/>
          <w:szCs w:val="24"/>
        </w:rPr>
      </w:pPr>
      <w:r>
        <w:rPr>
          <w:rFonts w:ascii="Arial" w:hAnsi="Arial" w:cs="Arial"/>
          <w:sz w:val="24"/>
          <w:szCs w:val="24"/>
        </w:rPr>
        <w:t xml:space="preserve">Servicio Nacional de Guardacostas. </w:t>
      </w:r>
    </w:p>
    <w:p w:rsidR="00477601" w:rsidRDefault="00477601" w:rsidP="00477601">
      <w:pPr>
        <w:pStyle w:val="Prrafodelista"/>
        <w:numPr>
          <w:ilvl w:val="0"/>
          <w:numId w:val="20"/>
        </w:numPr>
        <w:spacing w:after="158" w:line="360" w:lineRule="auto"/>
        <w:jc w:val="both"/>
        <w:rPr>
          <w:rFonts w:ascii="Arial" w:hAnsi="Arial" w:cs="Arial"/>
          <w:sz w:val="24"/>
          <w:szCs w:val="24"/>
        </w:rPr>
      </w:pPr>
      <w:r>
        <w:rPr>
          <w:rFonts w:ascii="Arial" w:hAnsi="Arial" w:cs="Arial"/>
          <w:sz w:val="24"/>
          <w:szCs w:val="24"/>
        </w:rPr>
        <w:t xml:space="preserve">Ministerio de Ambiente. </w:t>
      </w:r>
    </w:p>
    <w:p w:rsidR="00477601" w:rsidRDefault="00477601" w:rsidP="00477601">
      <w:pPr>
        <w:pStyle w:val="Prrafodelista"/>
        <w:numPr>
          <w:ilvl w:val="0"/>
          <w:numId w:val="20"/>
        </w:numPr>
        <w:spacing w:after="158" w:line="360" w:lineRule="auto"/>
        <w:jc w:val="both"/>
        <w:rPr>
          <w:rFonts w:ascii="Arial" w:hAnsi="Arial" w:cs="Arial"/>
          <w:sz w:val="24"/>
          <w:szCs w:val="24"/>
        </w:rPr>
      </w:pPr>
      <w:r>
        <w:rPr>
          <w:rFonts w:ascii="Arial" w:hAnsi="Arial" w:cs="Arial"/>
          <w:sz w:val="24"/>
          <w:szCs w:val="24"/>
        </w:rPr>
        <w:t xml:space="preserve">Sistema Nacional de Áreas de Conservación. </w:t>
      </w:r>
    </w:p>
    <w:p w:rsidR="00477601" w:rsidRDefault="00477601" w:rsidP="00477601">
      <w:pPr>
        <w:pStyle w:val="Prrafodelista"/>
        <w:numPr>
          <w:ilvl w:val="0"/>
          <w:numId w:val="20"/>
        </w:numPr>
        <w:spacing w:after="158" w:line="360" w:lineRule="auto"/>
        <w:jc w:val="both"/>
        <w:rPr>
          <w:rFonts w:ascii="Arial" w:hAnsi="Arial" w:cs="Arial"/>
          <w:sz w:val="24"/>
          <w:szCs w:val="24"/>
        </w:rPr>
      </w:pPr>
      <w:r>
        <w:rPr>
          <w:rFonts w:ascii="Arial" w:hAnsi="Arial" w:cs="Arial"/>
          <w:sz w:val="24"/>
          <w:szCs w:val="24"/>
        </w:rPr>
        <w:t xml:space="preserve">Consejo Municipal del Distrito de Paquera. </w:t>
      </w:r>
    </w:p>
    <w:p w:rsidR="00477601" w:rsidRDefault="00477601" w:rsidP="00477601">
      <w:pPr>
        <w:pStyle w:val="Prrafodelista"/>
        <w:numPr>
          <w:ilvl w:val="0"/>
          <w:numId w:val="20"/>
        </w:numPr>
        <w:spacing w:after="158" w:line="360" w:lineRule="auto"/>
        <w:jc w:val="both"/>
        <w:rPr>
          <w:rFonts w:ascii="Arial" w:hAnsi="Arial" w:cs="Arial"/>
          <w:sz w:val="24"/>
          <w:szCs w:val="24"/>
        </w:rPr>
      </w:pPr>
      <w:r>
        <w:rPr>
          <w:rFonts w:ascii="Arial" w:hAnsi="Arial" w:cs="Arial"/>
          <w:sz w:val="24"/>
          <w:szCs w:val="24"/>
        </w:rPr>
        <w:t xml:space="preserve">Instituto Nacional de Aprendizaje. </w:t>
      </w:r>
    </w:p>
    <w:p w:rsidR="00477601" w:rsidRDefault="00477601" w:rsidP="00477601">
      <w:pPr>
        <w:pStyle w:val="Prrafodelista"/>
        <w:numPr>
          <w:ilvl w:val="0"/>
          <w:numId w:val="20"/>
        </w:numPr>
        <w:spacing w:after="158" w:line="360" w:lineRule="auto"/>
        <w:jc w:val="both"/>
        <w:rPr>
          <w:rFonts w:ascii="Arial" w:hAnsi="Arial" w:cs="Arial"/>
          <w:sz w:val="24"/>
          <w:szCs w:val="24"/>
        </w:rPr>
      </w:pPr>
      <w:r>
        <w:rPr>
          <w:rFonts w:ascii="Arial" w:hAnsi="Arial" w:cs="Arial"/>
          <w:sz w:val="24"/>
          <w:szCs w:val="24"/>
        </w:rPr>
        <w:t xml:space="preserve">Universidad Nacional de Costa Rica. </w:t>
      </w:r>
    </w:p>
    <w:p w:rsidR="00477601" w:rsidRDefault="00477601" w:rsidP="00477601">
      <w:pPr>
        <w:pStyle w:val="Prrafodelista"/>
        <w:numPr>
          <w:ilvl w:val="0"/>
          <w:numId w:val="20"/>
        </w:numPr>
        <w:spacing w:after="158" w:line="360" w:lineRule="auto"/>
        <w:jc w:val="both"/>
        <w:rPr>
          <w:rFonts w:ascii="Arial" w:hAnsi="Arial" w:cs="Arial"/>
          <w:sz w:val="24"/>
          <w:szCs w:val="24"/>
        </w:rPr>
      </w:pPr>
      <w:r>
        <w:rPr>
          <w:rFonts w:ascii="Arial" w:hAnsi="Arial" w:cs="Arial"/>
          <w:sz w:val="24"/>
          <w:szCs w:val="24"/>
        </w:rPr>
        <w:t xml:space="preserve">Instituto de Fomento Cooperativo. </w:t>
      </w:r>
    </w:p>
    <w:p w:rsidR="00477601" w:rsidRDefault="00477601" w:rsidP="00477601">
      <w:pPr>
        <w:spacing w:line="360" w:lineRule="auto"/>
        <w:jc w:val="both"/>
        <w:rPr>
          <w:rFonts w:ascii="Arial" w:hAnsi="Arial" w:cs="Arial"/>
          <w:b/>
          <w:sz w:val="24"/>
          <w:szCs w:val="24"/>
        </w:rPr>
      </w:pPr>
      <w:r>
        <w:br w:type="page"/>
      </w:r>
    </w:p>
    <w:p w:rsidR="00477601" w:rsidRDefault="00477601" w:rsidP="00477601">
      <w:pPr>
        <w:spacing w:line="360" w:lineRule="auto"/>
        <w:jc w:val="both"/>
        <w:rPr>
          <w:rFonts w:ascii="Arial" w:hAnsi="Arial" w:cs="Arial"/>
          <w:b/>
          <w:sz w:val="24"/>
          <w:szCs w:val="24"/>
        </w:rPr>
      </w:pPr>
      <w:r>
        <w:rPr>
          <w:rFonts w:ascii="Arial" w:hAnsi="Arial" w:cs="Arial"/>
          <w:b/>
          <w:sz w:val="24"/>
          <w:szCs w:val="24"/>
        </w:rPr>
        <w:lastRenderedPageBreak/>
        <w:t xml:space="preserve">Infraestructura </w:t>
      </w:r>
    </w:p>
    <w:p w:rsidR="00477601" w:rsidRDefault="00477601" w:rsidP="00477601">
      <w:pPr>
        <w:spacing w:line="360" w:lineRule="auto"/>
        <w:ind w:firstLine="708"/>
        <w:jc w:val="both"/>
        <w:rPr>
          <w:rFonts w:ascii="Arial" w:hAnsi="Arial" w:cs="Arial"/>
          <w:sz w:val="24"/>
          <w:szCs w:val="24"/>
        </w:rPr>
      </w:pPr>
      <w:r>
        <w:rPr>
          <w:rFonts w:ascii="Arial" w:hAnsi="Arial" w:cs="Arial"/>
          <w:sz w:val="24"/>
          <w:szCs w:val="24"/>
        </w:rPr>
        <w:t>En este apartado se detallará la infraestructura básica de los distritos de Paquera y Cóbano. Se muestran datos de la infraestructura vial, centros de salud, educación y redes de cuido.</w:t>
      </w:r>
    </w:p>
    <w:p w:rsidR="00477601" w:rsidRDefault="00477601" w:rsidP="00477601">
      <w:pPr>
        <w:spacing w:after="0" w:line="360" w:lineRule="auto"/>
        <w:rPr>
          <w:rFonts w:ascii="Arial" w:hAnsi="Arial" w:cs="Arial"/>
          <w:sz w:val="24"/>
          <w:szCs w:val="24"/>
        </w:rPr>
      </w:pPr>
      <w:r>
        <w:rPr>
          <w:rFonts w:ascii="Arial" w:hAnsi="Arial" w:cs="Arial"/>
          <w:sz w:val="24"/>
          <w:szCs w:val="24"/>
        </w:rPr>
        <w:t>Tabla N° 5 Caracterización de la infraestructura en Paquera y Cóbano</w:t>
      </w:r>
    </w:p>
    <w:tbl>
      <w:tblPr>
        <w:tblW w:w="9000" w:type="dxa"/>
        <w:tblInd w:w="-10" w:type="dxa"/>
        <w:tblBorders>
          <w:top w:val="single" w:sz="4" w:space="0" w:color="00000A"/>
          <w:left w:val="single" w:sz="4" w:space="0" w:color="00000A"/>
          <w:bottom w:val="single" w:sz="4" w:space="0" w:color="00000A"/>
          <w:right w:val="single" w:sz="4" w:space="0" w:color="00000A"/>
          <w:insideH w:val="single" w:sz="4" w:space="0" w:color="00000A"/>
          <w:insideV w:val="single" w:sz="4" w:space="0" w:color="00000A"/>
        </w:tblBorders>
        <w:tblCellMar>
          <w:left w:w="98" w:type="dxa"/>
        </w:tblCellMar>
        <w:tblLook w:val="04A0" w:firstRow="1" w:lastRow="0" w:firstColumn="1" w:lastColumn="0" w:noHBand="0" w:noVBand="1"/>
      </w:tblPr>
      <w:tblGrid>
        <w:gridCol w:w="1891"/>
        <w:gridCol w:w="2358"/>
        <w:gridCol w:w="1843"/>
        <w:gridCol w:w="2908"/>
      </w:tblGrid>
      <w:tr w:rsidR="00477601" w:rsidTr="00424427">
        <w:trPr>
          <w:trHeight w:val="286"/>
        </w:trPr>
        <w:tc>
          <w:tcPr>
            <w:tcW w:w="1890" w:type="dxa"/>
            <w:tcBorders>
              <w:top w:val="single" w:sz="4" w:space="0" w:color="00000A"/>
              <w:left w:val="single" w:sz="4" w:space="0" w:color="00000A"/>
              <w:bottom w:val="single" w:sz="4" w:space="0" w:color="00000A"/>
              <w:right w:val="single" w:sz="4" w:space="0" w:color="00000A"/>
            </w:tcBorders>
            <w:shd w:val="clear" w:color="auto" w:fill="D6E3BC"/>
            <w:tcMar>
              <w:left w:w="98" w:type="dxa"/>
            </w:tcMar>
            <w:vAlign w:val="center"/>
          </w:tcPr>
          <w:p w:rsidR="00477601" w:rsidRPr="00D70294" w:rsidRDefault="00477601" w:rsidP="00424427">
            <w:pPr>
              <w:spacing w:after="0" w:line="276" w:lineRule="auto"/>
              <w:jc w:val="center"/>
              <w:rPr>
                <w:rFonts w:ascii="Arial" w:hAnsi="Arial" w:cs="Arial"/>
                <w:b/>
                <w:sz w:val="24"/>
                <w:szCs w:val="24"/>
              </w:rPr>
            </w:pPr>
            <w:r w:rsidRPr="00D70294">
              <w:rPr>
                <w:rFonts w:ascii="Arial" w:hAnsi="Arial" w:cs="Arial"/>
                <w:b/>
                <w:sz w:val="24"/>
                <w:szCs w:val="24"/>
              </w:rPr>
              <w:t>Distrito</w:t>
            </w:r>
          </w:p>
        </w:tc>
        <w:tc>
          <w:tcPr>
            <w:tcW w:w="2358" w:type="dxa"/>
            <w:tcBorders>
              <w:top w:val="single" w:sz="4" w:space="0" w:color="00000A"/>
              <w:left w:val="single" w:sz="4" w:space="0" w:color="00000A"/>
              <w:bottom w:val="single" w:sz="4" w:space="0" w:color="00000A"/>
              <w:right w:val="single" w:sz="4" w:space="0" w:color="00000A"/>
            </w:tcBorders>
            <w:shd w:val="clear" w:color="auto" w:fill="D6E3BC"/>
            <w:tcMar>
              <w:left w:w="98" w:type="dxa"/>
            </w:tcMar>
            <w:vAlign w:val="center"/>
          </w:tcPr>
          <w:p w:rsidR="00477601" w:rsidRPr="00D70294" w:rsidRDefault="00477601" w:rsidP="00424427">
            <w:pPr>
              <w:spacing w:after="0" w:line="276" w:lineRule="auto"/>
              <w:jc w:val="center"/>
              <w:rPr>
                <w:rFonts w:ascii="Arial" w:hAnsi="Arial" w:cs="Arial"/>
              </w:rPr>
            </w:pPr>
            <w:r w:rsidRPr="00D70294">
              <w:rPr>
                <w:rFonts w:ascii="Arial" w:hAnsi="Arial" w:cs="Arial"/>
                <w:b/>
                <w:sz w:val="24"/>
                <w:szCs w:val="24"/>
              </w:rPr>
              <w:t>Infraestructura vial (asfalto y lastre)</w:t>
            </w:r>
          </w:p>
        </w:tc>
        <w:tc>
          <w:tcPr>
            <w:tcW w:w="1843" w:type="dxa"/>
            <w:tcBorders>
              <w:top w:val="single" w:sz="4" w:space="0" w:color="00000A"/>
              <w:left w:val="single" w:sz="4" w:space="0" w:color="00000A"/>
              <w:bottom w:val="single" w:sz="4" w:space="0" w:color="00000A"/>
              <w:right w:val="single" w:sz="4" w:space="0" w:color="00000A"/>
            </w:tcBorders>
            <w:shd w:val="clear" w:color="auto" w:fill="D6E3BC"/>
            <w:tcMar>
              <w:left w:w="98" w:type="dxa"/>
            </w:tcMar>
            <w:vAlign w:val="center"/>
          </w:tcPr>
          <w:p w:rsidR="00477601" w:rsidRPr="00D70294" w:rsidRDefault="00477601" w:rsidP="00424427">
            <w:pPr>
              <w:spacing w:after="0" w:line="276" w:lineRule="auto"/>
              <w:jc w:val="center"/>
              <w:rPr>
                <w:rFonts w:ascii="Arial" w:hAnsi="Arial" w:cs="Arial"/>
              </w:rPr>
            </w:pPr>
            <w:r w:rsidRPr="00D70294">
              <w:rPr>
                <w:rFonts w:ascii="Arial" w:hAnsi="Arial" w:cs="Arial"/>
                <w:b/>
                <w:sz w:val="24"/>
                <w:szCs w:val="24"/>
              </w:rPr>
              <w:t xml:space="preserve">Centros de salud </w:t>
            </w:r>
          </w:p>
        </w:tc>
        <w:tc>
          <w:tcPr>
            <w:tcW w:w="2908" w:type="dxa"/>
            <w:tcBorders>
              <w:top w:val="single" w:sz="4" w:space="0" w:color="00000A"/>
              <w:left w:val="single" w:sz="4" w:space="0" w:color="00000A"/>
              <w:bottom w:val="single" w:sz="4" w:space="0" w:color="00000A"/>
              <w:right w:val="single" w:sz="4" w:space="0" w:color="00000A"/>
            </w:tcBorders>
            <w:shd w:val="clear" w:color="auto" w:fill="D6E3BC"/>
            <w:tcMar>
              <w:left w:w="98" w:type="dxa"/>
            </w:tcMar>
            <w:vAlign w:val="center"/>
          </w:tcPr>
          <w:p w:rsidR="00477601" w:rsidRPr="00D70294" w:rsidRDefault="00477601" w:rsidP="00424427">
            <w:pPr>
              <w:spacing w:after="0" w:line="276" w:lineRule="auto"/>
              <w:jc w:val="center"/>
              <w:rPr>
                <w:rFonts w:ascii="Arial" w:hAnsi="Arial" w:cs="Arial"/>
                <w:b/>
                <w:sz w:val="24"/>
                <w:szCs w:val="24"/>
              </w:rPr>
            </w:pPr>
            <w:r w:rsidRPr="00D70294">
              <w:rPr>
                <w:rFonts w:ascii="Arial" w:hAnsi="Arial" w:cs="Arial"/>
                <w:b/>
                <w:sz w:val="24"/>
                <w:szCs w:val="24"/>
              </w:rPr>
              <w:t>Educación</w:t>
            </w:r>
          </w:p>
        </w:tc>
      </w:tr>
      <w:tr w:rsidR="00477601" w:rsidTr="00424427">
        <w:trPr>
          <w:trHeight w:val="298"/>
        </w:trPr>
        <w:tc>
          <w:tcPr>
            <w:tcW w:w="1890" w:type="dxa"/>
            <w:tcBorders>
              <w:top w:val="single" w:sz="4" w:space="0" w:color="00000A"/>
              <w:left w:val="single" w:sz="4" w:space="0" w:color="00000A"/>
              <w:bottom w:val="single" w:sz="4" w:space="0" w:color="00000A"/>
              <w:right w:val="single" w:sz="4" w:space="0" w:color="00000A"/>
            </w:tcBorders>
            <w:shd w:val="clear" w:color="auto" w:fill="auto"/>
            <w:tcMar>
              <w:left w:w="98" w:type="dxa"/>
            </w:tcMar>
            <w:vAlign w:val="center"/>
          </w:tcPr>
          <w:p w:rsidR="00477601" w:rsidRPr="00D70294" w:rsidRDefault="00477601" w:rsidP="00424427">
            <w:pPr>
              <w:spacing w:after="0" w:line="276" w:lineRule="auto"/>
              <w:jc w:val="center"/>
              <w:rPr>
                <w:rFonts w:ascii="Arial" w:hAnsi="Arial" w:cs="Arial"/>
                <w:sz w:val="24"/>
                <w:szCs w:val="24"/>
              </w:rPr>
            </w:pPr>
            <w:r w:rsidRPr="00D70294">
              <w:rPr>
                <w:rFonts w:ascii="Arial" w:hAnsi="Arial" w:cs="Arial"/>
                <w:sz w:val="24"/>
                <w:szCs w:val="24"/>
              </w:rPr>
              <w:t>Paquera</w:t>
            </w:r>
          </w:p>
        </w:tc>
        <w:tc>
          <w:tcPr>
            <w:tcW w:w="2358" w:type="dxa"/>
            <w:tcBorders>
              <w:top w:val="single" w:sz="4" w:space="0" w:color="00000A"/>
              <w:left w:val="single" w:sz="4" w:space="0" w:color="00000A"/>
              <w:bottom w:val="single" w:sz="4" w:space="0" w:color="00000A"/>
              <w:right w:val="single" w:sz="4" w:space="0" w:color="00000A"/>
            </w:tcBorders>
            <w:shd w:val="clear" w:color="auto" w:fill="auto"/>
            <w:tcMar>
              <w:left w:w="98" w:type="dxa"/>
            </w:tcMar>
            <w:vAlign w:val="center"/>
          </w:tcPr>
          <w:p w:rsidR="00477601" w:rsidRPr="00D70294" w:rsidRDefault="00477601" w:rsidP="00424427">
            <w:pPr>
              <w:spacing w:after="0" w:line="276" w:lineRule="auto"/>
              <w:jc w:val="center"/>
              <w:rPr>
                <w:rFonts w:ascii="Arial" w:hAnsi="Arial" w:cs="Arial"/>
                <w:sz w:val="24"/>
                <w:szCs w:val="24"/>
              </w:rPr>
            </w:pPr>
            <w:r w:rsidRPr="00D70294">
              <w:rPr>
                <w:rFonts w:ascii="Arial" w:hAnsi="Arial" w:cs="Arial"/>
                <w:sz w:val="24"/>
                <w:szCs w:val="24"/>
              </w:rPr>
              <w:t>198.68 km</w:t>
            </w:r>
          </w:p>
        </w:tc>
        <w:tc>
          <w:tcPr>
            <w:tcW w:w="1843" w:type="dxa"/>
            <w:tcBorders>
              <w:top w:val="single" w:sz="4" w:space="0" w:color="00000A"/>
              <w:left w:val="single" w:sz="4" w:space="0" w:color="00000A"/>
              <w:bottom w:val="single" w:sz="4" w:space="0" w:color="00000A"/>
              <w:right w:val="single" w:sz="4" w:space="0" w:color="00000A"/>
            </w:tcBorders>
            <w:shd w:val="clear" w:color="auto" w:fill="auto"/>
            <w:tcMar>
              <w:left w:w="98" w:type="dxa"/>
            </w:tcMar>
            <w:vAlign w:val="center"/>
          </w:tcPr>
          <w:p w:rsidR="00477601" w:rsidRPr="00D70294" w:rsidRDefault="00477601" w:rsidP="00424427">
            <w:pPr>
              <w:spacing w:after="0" w:line="276" w:lineRule="auto"/>
              <w:jc w:val="center"/>
              <w:rPr>
                <w:rFonts w:ascii="Arial" w:hAnsi="Arial" w:cs="Arial"/>
                <w:sz w:val="24"/>
                <w:szCs w:val="24"/>
              </w:rPr>
            </w:pPr>
            <w:r w:rsidRPr="00D70294">
              <w:rPr>
                <w:rFonts w:ascii="Arial" w:hAnsi="Arial" w:cs="Arial"/>
                <w:sz w:val="24"/>
                <w:szCs w:val="24"/>
              </w:rPr>
              <w:t>2 EBAIS</w:t>
            </w:r>
          </w:p>
        </w:tc>
        <w:tc>
          <w:tcPr>
            <w:tcW w:w="2908" w:type="dxa"/>
            <w:tcBorders>
              <w:top w:val="single" w:sz="4" w:space="0" w:color="00000A"/>
              <w:left w:val="single" w:sz="4" w:space="0" w:color="00000A"/>
              <w:bottom w:val="single" w:sz="4" w:space="0" w:color="00000A"/>
              <w:right w:val="single" w:sz="4" w:space="0" w:color="00000A"/>
            </w:tcBorders>
            <w:shd w:val="clear" w:color="auto" w:fill="auto"/>
            <w:tcMar>
              <w:left w:w="98" w:type="dxa"/>
            </w:tcMar>
            <w:vAlign w:val="center"/>
          </w:tcPr>
          <w:p w:rsidR="00477601" w:rsidRPr="00D70294" w:rsidRDefault="00477601" w:rsidP="00424427">
            <w:pPr>
              <w:spacing w:after="0" w:line="276" w:lineRule="auto"/>
              <w:jc w:val="center"/>
              <w:rPr>
                <w:rFonts w:ascii="Arial" w:hAnsi="Arial" w:cs="Arial"/>
                <w:sz w:val="24"/>
                <w:szCs w:val="24"/>
              </w:rPr>
            </w:pPr>
            <w:r w:rsidRPr="00D70294">
              <w:rPr>
                <w:rFonts w:ascii="Arial" w:hAnsi="Arial" w:cs="Arial"/>
                <w:sz w:val="24"/>
                <w:szCs w:val="24"/>
              </w:rPr>
              <w:t>16 centros de educación preescolar</w:t>
            </w:r>
          </w:p>
          <w:p w:rsidR="00477601" w:rsidRPr="00D70294" w:rsidRDefault="00477601" w:rsidP="00424427">
            <w:pPr>
              <w:spacing w:after="0" w:line="276" w:lineRule="auto"/>
              <w:jc w:val="center"/>
              <w:rPr>
                <w:rFonts w:ascii="Arial" w:hAnsi="Arial" w:cs="Arial"/>
                <w:sz w:val="24"/>
                <w:szCs w:val="24"/>
              </w:rPr>
            </w:pPr>
            <w:r w:rsidRPr="00D70294">
              <w:rPr>
                <w:rFonts w:ascii="Arial" w:hAnsi="Arial" w:cs="Arial"/>
                <w:sz w:val="24"/>
                <w:szCs w:val="24"/>
              </w:rPr>
              <w:t>16 escuelas</w:t>
            </w:r>
          </w:p>
          <w:p w:rsidR="00477601" w:rsidRPr="00D70294" w:rsidRDefault="00477601" w:rsidP="00424427">
            <w:pPr>
              <w:spacing w:after="0" w:line="276" w:lineRule="auto"/>
              <w:jc w:val="center"/>
              <w:rPr>
                <w:rFonts w:ascii="Arial" w:hAnsi="Arial" w:cs="Arial"/>
                <w:sz w:val="24"/>
                <w:szCs w:val="24"/>
              </w:rPr>
            </w:pPr>
            <w:r w:rsidRPr="00D70294">
              <w:rPr>
                <w:rFonts w:ascii="Arial" w:hAnsi="Arial" w:cs="Arial"/>
                <w:sz w:val="24"/>
                <w:szCs w:val="24"/>
              </w:rPr>
              <w:t>2 colegios</w:t>
            </w:r>
          </w:p>
        </w:tc>
      </w:tr>
      <w:tr w:rsidR="00477601" w:rsidTr="00424427">
        <w:trPr>
          <w:trHeight w:val="286"/>
        </w:trPr>
        <w:tc>
          <w:tcPr>
            <w:tcW w:w="1890" w:type="dxa"/>
            <w:tcBorders>
              <w:top w:val="single" w:sz="4" w:space="0" w:color="00000A"/>
              <w:left w:val="single" w:sz="4" w:space="0" w:color="00000A"/>
              <w:bottom w:val="single" w:sz="4" w:space="0" w:color="00000A"/>
              <w:right w:val="single" w:sz="4" w:space="0" w:color="00000A"/>
            </w:tcBorders>
            <w:shd w:val="clear" w:color="auto" w:fill="auto"/>
            <w:tcMar>
              <w:left w:w="98" w:type="dxa"/>
            </w:tcMar>
            <w:vAlign w:val="center"/>
          </w:tcPr>
          <w:p w:rsidR="00477601" w:rsidRPr="00D70294" w:rsidRDefault="00477601" w:rsidP="00424427">
            <w:pPr>
              <w:spacing w:after="0" w:line="276" w:lineRule="auto"/>
              <w:jc w:val="center"/>
              <w:rPr>
                <w:rFonts w:ascii="Arial" w:hAnsi="Arial" w:cs="Arial"/>
                <w:sz w:val="24"/>
                <w:szCs w:val="24"/>
              </w:rPr>
            </w:pPr>
            <w:r w:rsidRPr="00D70294">
              <w:rPr>
                <w:rFonts w:ascii="Arial" w:hAnsi="Arial" w:cs="Arial"/>
                <w:sz w:val="24"/>
                <w:szCs w:val="24"/>
              </w:rPr>
              <w:t>Cóbano</w:t>
            </w:r>
          </w:p>
        </w:tc>
        <w:tc>
          <w:tcPr>
            <w:tcW w:w="2358" w:type="dxa"/>
            <w:tcBorders>
              <w:top w:val="single" w:sz="4" w:space="0" w:color="00000A"/>
              <w:left w:val="single" w:sz="4" w:space="0" w:color="00000A"/>
              <w:bottom w:val="single" w:sz="4" w:space="0" w:color="00000A"/>
              <w:right w:val="single" w:sz="4" w:space="0" w:color="00000A"/>
            </w:tcBorders>
            <w:shd w:val="clear" w:color="auto" w:fill="auto"/>
            <w:tcMar>
              <w:left w:w="98" w:type="dxa"/>
            </w:tcMar>
            <w:vAlign w:val="center"/>
          </w:tcPr>
          <w:p w:rsidR="00477601" w:rsidRPr="00D70294" w:rsidRDefault="00477601" w:rsidP="00424427">
            <w:pPr>
              <w:spacing w:after="0" w:line="276" w:lineRule="auto"/>
              <w:jc w:val="center"/>
              <w:rPr>
                <w:rFonts w:ascii="Arial" w:hAnsi="Arial" w:cs="Arial"/>
                <w:sz w:val="24"/>
                <w:szCs w:val="24"/>
              </w:rPr>
            </w:pPr>
            <w:r w:rsidRPr="00D70294">
              <w:rPr>
                <w:rFonts w:ascii="Arial" w:hAnsi="Arial" w:cs="Arial"/>
                <w:sz w:val="24"/>
                <w:szCs w:val="24"/>
              </w:rPr>
              <w:t>220.48 km</w:t>
            </w:r>
          </w:p>
        </w:tc>
        <w:tc>
          <w:tcPr>
            <w:tcW w:w="1843" w:type="dxa"/>
            <w:tcBorders>
              <w:top w:val="single" w:sz="4" w:space="0" w:color="00000A"/>
              <w:left w:val="single" w:sz="4" w:space="0" w:color="00000A"/>
              <w:bottom w:val="single" w:sz="4" w:space="0" w:color="00000A"/>
              <w:right w:val="single" w:sz="4" w:space="0" w:color="00000A"/>
            </w:tcBorders>
            <w:shd w:val="clear" w:color="auto" w:fill="auto"/>
            <w:tcMar>
              <w:left w:w="98" w:type="dxa"/>
            </w:tcMar>
            <w:vAlign w:val="center"/>
          </w:tcPr>
          <w:p w:rsidR="00477601" w:rsidRPr="00D70294" w:rsidRDefault="00477601" w:rsidP="00424427">
            <w:pPr>
              <w:spacing w:after="0" w:line="276" w:lineRule="auto"/>
              <w:jc w:val="center"/>
              <w:rPr>
                <w:rFonts w:ascii="Arial" w:hAnsi="Arial" w:cs="Arial"/>
                <w:sz w:val="24"/>
                <w:szCs w:val="24"/>
              </w:rPr>
            </w:pPr>
            <w:r w:rsidRPr="00D70294">
              <w:rPr>
                <w:rFonts w:ascii="Arial" w:hAnsi="Arial" w:cs="Arial"/>
                <w:sz w:val="24"/>
                <w:szCs w:val="24"/>
              </w:rPr>
              <w:t>3 EBAIS</w:t>
            </w:r>
          </w:p>
        </w:tc>
        <w:tc>
          <w:tcPr>
            <w:tcW w:w="2908" w:type="dxa"/>
            <w:tcBorders>
              <w:top w:val="single" w:sz="4" w:space="0" w:color="00000A"/>
              <w:left w:val="single" w:sz="4" w:space="0" w:color="00000A"/>
              <w:bottom w:val="single" w:sz="4" w:space="0" w:color="00000A"/>
              <w:right w:val="single" w:sz="4" w:space="0" w:color="00000A"/>
            </w:tcBorders>
            <w:shd w:val="clear" w:color="auto" w:fill="auto"/>
            <w:tcMar>
              <w:left w:w="98" w:type="dxa"/>
            </w:tcMar>
            <w:vAlign w:val="center"/>
          </w:tcPr>
          <w:p w:rsidR="00477601" w:rsidRPr="00D70294" w:rsidRDefault="00477601" w:rsidP="00424427">
            <w:pPr>
              <w:spacing w:after="0" w:line="276" w:lineRule="auto"/>
              <w:jc w:val="center"/>
              <w:rPr>
                <w:rFonts w:ascii="Arial" w:hAnsi="Arial" w:cs="Arial"/>
                <w:sz w:val="24"/>
                <w:szCs w:val="24"/>
              </w:rPr>
            </w:pPr>
            <w:r w:rsidRPr="00D70294">
              <w:rPr>
                <w:rFonts w:ascii="Arial" w:hAnsi="Arial" w:cs="Arial"/>
                <w:sz w:val="24"/>
                <w:szCs w:val="24"/>
              </w:rPr>
              <w:t>23 centros de educación preescolar</w:t>
            </w:r>
          </w:p>
          <w:p w:rsidR="00477601" w:rsidRPr="00D70294" w:rsidRDefault="00477601" w:rsidP="00424427">
            <w:pPr>
              <w:spacing w:after="0" w:line="276" w:lineRule="auto"/>
              <w:jc w:val="center"/>
              <w:rPr>
                <w:rFonts w:ascii="Arial" w:hAnsi="Arial" w:cs="Arial"/>
                <w:sz w:val="24"/>
                <w:szCs w:val="24"/>
              </w:rPr>
            </w:pPr>
            <w:r w:rsidRPr="00D70294">
              <w:rPr>
                <w:rFonts w:ascii="Arial" w:hAnsi="Arial" w:cs="Arial"/>
                <w:sz w:val="24"/>
                <w:szCs w:val="24"/>
              </w:rPr>
              <w:t>23 escuelas</w:t>
            </w:r>
          </w:p>
          <w:p w:rsidR="00477601" w:rsidRPr="00D70294" w:rsidRDefault="00477601" w:rsidP="00424427">
            <w:pPr>
              <w:spacing w:after="0" w:line="276" w:lineRule="auto"/>
              <w:jc w:val="center"/>
              <w:rPr>
                <w:rFonts w:ascii="Arial" w:hAnsi="Arial" w:cs="Arial"/>
                <w:sz w:val="24"/>
                <w:szCs w:val="24"/>
              </w:rPr>
            </w:pPr>
            <w:r w:rsidRPr="00D70294">
              <w:rPr>
                <w:rFonts w:ascii="Arial" w:hAnsi="Arial" w:cs="Arial"/>
                <w:sz w:val="24"/>
                <w:szCs w:val="24"/>
              </w:rPr>
              <w:t>2 colegios</w:t>
            </w:r>
          </w:p>
        </w:tc>
      </w:tr>
    </w:tbl>
    <w:p w:rsidR="00477601" w:rsidRDefault="00477601" w:rsidP="00477601">
      <w:pPr>
        <w:spacing w:before="240" w:line="360" w:lineRule="auto"/>
        <w:jc w:val="right"/>
        <w:rPr>
          <w:rFonts w:ascii="Arial" w:hAnsi="Arial" w:cs="Arial"/>
          <w:sz w:val="20"/>
          <w:szCs w:val="24"/>
        </w:rPr>
      </w:pPr>
      <w:r>
        <w:rPr>
          <w:rFonts w:ascii="Arial" w:hAnsi="Arial" w:cs="Arial"/>
          <w:sz w:val="20"/>
          <w:szCs w:val="24"/>
        </w:rPr>
        <w:t>Fuente: Elaboración propia con datos del INDER, 2019.</w:t>
      </w:r>
    </w:p>
    <w:p w:rsidR="00477601" w:rsidRDefault="00477601" w:rsidP="00477601">
      <w:pPr>
        <w:spacing w:before="240" w:line="360" w:lineRule="auto"/>
        <w:ind w:firstLine="708"/>
        <w:jc w:val="both"/>
        <w:rPr>
          <w:rFonts w:ascii="Arial" w:hAnsi="Arial" w:cs="Arial"/>
          <w:sz w:val="24"/>
          <w:szCs w:val="24"/>
        </w:rPr>
      </w:pPr>
      <w:r>
        <w:rPr>
          <w:rFonts w:ascii="Arial" w:hAnsi="Arial" w:cs="Arial"/>
          <w:sz w:val="24"/>
          <w:szCs w:val="24"/>
        </w:rPr>
        <w:t xml:space="preserve">En términos generales, ambos distritos presentan condiciones y/o características muy similares. Es relevante destacar que son comunidades con condiciones sociales y económicas vulnerables, y se caracterizan por ser zonas de la periferia del país, donde muchas veces no existe una presencia institucional tan robusta y un desarrollo económico exitoso como en otras regiones. </w:t>
      </w:r>
    </w:p>
    <w:p w:rsidR="00477601" w:rsidRDefault="00477601" w:rsidP="00477601">
      <w:pPr>
        <w:spacing w:before="240" w:line="360" w:lineRule="auto"/>
        <w:ind w:firstLine="708"/>
        <w:jc w:val="both"/>
        <w:rPr>
          <w:rFonts w:ascii="Arial" w:hAnsi="Arial" w:cs="Arial"/>
          <w:sz w:val="24"/>
          <w:szCs w:val="24"/>
        </w:rPr>
      </w:pPr>
      <w:r>
        <w:rPr>
          <w:rFonts w:ascii="Arial" w:hAnsi="Arial" w:cs="Arial"/>
          <w:sz w:val="24"/>
          <w:szCs w:val="24"/>
        </w:rPr>
        <w:t>Este diagnóstico general permite un primer acercamiento con las realidades de estas localidades, y así poder comprender de una manera más clara y guiada los siguientes apartados de análisis de la información.</w:t>
      </w:r>
    </w:p>
    <w:p w:rsidR="00477601" w:rsidRDefault="00477601" w:rsidP="00477601">
      <w:pPr>
        <w:spacing w:before="240" w:line="360" w:lineRule="auto"/>
        <w:ind w:firstLine="708"/>
        <w:jc w:val="both"/>
        <w:rPr>
          <w:rFonts w:ascii="Arial" w:hAnsi="Arial" w:cs="Arial"/>
          <w:sz w:val="24"/>
          <w:szCs w:val="24"/>
        </w:rPr>
      </w:pPr>
    </w:p>
    <w:p w:rsidR="00477601" w:rsidRDefault="00477601" w:rsidP="00477601">
      <w:pPr>
        <w:spacing w:before="240" w:line="360" w:lineRule="auto"/>
        <w:ind w:firstLine="708"/>
        <w:jc w:val="both"/>
        <w:rPr>
          <w:rFonts w:ascii="Arial" w:hAnsi="Arial" w:cs="Arial"/>
          <w:sz w:val="24"/>
          <w:szCs w:val="24"/>
        </w:rPr>
      </w:pPr>
    </w:p>
    <w:p w:rsidR="00477601" w:rsidRDefault="00477601" w:rsidP="00477601">
      <w:pPr>
        <w:spacing w:before="240" w:line="360" w:lineRule="auto"/>
        <w:ind w:firstLine="708"/>
        <w:jc w:val="both"/>
        <w:rPr>
          <w:rFonts w:ascii="Arial" w:hAnsi="Arial" w:cs="Arial"/>
          <w:sz w:val="24"/>
          <w:szCs w:val="24"/>
        </w:rPr>
      </w:pPr>
    </w:p>
    <w:p w:rsidR="00477601" w:rsidRPr="001D7DF6" w:rsidRDefault="00477601" w:rsidP="00477601">
      <w:pPr>
        <w:pStyle w:val="Ttulo2"/>
        <w:numPr>
          <w:ilvl w:val="1"/>
          <w:numId w:val="21"/>
        </w:numPr>
        <w:spacing w:before="200" w:line="360" w:lineRule="auto"/>
        <w:rPr>
          <w:rFonts w:ascii="Arial" w:hAnsi="Arial" w:cs="Arial"/>
          <w:b/>
          <w:color w:val="00000A"/>
        </w:rPr>
      </w:pPr>
      <w:bookmarkStart w:id="71" w:name="_Toc49628459"/>
      <w:bookmarkStart w:id="72" w:name="_Toc50906712"/>
      <w:bookmarkEnd w:id="71"/>
      <w:r w:rsidRPr="001D7DF6">
        <w:rPr>
          <w:rFonts w:ascii="Arial" w:hAnsi="Arial" w:cs="Arial"/>
          <w:b/>
          <w:color w:val="00000A"/>
        </w:rPr>
        <w:lastRenderedPageBreak/>
        <w:t>Estructura jurídica e institucional de las Áreas Marinas de Pesca Responsable</w:t>
      </w:r>
      <w:bookmarkEnd w:id="72"/>
    </w:p>
    <w:p w:rsidR="00477601" w:rsidRDefault="00477601" w:rsidP="00477601">
      <w:pPr>
        <w:spacing w:before="240" w:line="360" w:lineRule="auto"/>
        <w:ind w:firstLine="708"/>
        <w:jc w:val="both"/>
      </w:pPr>
      <w:r>
        <w:rPr>
          <w:rFonts w:ascii="Arial" w:hAnsi="Arial" w:cs="Arial"/>
          <w:sz w:val="24"/>
          <w:szCs w:val="24"/>
        </w:rPr>
        <w:t>Para esta investigación, se pretende describir de manera detallada y profunda las estructuras jurídicas e institucionales en las que se fundamentan las Áreas Marinas de Pesca Responsable, específicamente la ubicada en Paquera-Tambor.</w:t>
      </w:r>
    </w:p>
    <w:p w:rsidR="00477601" w:rsidRDefault="00477601" w:rsidP="00477601">
      <w:pPr>
        <w:spacing w:before="240" w:line="360" w:lineRule="auto"/>
        <w:ind w:firstLine="708"/>
        <w:jc w:val="both"/>
        <w:rPr>
          <w:rFonts w:ascii="Arial" w:hAnsi="Arial" w:cs="Arial"/>
          <w:sz w:val="24"/>
          <w:szCs w:val="24"/>
        </w:rPr>
      </w:pPr>
      <w:r>
        <w:rPr>
          <w:rFonts w:ascii="Arial" w:hAnsi="Arial" w:cs="Arial"/>
          <w:sz w:val="24"/>
          <w:szCs w:val="24"/>
        </w:rPr>
        <w:t xml:space="preserve">En una primera parte, se presentan algunas descripciones de conceptos propios en el tema de pesca, así como las generalidades jurídicas e institucionales del ordenamiento de los espacios marinos en Costa Rica. Posteriormente, se hace un análisis de la forma en que estas normativas y jurisdicciones se relacionan con el AMPR Paquera-Tambor. </w:t>
      </w:r>
    </w:p>
    <w:p w:rsidR="00477601" w:rsidRDefault="00477601" w:rsidP="00477601">
      <w:pPr>
        <w:spacing w:before="240" w:line="360" w:lineRule="auto"/>
        <w:ind w:firstLine="708"/>
        <w:jc w:val="both"/>
        <w:rPr>
          <w:rFonts w:ascii="Arial" w:hAnsi="Arial" w:cs="Arial"/>
          <w:sz w:val="24"/>
          <w:szCs w:val="24"/>
        </w:rPr>
      </w:pPr>
      <w:r>
        <w:rPr>
          <w:rFonts w:ascii="Arial" w:hAnsi="Arial" w:cs="Arial"/>
          <w:sz w:val="24"/>
          <w:szCs w:val="24"/>
        </w:rPr>
        <w:t>Por tanto, se inicia con la presentación de una serie de conceptos y/o definiciones técnicas para lograr un primer acercamiento sobre los límites, la soberanía y demás aspectos relacionados al recurso marítimo y pesquero en Costa Rica.</w:t>
      </w:r>
    </w:p>
    <w:p w:rsidR="00477601" w:rsidRDefault="00477601" w:rsidP="00477601">
      <w:pPr>
        <w:spacing w:before="240" w:line="360" w:lineRule="auto"/>
        <w:jc w:val="both"/>
        <w:rPr>
          <w:rFonts w:ascii="Arial" w:hAnsi="Arial" w:cs="Arial"/>
          <w:b/>
          <w:sz w:val="24"/>
          <w:szCs w:val="24"/>
        </w:rPr>
      </w:pPr>
      <w:r>
        <w:rPr>
          <w:rFonts w:ascii="Arial" w:hAnsi="Arial" w:cs="Arial"/>
          <w:b/>
          <w:sz w:val="24"/>
          <w:szCs w:val="24"/>
        </w:rPr>
        <w:t>Aguas jurisdiccionales</w:t>
      </w:r>
    </w:p>
    <w:p w:rsidR="00477601" w:rsidRDefault="00477601" w:rsidP="00477601">
      <w:pPr>
        <w:spacing w:before="240" w:line="360" w:lineRule="auto"/>
        <w:ind w:firstLine="708"/>
        <w:jc w:val="both"/>
        <w:rPr>
          <w:rFonts w:ascii="Arial" w:hAnsi="Arial" w:cs="Arial"/>
          <w:sz w:val="24"/>
          <w:szCs w:val="24"/>
        </w:rPr>
      </w:pPr>
      <w:r>
        <w:rPr>
          <w:rFonts w:ascii="Arial" w:hAnsi="Arial" w:cs="Arial"/>
          <w:sz w:val="24"/>
          <w:szCs w:val="24"/>
        </w:rPr>
        <w:t xml:space="preserve">Según lo establecido en el artículo 6 de la Constitución Política, </w:t>
      </w:r>
    </w:p>
    <w:p w:rsidR="00477601" w:rsidRDefault="00477601" w:rsidP="00477601">
      <w:pPr>
        <w:spacing w:before="240" w:line="360" w:lineRule="auto"/>
        <w:ind w:left="708"/>
        <w:jc w:val="both"/>
        <w:rPr>
          <w:rFonts w:ascii="Arial" w:hAnsi="Arial" w:cs="Arial"/>
          <w:sz w:val="24"/>
          <w:szCs w:val="24"/>
        </w:rPr>
      </w:pPr>
      <w:r>
        <w:rPr>
          <w:rFonts w:ascii="Arial" w:hAnsi="Arial" w:cs="Arial"/>
          <w:sz w:val="24"/>
          <w:szCs w:val="24"/>
        </w:rPr>
        <w:t>El Estado ejerce la soberanía completa y exclusiva […] en sus aguas territoriales en una distancia de doce millas a partir de la línea de bajamar a lo largo de sus costas […] ejerce además, una jurisdicción especial sobre los mares adyacentes, a fin de proteger, conservar y explotar con exclusividad todos los recursos y riquezas naturales existentes en las aguas. (1949)</w:t>
      </w:r>
    </w:p>
    <w:p w:rsidR="00477601" w:rsidRDefault="00477601" w:rsidP="00477601">
      <w:pPr>
        <w:spacing w:before="240" w:line="360" w:lineRule="auto"/>
        <w:ind w:firstLine="708"/>
        <w:jc w:val="both"/>
        <w:rPr>
          <w:rFonts w:ascii="Arial" w:hAnsi="Arial" w:cs="Arial"/>
          <w:sz w:val="24"/>
          <w:szCs w:val="24"/>
        </w:rPr>
      </w:pPr>
      <w:r>
        <w:rPr>
          <w:rFonts w:ascii="Arial" w:hAnsi="Arial" w:cs="Arial"/>
          <w:sz w:val="24"/>
          <w:szCs w:val="24"/>
        </w:rPr>
        <w:t>Asimismo, en la Ley N° 8436 de Pesca y Acuicultura del 2005, se estable que las aguas jurisdiccionales o patrimoniales son “Todas las aguas donde ejerce la soberanía, el control, la administración y la vigilancia del Estado costarricense, el cual ejerce, además, la jurisdicción en el mar hasta las 200 millas marítimas” (art. 2).</w:t>
      </w:r>
    </w:p>
    <w:p w:rsidR="00477601" w:rsidRDefault="00477601" w:rsidP="00477601">
      <w:pPr>
        <w:spacing w:before="240" w:line="360" w:lineRule="auto"/>
        <w:ind w:firstLine="708"/>
        <w:jc w:val="both"/>
      </w:pPr>
      <w:r>
        <w:rPr>
          <w:rFonts w:ascii="Arial" w:hAnsi="Arial" w:cs="Arial"/>
          <w:sz w:val="24"/>
          <w:szCs w:val="24"/>
        </w:rPr>
        <w:lastRenderedPageBreak/>
        <w:t xml:space="preserve">Costa Rica forma parte de la Convención de las Naciones Unidas Sobre el Derecho al Mar (CONVEMAR), el tratado multilateral que fue firmado y ratificado en 1982. Es este acuerdo el que confirma, una vez más, que todo Estado tiene derecho a establecer la anchura de su mar territorial hasta un límite que no exceda las 12 millas marinas. </w:t>
      </w:r>
    </w:p>
    <w:p w:rsidR="00477601" w:rsidRDefault="00477601" w:rsidP="00477601">
      <w:pPr>
        <w:spacing w:before="240" w:line="360" w:lineRule="auto"/>
        <w:jc w:val="both"/>
        <w:rPr>
          <w:rFonts w:ascii="Arial" w:hAnsi="Arial" w:cs="Arial"/>
          <w:b/>
          <w:sz w:val="24"/>
          <w:szCs w:val="24"/>
        </w:rPr>
      </w:pPr>
      <w:r>
        <w:rPr>
          <w:rFonts w:ascii="Arial" w:hAnsi="Arial" w:cs="Arial"/>
          <w:b/>
          <w:sz w:val="24"/>
          <w:szCs w:val="24"/>
        </w:rPr>
        <w:t>Zona Continua</w:t>
      </w:r>
    </w:p>
    <w:p w:rsidR="00477601" w:rsidRDefault="00477601" w:rsidP="00477601">
      <w:pPr>
        <w:spacing w:before="240" w:line="360" w:lineRule="auto"/>
        <w:ind w:firstLine="708"/>
        <w:jc w:val="both"/>
      </w:pPr>
      <w:r>
        <w:rPr>
          <w:rFonts w:ascii="Arial" w:hAnsi="Arial" w:cs="Arial"/>
          <w:sz w:val="24"/>
          <w:szCs w:val="24"/>
        </w:rPr>
        <w:t xml:space="preserve">Según lo establece el artículo 33 de la CONVEMAR, la zona continua son las 12 millas siguientes al mar territorial. En esta zona, el Estado ya no ejerce su soberanía absoluta como si lo hace en el mar territorial, pero puede tomar medidas de fiscalización necesarias para prevenir infracciones de sus leyes y reglamentos aduaneros, fiscales de migración o sanitarios. Además de sancionar las infracciones de esas leyes y reglamentos cometidas en su mar territorial. </w:t>
      </w:r>
      <w:r>
        <w:rPr>
          <w:rFonts w:ascii="Arial" w:hAnsi="Arial" w:cs="Arial"/>
          <w:b/>
          <w:i/>
          <w:sz w:val="24"/>
          <w:szCs w:val="24"/>
        </w:rPr>
        <w:t xml:space="preserve"> </w:t>
      </w:r>
    </w:p>
    <w:p w:rsidR="00477601" w:rsidRDefault="00477601" w:rsidP="00477601">
      <w:pPr>
        <w:spacing w:before="240" w:line="360" w:lineRule="auto"/>
        <w:jc w:val="both"/>
        <w:rPr>
          <w:rFonts w:ascii="Arial" w:hAnsi="Arial" w:cs="Arial"/>
          <w:b/>
          <w:sz w:val="24"/>
          <w:szCs w:val="24"/>
        </w:rPr>
      </w:pPr>
      <w:r>
        <w:rPr>
          <w:rFonts w:ascii="Arial" w:hAnsi="Arial" w:cs="Arial"/>
          <w:b/>
          <w:sz w:val="24"/>
          <w:szCs w:val="24"/>
        </w:rPr>
        <w:t xml:space="preserve">Zona Económica Exclusiva </w:t>
      </w:r>
    </w:p>
    <w:p w:rsidR="00477601" w:rsidRDefault="00477601" w:rsidP="00477601">
      <w:pPr>
        <w:spacing w:before="240" w:line="360" w:lineRule="auto"/>
        <w:ind w:firstLine="708"/>
        <w:jc w:val="both"/>
        <w:rPr>
          <w:rFonts w:ascii="Arial" w:hAnsi="Arial" w:cs="Arial"/>
          <w:sz w:val="24"/>
          <w:szCs w:val="24"/>
        </w:rPr>
      </w:pPr>
      <w:r>
        <w:rPr>
          <w:rFonts w:ascii="Arial" w:hAnsi="Arial" w:cs="Arial"/>
          <w:sz w:val="24"/>
          <w:szCs w:val="24"/>
        </w:rPr>
        <w:t>Es definida como:</w:t>
      </w:r>
    </w:p>
    <w:p w:rsidR="00477601" w:rsidRDefault="00477601" w:rsidP="00477601">
      <w:pPr>
        <w:spacing w:before="240" w:line="360" w:lineRule="auto"/>
        <w:ind w:left="708"/>
        <w:jc w:val="both"/>
        <w:rPr>
          <w:rFonts w:ascii="Arial" w:hAnsi="Arial" w:cs="Arial"/>
          <w:sz w:val="24"/>
          <w:szCs w:val="24"/>
        </w:rPr>
      </w:pPr>
      <w:r>
        <w:rPr>
          <w:rFonts w:ascii="Arial" w:hAnsi="Arial" w:cs="Arial"/>
          <w:sz w:val="24"/>
          <w:szCs w:val="24"/>
        </w:rPr>
        <w:t>Jurisdicción especial que el Estado costarricense ejerce sobre los mares adyacentes a su territorio, en un área que no se extenderá más allá de doscientas millas marinas contadas de las líneas de base a partir de las cuales se mide la anchura del mar territorial. En esta zona, el derecho internacional y la Constitución Política reconocen y dan al Estado costarricense una jurisdicción especial, a fin de proteger, conservar y aprovechar sosteniblemente todos los recursos y las riquezas naturales existentes en las aguas, suelo y subsuelo. (Cajiao. 2010. p.19)</w:t>
      </w:r>
    </w:p>
    <w:p w:rsidR="00477601" w:rsidRDefault="00477601" w:rsidP="00477601">
      <w:pPr>
        <w:spacing w:before="240" w:line="360" w:lineRule="auto"/>
        <w:ind w:firstLine="708"/>
        <w:jc w:val="both"/>
        <w:rPr>
          <w:rFonts w:ascii="Arial" w:hAnsi="Arial" w:cs="Arial"/>
          <w:sz w:val="24"/>
          <w:szCs w:val="24"/>
        </w:rPr>
      </w:pPr>
      <w:r>
        <w:rPr>
          <w:rFonts w:ascii="Arial" w:hAnsi="Arial" w:cs="Arial"/>
          <w:sz w:val="24"/>
          <w:szCs w:val="24"/>
        </w:rPr>
        <w:t xml:space="preserve">En ese sentido, el Estado posee derechos de soberanía para los fines de exploración, conservación y administración de los recursos naturales. Conjuntamente, puede establecer instalaciones, estructuras y promover la investigación científica marina.  </w:t>
      </w:r>
    </w:p>
    <w:p w:rsidR="00477601" w:rsidRDefault="00477601" w:rsidP="00477601">
      <w:pPr>
        <w:spacing w:before="240" w:line="360" w:lineRule="auto"/>
        <w:ind w:firstLine="708"/>
        <w:jc w:val="both"/>
        <w:rPr>
          <w:rFonts w:ascii="Arial" w:hAnsi="Arial" w:cs="Arial"/>
          <w:sz w:val="24"/>
          <w:szCs w:val="24"/>
        </w:rPr>
      </w:pPr>
      <w:r>
        <w:rPr>
          <w:rFonts w:ascii="Arial" w:hAnsi="Arial" w:cs="Arial"/>
          <w:sz w:val="24"/>
          <w:szCs w:val="24"/>
        </w:rPr>
        <w:lastRenderedPageBreak/>
        <w:t>Para resumir este apartado, a continuación se presenta una figura que sintetiza los espacios marinos del Estado costarricense.</w:t>
      </w:r>
    </w:p>
    <w:p w:rsidR="00477601" w:rsidRDefault="00477601" w:rsidP="00477601">
      <w:pPr>
        <w:spacing w:before="240" w:line="360" w:lineRule="auto"/>
        <w:ind w:firstLine="708"/>
        <w:jc w:val="both"/>
        <w:rPr>
          <w:rFonts w:ascii="Arial" w:hAnsi="Arial" w:cs="Arial"/>
          <w:sz w:val="24"/>
          <w:szCs w:val="24"/>
        </w:rPr>
      </w:pPr>
      <w:r>
        <w:rPr>
          <w:rFonts w:ascii="Arial" w:hAnsi="Arial" w:cs="Arial"/>
          <w:noProof/>
          <w:sz w:val="24"/>
          <w:szCs w:val="24"/>
          <w:lang w:eastAsia="es-CR"/>
        </w:rPr>
        <w:drawing>
          <wp:anchor distT="0" distB="3175" distL="114300" distR="123190" simplePos="0" relativeHeight="251665408" behindDoc="0" locked="0" layoutInCell="1" allowOverlap="1" wp14:anchorId="542053C5" wp14:editId="773A8428">
            <wp:simplePos x="0" y="0"/>
            <wp:positionH relativeFrom="column">
              <wp:posOffset>786765</wp:posOffset>
            </wp:positionH>
            <wp:positionV relativeFrom="paragraph">
              <wp:posOffset>110490</wp:posOffset>
            </wp:positionV>
            <wp:extent cx="4048125" cy="2492375"/>
            <wp:effectExtent l="0" t="0" r="0" b="0"/>
            <wp:wrapSquare wrapText="largest"/>
            <wp:docPr id="17"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Imagen 1"/>
                    <pic:cNvPicPr>
                      <a:picLocks noChangeAspect="1" noChangeArrowheads="1"/>
                    </pic:cNvPicPr>
                  </pic:nvPicPr>
                  <pic:blipFill>
                    <a:blip r:embed="rId28"/>
                    <a:stretch>
                      <a:fillRect/>
                    </a:stretch>
                  </pic:blipFill>
                  <pic:spPr bwMode="auto">
                    <a:xfrm>
                      <a:off x="0" y="0"/>
                      <a:ext cx="4048125" cy="2492375"/>
                    </a:xfrm>
                    <a:prstGeom prst="rect">
                      <a:avLst/>
                    </a:prstGeom>
                  </pic:spPr>
                </pic:pic>
              </a:graphicData>
            </a:graphic>
          </wp:anchor>
        </w:drawing>
      </w:r>
    </w:p>
    <w:p w:rsidR="00477601" w:rsidRDefault="00477601" w:rsidP="00477601">
      <w:pPr>
        <w:spacing w:after="0" w:line="360" w:lineRule="auto"/>
        <w:rPr>
          <w:rFonts w:ascii="Arial" w:hAnsi="Arial" w:cs="Arial"/>
          <w:b/>
          <w:sz w:val="24"/>
          <w:szCs w:val="24"/>
        </w:rPr>
      </w:pPr>
    </w:p>
    <w:p w:rsidR="00477601" w:rsidRDefault="00477601" w:rsidP="00477601">
      <w:pPr>
        <w:spacing w:before="240" w:line="360" w:lineRule="auto"/>
        <w:jc w:val="center"/>
        <w:rPr>
          <w:rFonts w:ascii="Arial" w:hAnsi="Arial" w:cs="Arial"/>
          <w:sz w:val="24"/>
          <w:szCs w:val="24"/>
        </w:rPr>
      </w:pPr>
    </w:p>
    <w:p w:rsidR="00477601" w:rsidRDefault="00477601" w:rsidP="00477601">
      <w:pPr>
        <w:spacing w:before="240" w:line="360" w:lineRule="auto"/>
        <w:jc w:val="both"/>
        <w:rPr>
          <w:rFonts w:ascii="Arial" w:hAnsi="Arial" w:cs="Arial"/>
          <w:sz w:val="24"/>
          <w:szCs w:val="24"/>
        </w:rPr>
      </w:pPr>
    </w:p>
    <w:p w:rsidR="00477601" w:rsidRDefault="00477601" w:rsidP="00477601">
      <w:pPr>
        <w:spacing w:before="240" w:line="360" w:lineRule="auto"/>
        <w:jc w:val="both"/>
        <w:rPr>
          <w:rFonts w:ascii="Arial" w:hAnsi="Arial" w:cs="Arial"/>
          <w:sz w:val="24"/>
          <w:szCs w:val="24"/>
        </w:rPr>
      </w:pPr>
    </w:p>
    <w:p w:rsidR="00477601" w:rsidRDefault="00477601" w:rsidP="00477601">
      <w:pPr>
        <w:spacing w:before="240" w:line="360" w:lineRule="auto"/>
        <w:jc w:val="both"/>
        <w:rPr>
          <w:rFonts w:ascii="Arial" w:hAnsi="Arial" w:cs="Arial"/>
          <w:sz w:val="24"/>
          <w:szCs w:val="24"/>
        </w:rPr>
      </w:pPr>
    </w:p>
    <w:p w:rsidR="00477601" w:rsidRDefault="00477601" w:rsidP="00477601">
      <w:pPr>
        <w:spacing w:before="240" w:line="360" w:lineRule="auto"/>
        <w:rPr>
          <w:rFonts w:ascii="Arial" w:hAnsi="Arial" w:cs="Arial"/>
          <w:sz w:val="20"/>
          <w:szCs w:val="24"/>
        </w:rPr>
      </w:pPr>
    </w:p>
    <w:p w:rsidR="00477601" w:rsidRDefault="00477601" w:rsidP="00477601">
      <w:pPr>
        <w:spacing w:before="240" w:line="480" w:lineRule="auto"/>
        <w:jc w:val="center"/>
        <w:rPr>
          <w:rFonts w:ascii="Arial" w:hAnsi="Arial" w:cs="Arial"/>
          <w:sz w:val="24"/>
          <w:szCs w:val="24"/>
        </w:rPr>
      </w:pPr>
      <w:r>
        <w:rPr>
          <w:rFonts w:ascii="Arial" w:hAnsi="Arial" w:cs="Arial"/>
          <w:sz w:val="24"/>
          <w:szCs w:val="24"/>
        </w:rPr>
        <w:t>Figura N° 5. Delimitación de los Espacios Marítimo en Costa Rica</w:t>
      </w:r>
    </w:p>
    <w:p w:rsidR="00477601" w:rsidRDefault="00477601" w:rsidP="00477601">
      <w:pPr>
        <w:spacing w:before="240" w:line="360" w:lineRule="auto"/>
        <w:jc w:val="both"/>
        <w:rPr>
          <w:rFonts w:ascii="Arial" w:hAnsi="Arial" w:cs="Arial"/>
          <w:b/>
          <w:sz w:val="24"/>
          <w:szCs w:val="26"/>
        </w:rPr>
      </w:pPr>
      <w:r>
        <w:rPr>
          <w:rFonts w:ascii="Arial" w:hAnsi="Arial" w:cs="Arial"/>
          <w:b/>
          <w:sz w:val="24"/>
          <w:szCs w:val="26"/>
        </w:rPr>
        <w:t>Normativa aplicable a los espacios marinos de Costa Rica</w:t>
      </w:r>
    </w:p>
    <w:p w:rsidR="00477601" w:rsidRDefault="00477601" w:rsidP="00477601">
      <w:pPr>
        <w:spacing w:before="240" w:line="360" w:lineRule="auto"/>
        <w:jc w:val="both"/>
        <w:rPr>
          <w:rFonts w:ascii="Arial" w:hAnsi="Arial" w:cs="Arial"/>
          <w:sz w:val="24"/>
          <w:szCs w:val="24"/>
        </w:rPr>
      </w:pPr>
      <w:r>
        <w:rPr>
          <w:rFonts w:ascii="Arial" w:hAnsi="Arial" w:cs="Arial"/>
          <w:sz w:val="24"/>
          <w:szCs w:val="24"/>
        </w:rPr>
        <w:t xml:space="preserve"> </w:t>
      </w:r>
      <w:r>
        <w:rPr>
          <w:rFonts w:ascii="Arial" w:hAnsi="Arial" w:cs="Arial"/>
          <w:sz w:val="24"/>
          <w:szCs w:val="24"/>
        </w:rPr>
        <w:tab/>
        <w:t>A lo largo de la historia del Estado costarricense, se han establecido numerosas normativas referentes a los espacios marinos como bien público, que van desde la Constitución Política, tratados internacionales y hasta la legislación interna específica.</w:t>
      </w:r>
    </w:p>
    <w:p w:rsidR="00477601" w:rsidRDefault="00477601" w:rsidP="00477601">
      <w:pPr>
        <w:spacing w:before="240" w:line="360" w:lineRule="auto"/>
        <w:ind w:firstLine="708"/>
        <w:jc w:val="both"/>
        <w:rPr>
          <w:rFonts w:ascii="Arial" w:hAnsi="Arial" w:cs="Arial"/>
          <w:sz w:val="24"/>
          <w:szCs w:val="24"/>
        </w:rPr>
      </w:pPr>
      <w:r>
        <w:rPr>
          <w:rFonts w:ascii="Arial" w:hAnsi="Arial" w:cs="Arial"/>
          <w:sz w:val="24"/>
          <w:szCs w:val="24"/>
        </w:rPr>
        <w:t xml:space="preserve">A nivel constitucional, ya se especificó anteriormente el artículo 6 de la Constitución Política que expone los principios de soberanía que posee el Estado sobre sus aguas territoriales. </w:t>
      </w:r>
    </w:p>
    <w:p w:rsidR="00477601" w:rsidRDefault="00477601" w:rsidP="00477601">
      <w:pPr>
        <w:pStyle w:val="Prrafodelista"/>
        <w:spacing w:before="240" w:after="200" w:line="360" w:lineRule="auto"/>
        <w:jc w:val="both"/>
        <w:rPr>
          <w:rFonts w:ascii="Arial" w:hAnsi="Arial" w:cs="Arial"/>
          <w:b/>
          <w:sz w:val="24"/>
          <w:szCs w:val="24"/>
        </w:rPr>
      </w:pPr>
      <w:r>
        <w:br w:type="page"/>
      </w:r>
    </w:p>
    <w:p w:rsidR="00477601" w:rsidRDefault="00477601" w:rsidP="00477601">
      <w:pPr>
        <w:pStyle w:val="Prrafodelista"/>
        <w:numPr>
          <w:ilvl w:val="0"/>
          <w:numId w:val="18"/>
        </w:numPr>
        <w:spacing w:before="240" w:after="200" w:line="360" w:lineRule="auto"/>
        <w:jc w:val="both"/>
        <w:rPr>
          <w:rFonts w:ascii="Arial" w:hAnsi="Arial" w:cs="Arial"/>
          <w:b/>
          <w:sz w:val="24"/>
          <w:szCs w:val="24"/>
        </w:rPr>
      </w:pPr>
      <w:r>
        <w:rPr>
          <w:rFonts w:ascii="Arial" w:hAnsi="Arial" w:cs="Arial"/>
          <w:b/>
          <w:sz w:val="24"/>
          <w:szCs w:val="24"/>
        </w:rPr>
        <w:lastRenderedPageBreak/>
        <w:t xml:space="preserve">Tratados internacionales </w:t>
      </w:r>
    </w:p>
    <w:p w:rsidR="00477601" w:rsidRDefault="00477601" w:rsidP="00477601">
      <w:pPr>
        <w:spacing w:before="240" w:line="360" w:lineRule="auto"/>
        <w:ind w:firstLine="708"/>
        <w:jc w:val="both"/>
        <w:rPr>
          <w:rFonts w:ascii="Arial" w:hAnsi="Arial" w:cs="Arial"/>
          <w:sz w:val="24"/>
          <w:szCs w:val="24"/>
        </w:rPr>
      </w:pPr>
      <w:r>
        <w:rPr>
          <w:rFonts w:ascii="Arial" w:hAnsi="Arial" w:cs="Arial"/>
          <w:sz w:val="24"/>
          <w:szCs w:val="24"/>
        </w:rPr>
        <w:t xml:space="preserve">Costa Rica ha suscrito numerosos acuerdos o tratados internacionales en relación con los recursos marítimos. A continuación, se presentan algunos de los más relevantes. </w:t>
      </w:r>
    </w:p>
    <w:p w:rsidR="00477601" w:rsidRDefault="00477601" w:rsidP="00477601">
      <w:pPr>
        <w:pStyle w:val="Prrafodelista"/>
        <w:numPr>
          <w:ilvl w:val="0"/>
          <w:numId w:val="17"/>
        </w:numPr>
        <w:spacing w:before="240" w:after="200" w:line="360" w:lineRule="auto"/>
        <w:ind w:left="1068"/>
        <w:jc w:val="both"/>
        <w:rPr>
          <w:rFonts w:ascii="Arial" w:hAnsi="Arial" w:cs="Arial"/>
          <w:sz w:val="24"/>
          <w:szCs w:val="24"/>
        </w:rPr>
      </w:pPr>
      <w:r>
        <w:rPr>
          <w:rFonts w:ascii="Arial" w:hAnsi="Arial" w:cs="Arial"/>
          <w:i/>
          <w:sz w:val="24"/>
          <w:szCs w:val="24"/>
        </w:rPr>
        <w:t xml:space="preserve">Convención de las Naciones Unidas sobre el Derecho al Mar: </w:t>
      </w:r>
      <w:r>
        <w:rPr>
          <w:rFonts w:ascii="Arial" w:hAnsi="Arial" w:cs="Arial"/>
          <w:sz w:val="24"/>
          <w:szCs w:val="24"/>
        </w:rPr>
        <w:t xml:space="preserve">Aprobada en Costa Rica mediante la Ley N° 7291 en 1992. Establece la jurisdicción, derechos y deberes de los Estados sobre los espacios marinos. </w:t>
      </w:r>
    </w:p>
    <w:p w:rsidR="00477601" w:rsidRDefault="00477601" w:rsidP="00477601">
      <w:pPr>
        <w:pStyle w:val="Prrafodelista"/>
        <w:numPr>
          <w:ilvl w:val="0"/>
          <w:numId w:val="17"/>
        </w:numPr>
        <w:spacing w:before="240" w:after="200" w:line="360" w:lineRule="auto"/>
        <w:ind w:left="1068"/>
        <w:jc w:val="both"/>
        <w:rPr>
          <w:rFonts w:ascii="Arial" w:hAnsi="Arial" w:cs="Arial"/>
          <w:sz w:val="24"/>
          <w:szCs w:val="24"/>
        </w:rPr>
      </w:pPr>
      <w:r>
        <w:rPr>
          <w:rFonts w:ascii="Arial" w:hAnsi="Arial" w:cs="Arial"/>
          <w:i/>
          <w:sz w:val="24"/>
          <w:szCs w:val="24"/>
        </w:rPr>
        <w:t xml:space="preserve">Convenio Constitutivo de la Organización Latinoamericana de Desarrollo Pesquero: </w:t>
      </w:r>
      <w:r>
        <w:rPr>
          <w:rFonts w:ascii="Arial" w:hAnsi="Arial" w:cs="Arial"/>
          <w:sz w:val="24"/>
          <w:szCs w:val="24"/>
        </w:rPr>
        <w:t>En el país fue aprobado mediante la ley N°7614 en 1996. Uno de sus objetivos es</w:t>
      </w:r>
    </w:p>
    <w:p w:rsidR="00477601" w:rsidRDefault="00477601" w:rsidP="00477601">
      <w:pPr>
        <w:spacing w:before="240" w:line="360" w:lineRule="auto"/>
        <w:ind w:left="708"/>
        <w:jc w:val="both"/>
      </w:pPr>
      <w:r>
        <w:rPr>
          <w:rFonts w:ascii="Arial" w:hAnsi="Arial" w:cs="Arial"/>
          <w:sz w:val="24"/>
          <w:szCs w:val="24"/>
        </w:rPr>
        <w:t>[…] atender adecuadamente las exigencias alimentarias de América Latina, utilizando su potencial de recursos pesqueros en beneficio de sus pueblos, mediante la concertación de acciones conjuntas tendientes al desarrollo constante de los países y al fortalecimiento permanente de la cooperación regional en el sector. (Lobo, A. 2012. p. 29)</w:t>
      </w:r>
    </w:p>
    <w:p w:rsidR="00477601" w:rsidRDefault="00477601" w:rsidP="00477601">
      <w:pPr>
        <w:pStyle w:val="Prrafodelista"/>
        <w:numPr>
          <w:ilvl w:val="0"/>
          <w:numId w:val="17"/>
        </w:numPr>
        <w:spacing w:before="240" w:after="200" w:line="360" w:lineRule="auto"/>
        <w:ind w:left="1068"/>
        <w:jc w:val="both"/>
        <w:rPr>
          <w:rFonts w:ascii="Arial" w:hAnsi="Arial" w:cs="Arial"/>
          <w:sz w:val="24"/>
          <w:szCs w:val="24"/>
        </w:rPr>
      </w:pPr>
      <w:r>
        <w:rPr>
          <w:rFonts w:ascii="Arial" w:hAnsi="Arial" w:cs="Arial"/>
          <w:i/>
          <w:sz w:val="24"/>
          <w:szCs w:val="24"/>
        </w:rPr>
        <w:t xml:space="preserve">Código de Conducta para la Pesca Responsable de la Organización de las Naciones Unidas para la Agricultura y la Alimentación: </w:t>
      </w:r>
      <w:r>
        <w:rPr>
          <w:rFonts w:ascii="Arial" w:hAnsi="Arial" w:cs="Arial"/>
          <w:sz w:val="24"/>
          <w:szCs w:val="24"/>
        </w:rPr>
        <w:t>Es un instrumento de prácticas responsables con miras a asegurar la conservación, la gestión y el desarrollo eficaz de los recursos acuáticos vivos (Lobo, A. 2012. PP. 29). Este código entró a regir en el país con la aprobación del decreto ejecutivo N°27919 en 1999.</w:t>
      </w:r>
    </w:p>
    <w:p w:rsidR="00477601" w:rsidRDefault="00477601" w:rsidP="00477601">
      <w:pPr>
        <w:spacing w:before="240" w:line="360" w:lineRule="auto"/>
        <w:ind w:firstLine="708"/>
        <w:jc w:val="both"/>
        <w:rPr>
          <w:rFonts w:ascii="Arial" w:hAnsi="Arial" w:cs="Arial"/>
          <w:sz w:val="24"/>
          <w:szCs w:val="24"/>
        </w:rPr>
      </w:pPr>
      <w:r>
        <w:rPr>
          <w:rFonts w:ascii="Arial" w:hAnsi="Arial" w:cs="Arial"/>
          <w:sz w:val="24"/>
          <w:szCs w:val="24"/>
        </w:rPr>
        <w:t>Es importante destacar que, aunque desde la Constitución Política de 1949 se establece explícitamente la soberanía del Estado sobre los recursos marítimos y a pesar de que ya existían numerosos tratados internacionales, es hasta la década de los noventa que los gobiernos deciden instaurar dichos convenios internacionales en la jurisdicción relacionada a la materia marítima.</w:t>
      </w:r>
    </w:p>
    <w:p w:rsidR="00477601" w:rsidRDefault="00477601" w:rsidP="00477601">
      <w:pPr>
        <w:spacing w:before="240" w:line="360" w:lineRule="auto"/>
        <w:ind w:firstLine="708"/>
        <w:jc w:val="both"/>
        <w:rPr>
          <w:rFonts w:ascii="Arial" w:hAnsi="Arial" w:cs="Arial"/>
          <w:sz w:val="24"/>
          <w:szCs w:val="24"/>
        </w:rPr>
      </w:pPr>
    </w:p>
    <w:p w:rsidR="00477601" w:rsidRDefault="00477601" w:rsidP="00477601">
      <w:pPr>
        <w:pStyle w:val="Prrafodelista"/>
        <w:numPr>
          <w:ilvl w:val="0"/>
          <w:numId w:val="18"/>
        </w:numPr>
        <w:spacing w:before="240" w:after="200" w:line="360" w:lineRule="auto"/>
        <w:jc w:val="both"/>
        <w:rPr>
          <w:rFonts w:ascii="Arial" w:hAnsi="Arial" w:cs="Arial"/>
          <w:b/>
          <w:sz w:val="24"/>
          <w:szCs w:val="24"/>
        </w:rPr>
      </w:pPr>
      <w:r>
        <w:rPr>
          <w:rFonts w:ascii="Arial" w:hAnsi="Arial" w:cs="Arial"/>
          <w:b/>
          <w:sz w:val="24"/>
          <w:szCs w:val="24"/>
        </w:rPr>
        <w:lastRenderedPageBreak/>
        <w:t>Legislación interna</w:t>
      </w:r>
    </w:p>
    <w:p w:rsidR="00477601" w:rsidRDefault="00477601" w:rsidP="00477601">
      <w:pPr>
        <w:spacing w:before="240" w:line="360" w:lineRule="auto"/>
        <w:ind w:firstLine="708"/>
        <w:jc w:val="both"/>
        <w:rPr>
          <w:rFonts w:ascii="Arial" w:hAnsi="Arial" w:cs="Arial"/>
          <w:sz w:val="24"/>
          <w:szCs w:val="24"/>
        </w:rPr>
      </w:pPr>
      <w:r>
        <w:rPr>
          <w:rFonts w:ascii="Arial" w:hAnsi="Arial" w:cs="Arial"/>
          <w:sz w:val="24"/>
          <w:szCs w:val="24"/>
        </w:rPr>
        <w:t xml:space="preserve">Desde la década de los cuarenta, diversas conformaciones de la Asamblea Legislativa han emitido leyes relacionada con el tema de pesca. Seguidamente, se mencionan de manera general cuales son estas leyes y su año de aprobación. </w:t>
      </w:r>
    </w:p>
    <w:p w:rsidR="00477601" w:rsidRDefault="00477601" w:rsidP="00477601">
      <w:pPr>
        <w:pStyle w:val="Prrafodelista"/>
        <w:numPr>
          <w:ilvl w:val="0"/>
          <w:numId w:val="17"/>
        </w:numPr>
        <w:spacing w:before="240" w:after="200" w:line="360" w:lineRule="auto"/>
        <w:ind w:left="1068"/>
        <w:jc w:val="both"/>
        <w:rPr>
          <w:rFonts w:ascii="Arial" w:hAnsi="Arial" w:cs="Arial"/>
          <w:sz w:val="24"/>
          <w:szCs w:val="24"/>
        </w:rPr>
      </w:pPr>
      <w:r>
        <w:rPr>
          <w:rFonts w:ascii="Arial" w:hAnsi="Arial" w:cs="Arial"/>
          <w:sz w:val="24"/>
          <w:szCs w:val="24"/>
        </w:rPr>
        <w:t>Ley de Aguas N° 276, aprobada en agosto de 1942.</w:t>
      </w:r>
    </w:p>
    <w:p w:rsidR="00477601" w:rsidRDefault="00477601" w:rsidP="00477601">
      <w:pPr>
        <w:pStyle w:val="Prrafodelista"/>
        <w:numPr>
          <w:ilvl w:val="0"/>
          <w:numId w:val="17"/>
        </w:numPr>
        <w:spacing w:before="240" w:after="200" w:line="360" w:lineRule="auto"/>
        <w:ind w:left="1068"/>
        <w:jc w:val="both"/>
        <w:rPr>
          <w:rFonts w:ascii="Arial" w:hAnsi="Arial" w:cs="Arial"/>
          <w:sz w:val="24"/>
          <w:szCs w:val="24"/>
        </w:rPr>
      </w:pPr>
      <w:r>
        <w:rPr>
          <w:rFonts w:ascii="Arial" w:hAnsi="Arial" w:cs="Arial"/>
          <w:sz w:val="24"/>
          <w:szCs w:val="24"/>
        </w:rPr>
        <w:t>Ley Orgánica del Ambiente N° 7554, aprobada en noviembre de 1995.</w:t>
      </w:r>
    </w:p>
    <w:p w:rsidR="00477601" w:rsidRDefault="00477601" w:rsidP="00477601">
      <w:pPr>
        <w:pStyle w:val="Prrafodelista"/>
        <w:numPr>
          <w:ilvl w:val="0"/>
          <w:numId w:val="17"/>
        </w:numPr>
        <w:spacing w:before="240" w:after="200" w:line="360" w:lineRule="auto"/>
        <w:ind w:left="1068"/>
        <w:jc w:val="both"/>
        <w:rPr>
          <w:rFonts w:ascii="Arial" w:hAnsi="Arial" w:cs="Arial"/>
          <w:sz w:val="24"/>
          <w:szCs w:val="24"/>
        </w:rPr>
      </w:pPr>
      <w:r>
        <w:rPr>
          <w:rFonts w:ascii="Arial" w:hAnsi="Arial" w:cs="Arial"/>
          <w:sz w:val="24"/>
          <w:szCs w:val="24"/>
        </w:rPr>
        <w:t>Ley de Pesca y Acuicultura N°8436, aprobada en abril de 2005.</w:t>
      </w:r>
    </w:p>
    <w:p w:rsidR="00477601" w:rsidRDefault="00477601" w:rsidP="00477601">
      <w:pPr>
        <w:spacing w:before="240" w:line="360" w:lineRule="auto"/>
        <w:ind w:firstLine="708"/>
        <w:jc w:val="both"/>
        <w:rPr>
          <w:rFonts w:ascii="Arial" w:hAnsi="Arial" w:cs="Arial"/>
          <w:sz w:val="24"/>
          <w:szCs w:val="24"/>
        </w:rPr>
      </w:pPr>
      <w:r>
        <w:rPr>
          <w:rFonts w:ascii="Arial" w:hAnsi="Arial" w:cs="Arial"/>
          <w:sz w:val="24"/>
          <w:szCs w:val="24"/>
        </w:rPr>
        <w:t xml:space="preserve">Por otra parte, también han existido esfuerzos por parte del Poder Ejecutivo, emitiendo a través del Ministerio de Agricultura y Ganadería la Política Nacional Pesquera mediante el decreto N°35260 – MAG en julio de 2009. En su primer artículo establece que: </w:t>
      </w:r>
    </w:p>
    <w:p w:rsidR="00477601" w:rsidRDefault="00477601" w:rsidP="00477601">
      <w:pPr>
        <w:spacing w:before="240" w:line="360" w:lineRule="auto"/>
        <w:ind w:left="708"/>
        <w:jc w:val="both"/>
        <w:rPr>
          <w:rFonts w:ascii="Arial" w:hAnsi="Arial" w:cs="Arial"/>
          <w:sz w:val="24"/>
          <w:szCs w:val="24"/>
        </w:rPr>
      </w:pPr>
      <w:r>
        <w:rPr>
          <w:rFonts w:ascii="Arial" w:hAnsi="Arial" w:cs="Arial"/>
          <w:sz w:val="24"/>
          <w:szCs w:val="24"/>
        </w:rPr>
        <w:t>Es Política Nacional prioritaria el impulso al desarrollo sostenible de las actividades y las comunidades pesqueras y acuícolas del país mediante el desarrollo urgente de políticas, planes y procedimientos que garanticen la competitividad en el abastecimiento del mercado local y la participación del producto nacional en el mercado internacional de los productos pesqueros y acuícolas bajo condiciones de eficiencia en la gestión de la biomasa pesquera, razonabilidad de costos, eliminación de trámites burocráticos no indispensables, control y compensación en el impacto ambiental, inocuidad sanitaria de los productos resultantes y mayor distribución de la riqueza. (2009)</w:t>
      </w:r>
    </w:p>
    <w:p w:rsidR="00477601" w:rsidRDefault="00477601" w:rsidP="00477601">
      <w:pPr>
        <w:spacing w:before="240" w:line="360" w:lineRule="auto"/>
        <w:ind w:firstLine="708"/>
        <w:jc w:val="both"/>
        <w:rPr>
          <w:rFonts w:ascii="Arial" w:hAnsi="Arial" w:cs="Arial"/>
          <w:sz w:val="24"/>
          <w:szCs w:val="24"/>
        </w:rPr>
      </w:pPr>
      <w:r>
        <w:rPr>
          <w:rFonts w:ascii="Arial" w:hAnsi="Arial" w:cs="Arial"/>
          <w:sz w:val="24"/>
          <w:szCs w:val="24"/>
        </w:rPr>
        <w:t xml:space="preserve">Dentro de la misma legislación interna, existe una jurisprudencia constitucional alrededor del tema pesquero. Por ejemplo, en el voto N°10484-2004 en el año 2004, la Sala Constitucional sentencia lo siguiente: </w:t>
      </w:r>
    </w:p>
    <w:p w:rsidR="00477601" w:rsidRDefault="00477601" w:rsidP="00477601">
      <w:pPr>
        <w:spacing w:before="240" w:line="360" w:lineRule="auto"/>
        <w:ind w:left="708"/>
        <w:jc w:val="both"/>
      </w:pPr>
      <w:r>
        <w:rPr>
          <w:rFonts w:ascii="Arial" w:hAnsi="Arial" w:cs="Arial"/>
          <w:sz w:val="24"/>
          <w:szCs w:val="24"/>
        </w:rPr>
        <w:t xml:space="preserve">Diversas razones obligan al Estado a hacer uso de sus mejores esfuerzos con el objeto de tutelar en forma adecuada sus inmensos espacios de mar territorial, de zona económica exclusiva, así como sus aguas internas. Por un lado, tiene un deber ineludible de velar por la preservación del medio </w:t>
      </w:r>
      <w:r>
        <w:rPr>
          <w:rFonts w:ascii="Arial" w:hAnsi="Arial" w:cs="Arial"/>
          <w:sz w:val="24"/>
          <w:szCs w:val="24"/>
        </w:rPr>
        <w:lastRenderedPageBreak/>
        <w:t>ambiente, y ello por supuesto incluye la adopción de aquellas medidas necesarias para evitar daños en los ecosistemas marítimos y acuáticos en general, proteger las especies de seres vivos que habiten dichos medios, prevenir la contaminación de los mares y aguas internas, así como reaccionar con energía ante las actuaciones que atenten contra la integridad del medio ambiente acuático. Asimismo, el Estado está igualmente compelido por la Constitución Política a garantizar medios de subsistencia dignos y suficientes para todos sus habitantes, procurando un adecuado reparto de la riqueza generada. […] Por un lado, se busca tutelar un ecosistema esencial para la sobrevivencia de la biosfera. Al mismo tiempo, reconoce que la actividad pesca y acuicultura constituyen actividades económicas lícitas y de gran importancia para la salud alimentaria de la población y generadoras de considerables beneficios para quienes a ellas se dedican y para el país, pero que por la delicadeza e importancia del medio en que se desarrollan, deben estar sometidas a una estricta regulación. Parte asimismo de la necesidad de defender el patrimonio público, en particular en lo concerniente a los recursos hidrobiológicos que le pertenecen a la Nación en su condición de bienes públicos. (2004)</w:t>
      </w:r>
    </w:p>
    <w:p w:rsidR="00477601" w:rsidRPr="00D70294" w:rsidRDefault="00477601" w:rsidP="00477601">
      <w:pPr>
        <w:spacing w:before="240" w:line="360" w:lineRule="auto"/>
        <w:ind w:firstLine="708"/>
        <w:jc w:val="both"/>
        <w:rPr>
          <w:rFonts w:ascii="Arial" w:hAnsi="Arial" w:cs="Arial"/>
          <w:sz w:val="24"/>
          <w:szCs w:val="24"/>
        </w:rPr>
      </w:pPr>
      <w:r>
        <w:rPr>
          <w:rFonts w:ascii="Arial" w:hAnsi="Arial" w:cs="Arial"/>
          <w:sz w:val="24"/>
          <w:szCs w:val="24"/>
        </w:rPr>
        <w:t>Según toda la información emitida anteriormente, en Costa Rica existe un robusto marco jurídico en el tema pesquero; ostentando normativas internacionales, junto con leyes, normas, jurisprudencia y decretos internos que regulan la actividad pesquera del país.</w:t>
      </w:r>
    </w:p>
    <w:p w:rsidR="00477601" w:rsidRDefault="00477601" w:rsidP="00477601">
      <w:pPr>
        <w:pStyle w:val="Prrafodelista"/>
        <w:numPr>
          <w:ilvl w:val="0"/>
          <w:numId w:val="18"/>
        </w:numPr>
        <w:spacing w:before="280" w:line="360" w:lineRule="auto"/>
        <w:jc w:val="both"/>
        <w:rPr>
          <w:rFonts w:ascii="Arial" w:hAnsi="Arial" w:cs="Arial"/>
          <w:b/>
          <w:sz w:val="24"/>
          <w:szCs w:val="24"/>
        </w:rPr>
      </w:pPr>
      <w:r>
        <w:rPr>
          <w:rFonts w:ascii="Arial" w:hAnsi="Arial" w:cs="Arial"/>
          <w:b/>
          <w:sz w:val="24"/>
          <w:szCs w:val="24"/>
        </w:rPr>
        <w:t xml:space="preserve">Reglamentos </w:t>
      </w:r>
    </w:p>
    <w:p w:rsidR="00477601" w:rsidRDefault="00477601" w:rsidP="00477601">
      <w:pPr>
        <w:spacing w:before="280" w:line="360" w:lineRule="auto"/>
        <w:ind w:firstLine="708"/>
        <w:jc w:val="both"/>
        <w:rPr>
          <w:rFonts w:ascii="Arial" w:hAnsi="Arial" w:cs="Arial"/>
          <w:sz w:val="24"/>
          <w:szCs w:val="24"/>
        </w:rPr>
      </w:pPr>
      <w:r>
        <w:rPr>
          <w:rFonts w:ascii="Arial" w:hAnsi="Arial" w:cs="Arial"/>
          <w:sz w:val="24"/>
          <w:szCs w:val="24"/>
        </w:rPr>
        <w:t>El Reglamento para el Establecimiento de las Áreas Marinas de Pesca Responsable y la Declaratoria de Interés Público Nacional de las Áreas Marinas de pesca Responsable, corresponde al decreto ejecutivo N° 35502-MAG y es el reglamento más específico del funcionamiento de las AMPR en el país.</w:t>
      </w:r>
    </w:p>
    <w:p w:rsidR="00477601" w:rsidRDefault="00477601" w:rsidP="00477601">
      <w:pPr>
        <w:spacing w:before="280" w:line="360" w:lineRule="auto"/>
        <w:ind w:firstLine="708"/>
        <w:jc w:val="both"/>
        <w:rPr>
          <w:rFonts w:ascii="Arial" w:hAnsi="Arial" w:cs="Arial"/>
          <w:sz w:val="24"/>
          <w:szCs w:val="24"/>
        </w:rPr>
      </w:pPr>
      <w:r>
        <w:rPr>
          <w:rFonts w:ascii="Arial" w:hAnsi="Arial" w:cs="Arial"/>
          <w:sz w:val="24"/>
          <w:szCs w:val="24"/>
        </w:rPr>
        <w:t xml:space="preserve">En este se establece la naturaleza de las AMPR, se otorga el papel protagónico al INCOPESCA en esta función, se exponen conceptos técnicos </w:t>
      </w:r>
      <w:r>
        <w:rPr>
          <w:rFonts w:ascii="Arial" w:hAnsi="Arial" w:cs="Arial"/>
          <w:sz w:val="24"/>
          <w:szCs w:val="24"/>
        </w:rPr>
        <w:lastRenderedPageBreak/>
        <w:t>relacionados con la actividad y se establecen una serie de lineamientos y guías para la conformación de las AMPR.</w:t>
      </w:r>
    </w:p>
    <w:p w:rsidR="00477601" w:rsidRDefault="00477601" w:rsidP="00477601">
      <w:pPr>
        <w:spacing w:before="280" w:line="360" w:lineRule="auto"/>
        <w:ind w:firstLine="708"/>
        <w:jc w:val="both"/>
        <w:rPr>
          <w:rFonts w:ascii="Arial" w:hAnsi="Arial" w:cs="Arial"/>
          <w:sz w:val="24"/>
          <w:szCs w:val="24"/>
        </w:rPr>
      </w:pPr>
      <w:r>
        <w:rPr>
          <w:rFonts w:ascii="Arial" w:hAnsi="Arial" w:cs="Arial"/>
          <w:sz w:val="24"/>
          <w:szCs w:val="24"/>
        </w:rPr>
        <w:t>Un aspecto fundamental de señalar, es que uno de los requisitos previos para el establecimiento de una AMPR corresponde a la formulación de un Plan de Ordenamiento Pesquero. En el caso del AMPR Paquera-Tambor, se estableció el Plan de Ordenamiento Pesquero del Distrito Paquera – Tambor (POP-AMPR-D-Paquera/Tambor).</w:t>
      </w:r>
    </w:p>
    <w:p w:rsidR="00477601" w:rsidRDefault="00477601" w:rsidP="00477601">
      <w:pPr>
        <w:spacing w:before="280" w:line="360" w:lineRule="auto"/>
        <w:ind w:firstLine="708"/>
        <w:jc w:val="both"/>
        <w:rPr>
          <w:rFonts w:ascii="Arial" w:hAnsi="Arial" w:cs="Arial"/>
          <w:sz w:val="24"/>
          <w:szCs w:val="24"/>
        </w:rPr>
      </w:pPr>
      <w:r>
        <w:rPr>
          <w:rFonts w:ascii="Arial" w:hAnsi="Arial" w:cs="Arial"/>
          <w:sz w:val="24"/>
          <w:szCs w:val="24"/>
        </w:rPr>
        <w:t>En este POP se establece como marco jurídico fundamental la Ley de creación del INCOPESCA N° 7384, l Acuerdo de Junta Directiva AJDIP-138-2008, del INCOPESCA, sobre el Reglamento de Establecimiento de las AMPR y el Decreto Ejecutivo 35502MAG sobre el interés público de las AMPR. Por lo que en cuanto al tema específico de las AMPR, su marco jurídico se enmarca en esos tres apartados jurídicos y bajo la rectoría institucional del INCOPESCA.</w:t>
      </w:r>
    </w:p>
    <w:p w:rsidR="00477601" w:rsidRPr="00D70294" w:rsidRDefault="00477601" w:rsidP="00477601">
      <w:pPr>
        <w:spacing w:before="280" w:line="360" w:lineRule="auto"/>
        <w:ind w:firstLine="708"/>
        <w:jc w:val="both"/>
        <w:rPr>
          <w:rFonts w:ascii="Arial" w:hAnsi="Arial" w:cs="Arial"/>
          <w:sz w:val="24"/>
          <w:szCs w:val="24"/>
        </w:rPr>
      </w:pPr>
      <w:r>
        <w:rPr>
          <w:rFonts w:ascii="Arial" w:hAnsi="Arial" w:cs="Arial"/>
          <w:sz w:val="24"/>
          <w:szCs w:val="24"/>
        </w:rPr>
        <w:t>En los próximos apartados se detallará información este Plan de Ordenamiento Pesquero, el cual es una pieza clave en el presente estudio. Por el momento interesa señalar que existe un documento amplio y que responde a un lineamiento o requisito normativo para el establecimiento del AMPR Paquera-Tambor.</w:t>
      </w:r>
      <w:r>
        <w:br w:type="page"/>
      </w:r>
    </w:p>
    <w:p w:rsidR="00477601" w:rsidRDefault="00477601" w:rsidP="00477601">
      <w:pPr>
        <w:spacing w:before="240" w:line="360" w:lineRule="auto"/>
        <w:jc w:val="both"/>
        <w:rPr>
          <w:rFonts w:ascii="Arial" w:hAnsi="Arial" w:cs="Arial"/>
          <w:b/>
          <w:sz w:val="26"/>
          <w:szCs w:val="26"/>
        </w:rPr>
      </w:pPr>
      <w:r>
        <w:rPr>
          <w:rFonts w:ascii="Arial" w:hAnsi="Arial" w:cs="Arial"/>
          <w:b/>
          <w:sz w:val="26"/>
          <w:szCs w:val="26"/>
        </w:rPr>
        <w:lastRenderedPageBreak/>
        <w:t xml:space="preserve">Ordenamiento administrativo-institucional de los espacios marinos </w:t>
      </w:r>
    </w:p>
    <w:p w:rsidR="00477601" w:rsidRDefault="00477601" w:rsidP="00477601">
      <w:pPr>
        <w:spacing w:before="240" w:line="360" w:lineRule="auto"/>
        <w:ind w:firstLine="708"/>
        <w:jc w:val="both"/>
        <w:rPr>
          <w:rFonts w:ascii="Arial" w:hAnsi="Arial" w:cs="Arial"/>
          <w:sz w:val="24"/>
          <w:szCs w:val="24"/>
        </w:rPr>
      </w:pPr>
      <w:r>
        <w:rPr>
          <w:rFonts w:ascii="Arial" w:hAnsi="Arial" w:cs="Arial"/>
          <w:sz w:val="24"/>
          <w:szCs w:val="24"/>
        </w:rPr>
        <w:t xml:space="preserve">Es importante que al tener un amplio marco jurídico en el tema de pesca, también existan instituciones encargadas de velar por el cumplimiento de cada una de estas normas, leyes, decretos y demás. A continuación, se detallan las principales instituciones públicas responsables de velar por los espacios marinos del país. </w:t>
      </w:r>
    </w:p>
    <w:p w:rsidR="00477601" w:rsidRDefault="00477601" w:rsidP="00477601">
      <w:pPr>
        <w:pStyle w:val="Prrafodelista"/>
        <w:numPr>
          <w:ilvl w:val="0"/>
          <w:numId w:val="18"/>
        </w:numPr>
        <w:spacing w:before="240" w:after="200" w:line="360" w:lineRule="auto"/>
        <w:jc w:val="both"/>
        <w:rPr>
          <w:rFonts w:ascii="Arial" w:hAnsi="Arial" w:cs="Arial"/>
          <w:b/>
          <w:bCs/>
          <w:sz w:val="24"/>
          <w:szCs w:val="24"/>
        </w:rPr>
      </w:pPr>
      <w:r>
        <w:rPr>
          <w:rFonts w:ascii="Arial" w:hAnsi="Arial" w:cs="Arial"/>
          <w:b/>
          <w:bCs/>
          <w:sz w:val="24"/>
          <w:szCs w:val="24"/>
        </w:rPr>
        <w:t xml:space="preserve">Ministerio de Ambiente, Energía y Telecomunicaciones (MINAET) </w:t>
      </w:r>
    </w:p>
    <w:p w:rsidR="00477601" w:rsidRDefault="00477601" w:rsidP="00477601">
      <w:pPr>
        <w:spacing w:before="240" w:line="360" w:lineRule="auto"/>
        <w:ind w:firstLine="708"/>
        <w:jc w:val="both"/>
      </w:pPr>
      <w:r>
        <w:rPr>
          <w:rFonts w:ascii="Arial" w:hAnsi="Arial" w:cs="Arial"/>
          <w:sz w:val="24"/>
          <w:szCs w:val="24"/>
        </w:rPr>
        <w:t>Este es el ministerio rector en el tema de recursos naturales en Costa Rica, incluidos los recursos pesqueros. Dentro de sus competencias se establece que es el responsable de formular, planificar y ejecutar políticas de recursos naturales y de protección ambiental, crear áreas marinas, costeras y declarar humedales, vigilancia de la pesca en áreas silvestres protegidas, determinar la actividad pesquera en la parte continental e insular a través de planes de manejo. También es el encargado de establecer y aprobar los planes de manejo de recursos marinos, conjuntamente con el INCOPESCA (MarViva, 2010).</w:t>
      </w:r>
    </w:p>
    <w:p w:rsidR="00477601" w:rsidRDefault="00477601" w:rsidP="00477601">
      <w:pPr>
        <w:numPr>
          <w:ilvl w:val="1"/>
          <w:numId w:val="23"/>
        </w:numPr>
        <w:spacing w:before="240" w:line="360" w:lineRule="auto"/>
      </w:pPr>
      <w:r>
        <w:rPr>
          <w:rFonts w:ascii="Arial" w:hAnsi="Arial" w:cs="Arial"/>
          <w:sz w:val="24"/>
          <w:szCs w:val="24"/>
        </w:rPr>
        <w:t>SINAC</w:t>
      </w:r>
    </w:p>
    <w:p w:rsidR="00477601" w:rsidRDefault="00477601" w:rsidP="00477601">
      <w:pPr>
        <w:spacing w:before="240" w:line="360" w:lineRule="auto"/>
        <w:ind w:firstLine="708"/>
        <w:jc w:val="both"/>
        <w:rPr>
          <w:rFonts w:ascii="Arial" w:hAnsi="Arial" w:cs="Arial"/>
          <w:sz w:val="24"/>
          <w:szCs w:val="24"/>
        </w:rPr>
      </w:pPr>
      <w:r>
        <w:rPr>
          <w:rFonts w:ascii="Arial" w:hAnsi="Arial" w:cs="Arial"/>
          <w:sz w:val="24"/>
          <w:szCs w:val="24"/>
        </w:rPr>
        <w:t xml:space="preserve">El Sistema Nacional de Áreas de Conservación se crea en la Ley de Biodiversidad N° 7788 del año 1998. Es un sistema de gestión y coordinación institucional, desconcentrada y participativa que integra competencias del MINAET. Dentro del tema pesquero, posee la competitividad de aprobar las actividades o proyectos de desarrollo y aprovechamiento de los recursos marinos costeros y oceánicos, en las Reservas Marinas y las Áreas Marinas de Manejo (MarViva, 2010). </w:t>
      </w:r>
    </w:p>
    <w:p w:rsidR="00477601" w:rsidRDefault="00477601" w:rsidP="00477601">
      <w:pPr>
        <w:pStyle w:val="Prrafodelista"/>
        <w:numPr>
          <w:ilvl w:val="1"/>
          <w:numId w:val="24"/>
        </w:numPr>
        <w:spacing w:before="240" w:after="200" w:line="360" w:lineRule="auto"/>
        <w:jc w:val="both"/>
      </w:pPr>
      <w:r>
        <w:rPr>
          <w:rFonts w:ascii="Arial" w:hAnsi="Arial" w:cs="Arial"/>
          <w:sz w:val="24"/>
          <w:szCs w:val="24"/>
        </w:rPr>
        <w:t>Dirección Marino Costera</w:t>
      </w:r>
    </w:p>
    <w:p w:rsidR="00477601" w:rsidRDefault="00477601" w:rsidP="00477601">
      <w:pPr>
        <w:spacing w:before="240" w:line="360" w:lineRule="auto"/>
        <w:ind w:firstLine="708"/>
        <w:jc w:val="both"/>
        <w:rPr>
          <w:rFonts w:ascii="Arial" w:hAnsi="Arial" w:cs="Arial"/>
          <w:sz w:val="24"/>
          <w:szCs w:val="24"/>
        </w:rPr>
      </w:pPr>
      <w:r>
        <w:rPr>
          <w:rFonts w:ascii="Arial" w:hAnsi="Arial" w:cs="Arial"/>
          <w:sz w:val="24"/>
          <w:szCs w:val="24"/>
        </w:rPr>
        <w:t xml:space="preserve">Esta dirección se creó bajo el decreto Ejecutivo N°35669-MINAET, el cual posee dentro de sus funciones: proponer al MINAET las políticas y directrices para el uso sostenible de los recursos marinos y marinos-costeros, elaborar la Estrategia </w:t>
      </w:r>
      <w:r>
        <w:rPr>
          <w:rFonts w:ascii="Arial" w:hAnsi="Arial" w:cs="Arial"/>
          <w:sz w:val="24"/>
          <w:szCs w:val="24"/>
        </w:rPr>
        <w:lastRenderedPageBreak/>
        <w:t xml:space="preserve">Nacional de los recursos marinos y marinos-costeros, colaborar con las instancias gubernamentales y no gubernamentales en la búsqueda de recursos financieros para el manejo de los recursos marinos y marino-costeros. Es importante destacar que estas son responsabilidades del viceministerio de ambiente (MarViva, 2010). </w:t>
      </w:r>
    </w:p>
    <w:p w:rsidR="00477601" w:rsidRDefault="00477601" w:rsidP="00477601">
      <w:pPr>
        <w:pStyle w:val="Prrafodelista"/>
        <w:numPr>
          <w:ilvl w:val="0"/>
          <w:numId w:val="18"/>
        </w:numPr>
        <w:spacing w:before="240" w:after="200" w:line="360" w:lineRule="auto"/>
        <w:jc w:val="both"/>
        <w:rPr>
          <w:rFonts w:ascii="Arial" w:hAnsi="Arial" w:cs="Arial"/>
          <w:b/>
          <w:sz w:val="24"/>
          <w:szCs w:val="24"/>
        </w:rPr>
      </w:pPr>
      <w:r>
        <w:rPr>
          <w:rFonts w:ascii="Arial" w:hAnsi="Arial" w:cs="Arial"/>
          <w:b/>
          <w:sz w:val="24"/>
          <w:szCs w:val="24"/>
        </w:rPr>
        <w:t>INCOPESCA</w:t>
      </w:r>
    </w:p>
    <w:p w:rsidR="00477601" w:rsidRDefault="00477601" w:rsidP="00477601">
      <w:pPr>
        <w:spacing w:before="240" w:line="360" w:lineRule="auto"/>
        <w:ind w:firstLine="708"/>
        <w:jc w:val="both"/>
        <w:rPr>
          <w:rFonts w:ascii="Arial" w:hAnsi="Arial" w:cs="Arial"/>
          <w:sz w:val="24"/>
          <w:szCs w:val="24"/>
        </w:rPr>
      </w:pPr>
      <w:r>
        <w:rPr>
          <w:rFonts w:ascii="Arial" w:hAnsi="Arial" w:cs="Arial"/>
          <w:sz w:val="24"/>
          <w:szCs w:val="24"/>
        </w:rPr>
        <w:t xml:space="preserve">El Instituto Costarricense de Pesca y Acuicultura se crea bajo la Ley N° 7384 en marzo de 1994. Es un ente público estatal, con personalidad jurídica y patrimonio propio. Como organismo descentralizado y autónomo posee la misión promover el desarrollo pesquero y acuícola, para lo cual regula, protege y administra los recursos marinos y acuícolas, propiciando un aprovechamiento sostenible (INCOPESCA, 2015). </w:t>
      </w:r>
    </w:p>
    <w:p w:rsidR="00477601" w:rsidRDefault="00477601" w:rsidP="00477601">
      <w:pPr>
        <w:spacing w:before="240" w:line="360" w:lineRule="auto"/>
        <w:ind w:firstLine="708"/>
        <w:jc w:val="both"/>
        <w:rPr>
          <w:rFonts w:ascii="Arial" w:hAnsi="Arial" w:cs="Arial"/>
          <w:sz w:val="24"/>
          <w:szCs w:val="24"/>
        </w:rPr>
      </w:pPr>
      <w:r>
        <w:rPr>
          <w:rFonts w:ascii="Arial" w:hAnsi="Arial" w:cs="Arial"/>
          <w:sz w:val="24"/>
          <w:szCs w:val="24"/>
        </w:rPr>
        <w:t>Cabe mencionar que dentro de las actividades del INCOPESCA se encuentran:</w:t>
      </w:r>
    </w:p>
    <w:p w:rsidR="00477601" w:rsidRDefault="00477601" w:rsidP="00477601">
      <w:pPr>
        <w:pStyle w:val="Prrafodelista"/>
        <w:numPr>
          <w:ilvl w:val="0"/>
          <w:numId w:val="19"/>
        </w:numPr>
        <w:spacing w:before="240" w:after="200" w:line="360" w:lineRule="auto"/>
        <w:jc w:val="both"/>
        <w:rPr>
          <w:rFonts w:ascii="Arial" w:hAnsi="Arial" w:cs="Arial"/>
          <w:sz w:val="24"/>
          <w:szCs w:val="24"/>
        </w:rPr>
      </w:pPr>
      <w:r>
        <w:rPr>
          <w:rFonts w:ascii="Arial" w:hAnsi="Arial" w:cs="Arial"/>
          <w:sz w:val="24"/>
          <w:szCs w:val="24"/>
        </w:rPr>
        <w:t>Coordinar el sector pesquero y acuícola, promover y ordenar el desarrollo de la pesca, la caza marítima, la acuicultura y la investigación; así mismo fomentar, sobre la base de criterios técnicos y científicos, la conservación, el aprovechamiento y el uso sostenible de los recursos biológicos del mar y de acuicultura.</w:t>
      </w:r>
    </w:p>
    <w:p w:rsidR="00477601" w:rsidRDefault="00477601" w:rsidP="00477601">
      <w:pPr>
        <w:pStyle w:val="Prrafodelista"/>
        <w:numPr>
          <w:ilvl w:val="0"/>
          <w:numId w:val="19"/>
        </w:numPr>
        <w:spacing w:before="240" w:after="200" w:line="360" w:lineRule="auto"/>
        <w:jc w:val="both"/>
        <w:rPr>
          <w:rFonts w:ascii="Arial" w:hAnsi="Arial" w:cs="Arial"/>
          <w:sz w:val="24"/>
          <w:szCs w:val="24"/>
        </w:rPr>
      </w:pPr>
      <w:r>
        <w:rPr>
          <w:rFonts w:ascii="Arial" w:hAnsi="Arial" w:cs="Arial"/>
          <w:sz w:val="24"/>
          <w:szCs w:val="24"/>
        </w:rPr>
        <w:t>Normar el aprovechamiento racional de los recursos pesqueros, que tiendan a lograr mayores rendimientos económicos, la protección de las especies marinas y de acuicultura.</w:t>
      </w:r>
    </w:p>
    <w:p w:rsidR="00477601" w:rsidRDefault="00477601" w:rsidP="00477601">
      <w:pPr>
        <w:pStyle w:val="Prrafodelista"/>
        <w:numPr>
          <w:ilvl w:val="0"/>
          <w:numId w:val="19"/>
        </w:numPr>
        <w:spacing w:before="240" w:after="200" w:line="360" w:lineRule="auto"/>
        <w:jc w:val="both"/>
        <w:rPr>
          <w:rFonts w:ascii="Arial" w:hAnsi="Arial" w:cs="Arial"/>
          <w:sz w:val="24"/>
          <w:szCs w:val="24"/>
        </w:rPr>
      </w:pPr>
      <w:r>
        <w:rPr>
          <w:rFonts w:ascii="Arial" w:hAnsi="Arial" w:cs="Arial"/>
          <w:sz w:val="24"/>
          <w:szCs w:val="24"/>
        </w:rPr>
        <w:t>Elaborar, vigilar y dar seguimiento a la aplicación de la legislación, para regular y evitar la contaminación de los recursos marítimos y de acuicultura, como resultado del ejercicio de la pesca, de la acuicultura y de las actividades que generen contaminación, la cual amenace dichos recursos.</w:t>
      </w:r>
    </w:p>
    <w:p w:rsidR="00477601" w:rsidRDefault="00477601" w:rsidP="00477601">
      <w:pPr>
        <w:spacing w:before="240" w:line="360" w:lineRule="auto"/>
        <w:ind w:firstLine="708"/>
        <w:jc w:val="both"/>
        <w:rPr>
          <w:rFonts w:ascii="Arial" w:hAnsi="Arial" w:cs="Arial"/>
          <w:sz w:val="24"/>
          <w:szCs w:val="24"/>
        </w:rPr>
      </w:pPr>
      <w:r>
        <w:rPr>
          <w:rFonts w:ascii="Arial" w:hAnsi="Arial" w:cs="Arial"/>
          <w:sz w:val="24"/>
          <w:szCs w:val="24"/>
        </w:rPr>
        <w:t xml:space="preserve">Otras funciones del INCOPESCA: </w:t>
      </w:r>
    </w:p>
    <w:p w:rsidR="00477601" w:rsidRDefault="00477601" w:rsidP="00477601">
      <w:pPr>
        <w:pStyle w:val="Prrafodelista"/>
        <w:numPr>
          <w:ilvl w:val="1"/>
          <w:numId w:val="17"/>
        </w:numPr>
        <w:spacing w:before="240" w:after="200" w:line="360" w:lineRule="auto"/>
        <w:ind w:left="1788"/>
        <w:jc w:val="both"/>
        <w:rPr>
          <w:rFonts w:ascii="Arial" w:hAnsi="Arial" w:cs="Arial"/>
          <w:sz w:val="24"/>
          <w:szCs w:val="24"/>
        </w:rPr>
      </w:pPr>
      <w:r>
        <w:rPr>
          <w:rFonts w:ascii="Arial" w:hAnsi="Arial" w:cs="Arial"/>
          <w:sz w:val="24"/>
          <w:szCs w:val="24"/>
        </w:rPr>
        <w:t xml:space="preserve">Aplicar sanciones administrativas en temas pesqueros. </w:t>
      </w:r>
    </w:p>
    <w:p w:rsidR="00477601" w:rsidRDefault="00477601" w:rsidP="00477601">
      <w:pPr>
        <w:pStyle w:val="Prrafodelista"/>
        <w:numPr>
          <w:ilvl w:val="1"/>
          <w:numId w:val="17"/>
        </w:numPr>
        <w:spacing w:before="240" w:after="200" w:line="360" w:lineRule="auto"/>
        <w:ind w:left="1788"/>
        <w:jc w:val="both"/>
        <w:rPr>
          <w:rFonts w:ascii="Arial" w:hAnsi="Arial" w:cs="Arial"/>
          <w:sz w:val="24"/>
          <w:szCs w:val="24"/>
        </w:rPr>
      </w:pPr>
      <w:r>
        <w:rPr>
          <w:rFonts w:ascii="Arial" w:hAnsi="Arial" w:cs="Arial"/>
          <w:sz w:val="24"/>
          <w:szCs w:val="24"/>
        </w:rPr>
        <w:t xml:space="preserve">Promover la pesca de fomento. </w:t>
      </w:r>
    </w:p>
    <w:p w:rsidR="00477601" w:rsidRDefault="00477601" w:rsidP="00477601">
      <w:pPr>
        <w:pStyle w:val="Prrafodelista"/>
        <w:numPr>
          <w:ilvl w:val="1"/>
          <w:numId w:val="17"/>
        </w:numPr>
        <w:spacing w:before="240" w:after="200" w:line="360" w:lineRule="auto"/>
        <w:ind w:left="1788"/>
        <w:jc w:val="both"/>
        <w:rPr>
          <w:rFonts w:ascii="Arial" w:hAnsi="Arial" w:cs="Arial"/>
          <w:sz w:val="24"/>
          <w:szCs w:val="24"/>
        </w:rPr>
      </w:pPr>
      <w:r>
        <w:rPr>
          <w:rFonts w:ascii="Arial" w:hAnsi="Arial" w:cs="Arial"/>
          <w:sz w:val="24"/>
          <w:szCs w:val="24"/>
        </w:rPr>
        <w:lastRenderedPageBreak/>
        <w:t>Determinar los métodos, las técnicas, los equipos y las artes de pesca prohibidos.</w:t>
      </w:r>
    </w:p>
    <w:p w:rsidR="00477601" w:rsidRDefault="00477601" w:rsidP="00477601">
      <w:pPr>
        <w:pStyle w:val="Prrafodelista"/>
        <w:numPr>
          <w:ilvl w:val="1"/>
          <w:numId w:val="17"/>
        </w:numPr>
        <w:spacing w:before="240" w:after="200" w:line="360" w:lineRule="auto"/>
        <w:ind w:left="1788"/>
        <w:jc w:val="both"/>
        <w:rPr>
          <w:rFonts w:ascii="Arial" w:hAnsi="Arial" w:cs="Arial"/>
          <w:sz w:val="24"/>
          <w:szCs w:val="24"/>
        </w:rPr>
      </w:pPr>
      <w:r>
        <w:rPr>
          <w:rFonts w:ascii="Arial" w:hAnsi="Arial" w:cs="Arial"/>
          <w:sz w:val="24"/>
          <w:szCs w:val="24"/>
        </w:rPr>
        <w:t>Autorizar u otorgar permisos para llevar a cabo actividades de pesca, caza marítima, acuicultura, transporte, conservación, procesamiento o comercialización por desarrollar en bienes de dominio público.</w:t>
      </w:r>
    </w:p>
    <w:p w:rsidR="00477601" w:rsidRDefault="00477601" w:rsidP="00477601">
      <w:pPr>
        <w:pStyle w:val="Prrafodelista"/>
        <w:numPr>
          <w:ilvl w:val="1"/>
          <w:numId w:val="17"/>
        </w:numPr>
        <w:spacing w:before="240" w:after="200" w:line="360" w:lineRule="auto"/>
        <w:ind w:left="1788"/>
        <w:jc w:val="both"/>
        <w:rPr>
          <w:rFonts w:ascii="Arial" w:hAnsi="Arial" w:cs="Arial"/>
          <w:sz w:val="24"/>
          <w:szCs w:val="24"/>
        </w:rPr>
      </w:pPr>
      <w:r>
        <w:rPr>
          <w:rFonts w:ascii="Arial" w:hAnsi="Arial" w:cs="Arial"/>
          <w:sz w:val="24"/>
          <w:szCs w:val="24"/>
        </w:rPr>
        <w:t xml:space="preserve">Llevar registros de carácter público del sector pesquero y otros centros de acopio. </w:t>
      </w:r>
    </w:p>
    <w:p w:rsidR="00477601" w:rsidRDefault="00477601" w:rsidP="00477601">
      <w:pPr>
        <w:pStyle w:val="Prrafodelista"/>
        <w:numPr>
          <w:ilvl w:val="1"/>
          <w:numId w:val="17"/>
        </w:numPr>
        <w:spacing w:before="240" w:after="200" w:line="360" w:lineRule="auto"/>
        <w:ind w:left="1788"/>
        <w:jc w:val="both"/>
        <w:rPr>
          <w:rFonts w:ascii="Arial" w:hAnsi="Arial" w:cs="Arial"/>
          <w:sz w:val="24"/>
          <w:szCs w:val="24"/>
        </w:rPr>
      </w:pPr>
      <w:r>
        <w:rPr>
          <w:rFonts w:ascii="Arial" w:hAnsi="Arial" w:cs="Arial"/>
          <w:sz w:val="24"/>
          <w:szCs w:val="24"/>
        </w:rPr>
        <w:t xml:space="preserve">Decomisar y destruir las artes de pesca prohibida o ilegal. </w:t>
      </w:r>
    </w:p>
    <w:p w:rsidR="00477601" w:rsidRDefault="00477601" w:rsidP="00477601">
      <w:pPr>
        <w:pStyle w:val="Prrafodelista"/>
        <w:numPr>
          <w:ilvl w:val="1"/>
          <w:numId w:val="17"/>
        </w:numPr>
        <w:spacing w:before="240" w:after="200" w:line="480" w:lineRule="auto"/>
        <w:ind w:left="1788"/>
        <w:jc w:val="both"/>
        <w:rPr>
          <w:rFonts w:ascii="Arial" w:hAnsi="Arial" w:cs="Arial"/>
          <w:sz w:val="24"/>
          <w:szCs w:val="24"/>
        </w:rPr>
      </w:pPr>
      <w:r>
        <w:rPr>
          <w:rFonts w:ascii="Arial" w:hAnsi="Arial" w:cs="Arial"/>
          <w:sz w:val="24"/>
          <w:szCs w:val="24"/>
        </w:rPr>
        <w:t xml:space="preserve">Establecer Áreas Marinas para la pesca responsable. </w:t>
      </w:r>
    </w:p>
    <w:p w:rsidR="00477601" w:rsidRDefault="00477601" w:rsidP="00477601">
      <w:pPr>
        <w:pStyle w:val="Prrafodelista"/>
        <w:numPr>
          <w:ilvl w:val="0"/>
          <w:numId w:val="18"/>
        </w:numPr>
        <w:spacing w:before="240" w:after="200" w:line="360" w:lineRule="auto"/>
        <w:jc w:val="both"/>
        <w:rPr>
          <w:rFonts w:ascii="Arial" w:hAnsi="Arial" w:cs="Arial"/>
          <w:b/>
          <w:sz w:val="24"/>
          <w:szCs w:val="24"/>
        </w:rPr>
      </w:pPr>
      <w:r>
        <w:rPr>
          <w:rFonts w:ascii="Arial" w:hAnsi="Arial" w:cs="Arial"/>
          <w:b/>
          <w:sz w:val="24"/>
          <w:szCs w:val="24"/>
        </w:rPr>
        <w:t>Consejo Nacional del Mar</w:t>
      </w:r>
    </w:p>
    <w:p w:rsidR="00477601" w:rsidRDefault="00477601" w:rsidP="00477601">
      <w:pPr>
        <w:spacing w:before="240" w:line="360" w:lineRule="auto"/>
        <w:ind w:firstLine="708"/>
        <w:jc w:val="both"/>
        <w:rPr>
          <w:rFonts w:ascii="Arial" w:hAnsi="Arial" w:cs="Arial"/>
          <w:sz w:val="24"/>
          <w:szCs w:val="24"/>
        </w:rPr>
      </w:pPr>
      <w:r>
        <w:rPr>
          <w:rFonts w:ascii="Arial" w:hAnsi="Arial" w:cs="Arial"/>
          <w:sz w:val="24"/>
          <w:szCs w:val="24"/>
        </w:rPr>
        <w:t xml:space="preserve">Se crea bajo el Decreto Ejecutivo N° 36005 MP-MINAET-MAG-SP-MOPT-TUR-RE en el año 2010. Su función principal es ejercer la rectoría sectorial en materia de dominio y administración del Estado sobre sus aguas marinas jurisdiccionales y sus recursos naturales (INCOPESCA, 2015. p. 189). </w:t>
      </w:r>
    </w:p>
    <w:p w:rsidR="00477601" w:rsidRDefault="00477601" w:rsidP="00477601">
      <w:pPr>
        <w:pStyle w:val="Prrafodelista"/>
        <w:numPr>
          <w:ilvl w:val="0"/>
          <w:numId w:val="18"/>
        </w:numPr>
        <w:spacing w:before="240" w:after="200" w:line="360" w:lineRule="auto"/>
        <w:jc w:val="both"/>
        <w:rPr>
          <w:rFonts w:ascii="Arial" w:hAnsi="Arial" w:cs="Arial"/>
          <w:b/>
          <w:sz w:val="24"/>
          <w:szCs w:val="24"/>
        </w:rPr>
      </w:pPr>
      <w:r>
        <w:rPr>
          <w:rFonts w:ascii="Arial" w:hAnsi="Arial" w:cs="Arial"/>
          <w:b/>
          <w:sz w:val="24"/>
          <w:szCs w:val="24"/>
        </w:rPr>
        <w:t>Ministerio de Seguridad Pública</w:t>
      </w:r>
    </w:p>
    <w:p w:rsidR="00477601" w:rsidRDefault="00477601" w:rsidP="00477601">
      <w:pPr>
        <w:spacing w:before="240" w:line="360" w:lineRule="auto"/>
        <w:ind w:firstLine="708"/>
        <w:jc w:val="both"/>
        <w:rPr>
          <w:rFonts w:ascii="Arial" w:hAnsi="Arial" w:cs="Arial"/>
          <w:sz w:val="24"/>
          <w:szCs w:val="24"/>
        </w:rPr>
      </w:pPr>
      <w:r>
        <w:rPr>
          <w:rFonts w:ascii="Arial" w:hAnsi="Arial" w:cs="Arial"/>
          <w:sz w:val="24"/>
          <w:szCs w:val="24"/>
        </w:rPr>
        <w:t xml:space="preserve">Al igual que con el demás territorio nacional, la jurisdicción del Ministerio de Seguridad Pública se extiende también a las aguas territoriales. </w:t>
      </w:r>
    </w:p>
    <w:p w:rsidR="00477601" w:rsidRDefault="00477601" w:rsidP="00477601">
      <w:pPr>
        <w:pStyle w:val="Prrafodelista"/>
        <w:numPr>
          <w:ilvl w:val="1"/>
          <w:numId w:val="18"/>
        </w:numPr>
        <w:spacing w:before="240" w:after="200" w:line="360" w:lineRule="auto"/>
        <w:jc w:val="both"/>
        <w:rPr>
          <w:rFonts w:ascii="Arial" w:hAnsi="Arial" w:cs="Arial"/>
          <w:sz w:val="24"/>
          <w:szCs w:val="24"/>
        </w:rPr>
      </w:pPr>
      <w:r>
        <w:rPr>
          <w:rFonts w:ascii="Arial" w:hAnsi="Arial" w:cs="Arial"/>
          <w:sz w:val="24"/>
          <w:szCs w:val="24"/>
        </w:rPr>
        <w:t>Servicio Nacional de Guardacostas</w:t>
      </w:r>
    </w:p>
    <w:p w:rsidR="00477601" w:rsidRDefault="00477601" w:rsidP="00477601">
      <w:pPr>
        <w:spacing w:before="240" w:line="360" w:lineRule="auto"/>
        <w:ind w:firstLine="708"/>
        <w:jc w:val="both"/>
        <w:rPr>
          <w:rFonts w:ascii="Arial" w:hAnsi="Arial" w:cs="Arial"/>
          <w:sz w:val="24"/>
          <w:szCs w:val="24"/>
        </w:rPr>
      </w:pPr>
      <w:r>
        <w:rPr>
          <w:rFonts w:ascii="Arial" w:hAnsi="Arial" w:cs="Arial"/>
          <w:sz w:val="24"/>
          <w:szCs w:val="24"/>
        </w:rPr>
        <w:t xml:space="preserve">Este programa de la Fuerza Pública tiene dentro de sus principales competencias: Vigilar y resguardar las fronteras marítimas del Estado y las aguas marítimas jurisdiccionales, velar por la seguridad del tráfico portuario y marítimo, tanto de naves nacionales como extranjeras en las aguas jurisdiccionales del Estado, realizar operativos tendientes a arrestar, decomisar bienes, productos, equipo, artes de pesca o productos pesqueros utilizados para cometer delitos e infracciones contra la legislación pesquera, actuar de oficio o a instancia de los inspectores del INCOPESCA, entre otras funciones más (INCOPESCA, 2015. p. 192). </w:t>
      </w:r>
    </w:p>
    <w:p w:rsidR="00477601" w:rsidRDefault="00477601" w:rsidP="00477601">
      <w:pPr>
        <w:pStyle w:val="Prrafodelista"/>
        <w:numPr>
          <w:ilvl w:val="0"/>
          <w:numId w:val="18"/>
        </w:numPr>
        <w:spacing w:before="240" w:after="200" w:line="360" w:lineRule="auto"/>
        <w:jc w:val="both"/>
        <w:rPr>
          <w:rFonts w:ascii="Arial" w:hAnsi="Arial" w:cs="Arial"/>
          <w:b/>
          <w:sz w:val="24"/>
          <w:szCs w:val="24"/>
        </w:rPr>
      </w:pPr>
      <w:r>
        <w:rPr>
          <w:rFonts w:ascii="Arial" w:hAnsi="Arial" w:cs="Arial"/>
          <w:b/>
          <w:sz w:val="24"/>
          <w:szCs w:val="24"/>
        </w:rPr>
        <w:lastRenderedPageBreak/>
        <w:t xml:space="preserve">Municipalidades </w:t>
      </w:r>
    </w:p>
    <w:p w:rsidR="00477601" w:rsidRDefault="00477601" w:rsidP="00477601">
      <w:pPr>
        <w:spacing w:before="280" w:line="360" w:lineRule="auto"/>
        <w:ind w:firstLine="708"/>
        <w:jc w:val="both"/>
      </w:pPr>
      <w:r>
        <w:rPr>
          <w:rFonts w:ascii="Arial" w:hAnsi="Arial" w:cs="Arial"/>
          <w:sz w:val="24"/>
          <w:szCs w:val="24"/>
        </w:rPr>
        <w:t>En materia de recursos marítimos, las municipalidades pueden condicionar el otorgamiento de los permisos de construcción y de patentes de funcionamiento, al cumplimiento de las disposiciones de la Ley General de Salud Nº 5395 y legislación conexa, en cuanto a contaminación y aprovechamiento de aguas públicas. Asimismo, pueden ser las propietarias de zonas de recarga acuífera, en cuyo caso, según el artículo 156 de la Ley de Aguas, deben conservar y reforestar dichas áreas (INCOPESCA, 2015. p. 195).</w:t>
      </w:r>
    </w:p>
    <w:p w:rsidR="00477601" w:rsidRDefault="00477601" w:rsidP="00477601">
      <w:pPr>
        <w:spacing w:before="280" w:line="360" w:lineRule="auto"/>
        <w:jc w:val="both"/>
        <w:rPr>
          <w:rFonts w:ascii="Arial" w:hAnsi="Arial" w:cs="Arial"/>
          <w:b/>
          <w:sz w:val="24"/>
          <w:szCs w:val="24"/>
        </w:rPr>
      </w:pPr>
      <w:r>
        <w:rPr>
          <w:rFonts w:ascii="Arial" w:hAnsi="Arial" w:cs="Arial"/>
          <w:b/>
          <w:sz w:val="24"/>
          <w:szCs w:val="24"/>
        </w:rPr>
        <w:t>Análisis de la normativa jurídica e institucional en el AMPR Parquera-Tambor</w:t>
      </w:r>
    </w:p>
    <w:p w:rsidR="00477601" w:rsidRDefault="00477601" w:rsidP="00477601">
      <w:pPr>
        <w:spacing w:before="280" w:line="360" w:lineRule="auto"/>
        <w:jc w:val="both"/>
        <w:rPr>
          <w:rFonts w:ascii="Arial" w:hAnsi="Arial" w:cs="Arial"/>
          <w:sz w:val="24"/>
          <w:szCs w:val="24"/>
        </w:rPr>
      </w:pPr>
      <w:r>
        <w:rPr>
          <w:rFonts w:ascii="Arial" w:hAnsi="Arial" w:cs="Arial"/>
          <w:sz w:val="24"/>
          <w:szCs w:val="24"/>
        </w:rPr>
        <w:tab/>
        <w:t>En esta sección se profundiza en la escala local del AMPR Paquera-Tambor, principalmente en la aplicación de la normativa jurídica e institucional descrita anteriormente en la actividad pesquera de estas comunidades.</w:t>
      </w:r>
    </w:p>
    <w:p w:rsidR="00477601" w:rsidRDefault="00477601" w:rsidP="00477601">
      <w:pPr>
        <w:spacing w:before="280" w:line="360" w:lineRule="auto"/>
        <w:jc w:val="both"/>
        <w:rPr>
          <w:rFonts w:ascii="Arial" w:hAnsi="Arial" w:cs="Arial"/>
          <w:sz w:val="24"/>
          <w:szCs w:val="24"/>
        </w:rPr>
      </w:pPr>
      <w:r>
        <w:rPr>
          <w:rFonts w:ascii="Arial" w:hAnsi="Arial" w:cs="Arial"/>
          <w:sz w:val="24"/>
          <w:szCs w:val="24"/>
        </w:rPr>
        <w:tab/>
        <w:t>Como se ha detallado, las AMPR en Costa Rica responden de conformidad a lo dispuesto en el Decreto Ejecutivo N° 35502-MAG, firmado por el Ex Presidente Óscar Arias Sánchez y el Ex Ministro de Agricultura y Ganadería Javier Flores Galarza en agosto del 2009.</w:t>
      </w:r>
    </w:p>
    <w:p w:rsidR="00477601" w:rsidRDefault="00477601" w:rsidP="00477601">
      <w:pPr>
        <w:spacing w:before="280" w:line="360" w:lineRule="auto"/>
        <w:ind w:firstLine="708"/>
        <w:jc w:val="both"/>
        <w:rPr>
          <w:rFonts w:ascii="Arial" w:hAnsi="Arial" w:cs="Arial"/>
          <w:sz w:val="24"/>
          <w:szCs w:val="24"/>
        </w:rPr>
      </w:pPr>
      <w:r>
        <w:rPr>
          <w:rFonts w:ascii="Arial" w:hAnsi="Arial" w:cs="Arial"/>
          <w:sz w:val="24"/>
          <w:szCs w:val="24"/>
        </w:rPr>
        <w:t xml:space="preserve">A grandes rasgos, desde la década de los cuarenta se identifican siete momentos claves en la historia jurídica e institucional del país para instaurar las AMPR. </w:t>
      </w:r>
    </w:p>
    <w:p w:rsidR="00477601" w:rsidRPr="00A904D7" w:rsidRDefault="00477601" w:rsidP="00477601"/>
    <w:p w:rsidR="00477601" w:rsidRDefault="00477601" w:rsidP="00477601">
      <w:pPr>
        <w:spacing w:after="240" w:line="360" w:lineRule="auto"/>
        <w:jc w:val="both"/>
      </w:pPr>
    </w:p>
    <w:p w:rsidR="00477601" w:rsidRDefault="00477601" w:rsidP="00477601">
      <w:pPr>
        <w:spacing w:after="240" w:line="360" w:lineRule="auto"/>
        <w:jc w:val="both"/>
      </w:pPr>
    </w:p>
    <w:p w:rsidR="00477601" w:rsidRDefault="00477601" w:rsidP="00477601">
      <w:pPr>
        <w:spacing w:after="240" w:line="360" w:lineRule="auto"/>
        <w:jc w:val="both"/>
      </w:pPr>
    </w:p>
    <w:p w:rsidR="00477601" w:rsidRDefault="00477601" w:rsidP="00477601">
      <w:pPr>
        <w:spacing w:after="240" w:line="360" w:lineRule="auto"/>
        <w:jc w:val="both"/>
      </w:pPr>
    </w:p>
    <w:p w:rsidR="00477601" w:rsidRDefault="00477601" w:rsidP="00477601">
      <w:pPr>
        <w:spacing w:after="240" w:line="360" w:lineRule="auto"/>
        <w:jc w:val="both"/>
      </w:pPr>
    </w:p>
    <w:p w:rsidR="00477601" w:rsidRDefault="00477601" w:rsidP="00477601">
      <w:pPr>
        <w:spacing w:after="240" w:line="360" w:lineRule="auto"/>
        <w:jc w:val="both"/>
      </w:pPr>
      <w:r>
        <w:rPr>
          <w:noProof/>
          <w:lang w:eastAsia="es-CR"/>
        </w:rPr>
        <w:lastRenderedPageBreak/>
        <w:drawing>
          <wp:anchor distT="0" distB="0" distL="114300" distR="114300" simplePos="0" relativeHeight="251666432" behindDoc="1" locked="0" layoutInCell="1" allowOverlap="1" wp14:anchorId="1AECD956" wp14:editId="0B5A73D0">
            <wp:simplePos x="0" y="0"/>
            <wp:positionH relativeFrom="margin">
              <wp:align>right</wp:align>
            </wp:positionH>
            <wp:positionV relativeFrom="margin">
              <wp:posOffset>9525</wp:posOffset>
            </wp:positionV>
            <wp:extent cx="5612130" cy="4476750"/>
            <wp:effectExtent l="0" t="0" r="7620" b="0"/>
            <wp:wrapSquare wrapText="bothSides"/>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
                      <a:extLst>
                        <a:ext uri="{28A0092B-C50C-407E-A947-70E740481C1C}">
                          <a14:useLocalDpi xmlns:a14="http://schemas.microsoft.com/office/drawing/2010/main" val="0"/>
                        </a:ext>
                      </a:extLst>
                    </a:blip>
                    <a:stretch>
                      <a:fillRect/>
                    </a:stretch>
                  </pic:blipFill>
                  <pic:spPr>
                    <a:xfrm>
                      <a:off x="0" y="0"/>
                      <a:ext cx="5612130" cy="4476750"/>
                    </a:xfrm>
                    <a:prstGeom prst="rect">
                      <a:avLst/>
                    </a:prstGeom>
                  </pic:spPr>
                </pic:pic>
              </a:graphicData>
            </a:graphic>
          </wp:anchor>
        </w:drawing>
      </w:r>
    </w:p>
    <w:p w:rsidR="00477601" w:rsidRDefault="00477601" w:rsidP="00477601">
      <w:pPr>
        <w:spacing w:before="280" w:line="360" w:lineRule="auto"/>
        <w:ind w:firstLine="708"/>
        <w:jc w:val="both"/>
        <w:rPr>
          <w:rFonts w:ascii="Arial" w:hAnsi="Arial" w:cs="Arial"/>
          <w:sz w:val="24"/>
          <w:szCs w:val="24"/>
        </w:rPr>
      </w:pPr>
      <w:r>
        <w:rPr>
          <w:rFonts w:ascii="Arial" w:hAnsi="Arial" w:cs="Arial"/>
          <w:sz w:val="24"/>
          <w:szCs w:val="24"/>
        </w:rPr>
        <w:t xml:space="preserve">El enfoque de la administración jurídica e institucional en el tema de recursos pesqueros fue responsabilidad en la década de los cuarenta  del Sistema Nacional de Electricidad (SNE), evidenciándose así que en ese momento no existía una gran preocupación por el tema pesquero en cuanto a su cuestión jurídica. </w:t>
      </w:r>
    </w:p>
    <w:p w:rsidR="00477601" w:rsidRDefault="00477601" w:rsidP="00477601">
      <w:pPr>
        <w:spacing w:before="280" w:line="360" w:lineRule="auto"/>
        <w:ind w:firstLine="708"/>
        <w:jc w:val="both"/>
        <w:rPr>
          <w:rFonts w:ascii="Arial" w:hAnsi="Arial" w:cs="Arial"/>
          <w:sz w:val="24"/>
          <w:szCs w:val="24"/>
        </w:rPr>
      </w:pPr>
      <w:r>
        <w:rPr>
          <w:rFonts w:ascii="Arial" w:hAnsi="Arial" w:cs="Arial"/>
          <w:sz w:val="24"/>
          <w:szCs w:val="24"/>
        </w:rPr>
        <w:t xml:space="preserve">Se detalla en la carta magna de 1949 la soberanía que Costa Rica posee sobre sus recursos marítimos, a partir de ahí muchas otras instituciones formaron parte del entramado jurídico e institucional del tema marítimo, tales como el ICE, AyA, Ministerio de Salud, Municipalidades y especialmente el Ministerio de Ganadería y Agricultura. </w:t>
      </w:r>
    </w:p>
    <w:p w:rsidR="00477601" w:rsidRDefault="00477601" w:rsidP="00477601">
      <w:pPr>
        <w:spacing w:before="280" w:line="360" w:lineRule="auto"/>
        <w:ind w:firstLine="708"/>
        <w:jc w:val="both"/>
        <w:rPr>
          <w:rFonts w:ascii="Arial" w:hAnsi="Arial" w:cs="Arial"/>
          <w:sz w:val="24"/>
          <w:szCs w:val="24"/>
        </w:rPr>
      </w:pPr>
      <w:r>
        <w:rPr>
          <w:rFonts w:ascii="Arial" w:hAnsi="Arial" w:cs="Arial"/>
          <w:sz w:val="24"/>
          <w:szCs w:val="24"/>
        </w:rPr>
        <w:t xml:space="preserve">La práctica de la pesca empezó a desarrollarse de manera más amplia e intensa a partir de las décadas de los sesentas y setentas. Esto responde a la </w:t>
      </w:r>
      <w:r>
        <w:rPr>
          <w:rFonts w:ascii="Arial" w:hAnsi="Arial" w:cs="Arial"/>
          <w:sz w:val="24"/>
          <w:szCs w:val="24"/>
        </w:rPr>
        <w:lastRenderedPageBreak/>
        <w:t xml:space="preserve">dinámica productiva del país en ese momento y a la crisis del sector agropecuario, que se tradujo en que muchas personas prestaran atención y esfuerzo a la actividad pesquera; es por eso que se crea en 1972 la sección de pesca y acuicultura como ente dependiente del MAG con el objetivo de regular dicha actividad (Porras, O. 1993. p. 2-3). </w:t>
      </w:r>
    </w:p>
    <w:p w:rsidR="00477601" w:rsidRDefault="00477601" w:rsidP="00477601">
      <w:pPr>
        <w:spacing w:before="280" w:line="360" w:lineRule="auto"/>
        <w:ind w:firstLine="708"/>
        <w:jc w:val="both"/>
        <w:rPr>
          <w:rFonts w:ascii="Arial" w:hAnsi="Arial" w:cs="Arial"/>
          <w:sz w:val="24"/>
          <w:szCs w:val="24"/>
        </w:rPr>
      </w:pPr>
      <w:r>
        <w:rPr>
          <w:rFonts w:ascii="Arial" w:hAnsi="Arial" w:cs="Arial"/>
          <w:sz w:val="24"/>
          <w:szCs w:val="24"/>
        </w:rPr>
        <w:t>Es evidente que estos esfuerzos jurídicos e institucionales no fueron suficientes para la creciente actividad pesquera del país. En los noventas se crea la Ley Orgánica del Ambiente, en donde el MAG desconcentra un poco su responsabilidad en el tema de pesca, dándole más protagonismo a las municipalidades. Aunque existían las normativas y los acuerdos internacionales, el Estado aún necesitaba un enfoque más claro de sus políticas de pesca.</w:t>
      </w:r>
    </w:p>
    <w:p w:rsidR="00477601" w:rsidRDefault="00477601" w:rsidP="00477601">
      <w:pPr>
        <w:spacing w:before="280" w:line="360" w:lineRule="auto"/>
        <w:ind w:firstLine="708"/>
        <w:jc w:val="both"/>
      </w:pPr>
      <w:r>
        <w:rPr>
          <w:rFonts w:ascii="Arial" w:hAnsi="Arial" w:cs="Arial"/>
          <w:sz w:val="24"/>
          <w:szCs w:val="24"/>
        </w:rPr>
        <w:t>En la práctica institucional, se puede deducir que el siglo XX no existió una figura robusta tanto política como jurídicamente que aplicara estas normativas de manera eficiente y con bases científicas, por lo que se empezó a evidenciar una grave problemática sobre los recursos pesqueros. Este desinterés político en el tema de pesca responde principalmente que Costa Rica es un país agrícola y ganadero, dándole en ese momento poca importancia y atención al sector pesquero.</w:t>
      </w:r>
    </w:p>
    <w:p w:rsidR="00477601" w:rsidRDefault="00477601" w:rsidP="00477601">
      <w:pPr>
        <w:spacing w:before="280" w:line="360" w:lineRule="auto"/>
        <w:ind w:firstLine="708"/>
        <w:jc w:val="both"/>
        <w:rPr>
          <w:rFonts w:ascii="Arial" w:hAnsi="Arial" w:cs="Arial"/>
          <w:sz w:val="24"/>
          <w:szCs w:val="24"/>
        </w:rPr>
      </w:pPr>
      <w:r>
        <w:rPr>
          <w:rFonts w:ascii="Arial" w:hAnsi="Arial" w:cs="Arial"/>
          <w:sz w:val="24"/>
          <w:szCs w:val="24"/>
        </w:rPr>
        <w:t>Las comunidades costeras, incluso en la actualidad, son las que presentan mayor desigualdad económica y social, son las que se encuentran más alejadas de la capital, las que poseen menos infraestructura, educación y tecnología para desarrollar sus actividades productivas.</w:t>
      </w:r>
    </w:p>
    <w:p w:rsidR="00477601" w:rsidRDefault="00477601" w:rsidP="00477601">
      <w:pPr>
        <w:spacing w:before="280" w:line="360" w:lineRule="auto"/>
        <w:ind w:firstLine="708"/>
        <w:jc w:val="both"/>
        <w:rPr>
          <w:rFonts w:ascii="Arial" w:hAnsi="Arial" w:cs="Arial"/>
          <w:sz w:val="24"/>
          <w:szCs w:val="24"/>
        </w:rPr>
      </w:pPr>
      <w:r>
        <w:rPr>
          <w:rFonts w:ascii="Arial" w:hAnsi="Arial" w:cs="Arial"/>
          <w:sz w:val="24"/>
          <w:szCs w:val="24"/>
        </w:rPr>
        <w:t xml:space="preserve">Es en la década de los 2000, en los gobiernos de esa época, principalmente los de los Ex Presidentes Abel Pacheco de la Espriella (2002-2006) y Óscar Arias Sánchez (2006-2010), cuando jurídicamente el tema de pesca toma un rumbo más significativo y alentador. Se consolida la figura de INCOPESCA en el año 2005, dándole así la rectoría del tema pesquero nacional. </w:t>
      </w:r>
    </w:p>
    <w:p w:rsidR="00477601" w:rsidRDefault="00477601" w:rsidP="00477601">
      <w:pPr>
        <w:spacing w:before="280" w:line="360" w:lineRule="auto"/>
        <w:ind w:firstLine="708"/>
        <w:jc w:val="both"/>
        <w:rPr>
          <w:rFonts w:ascii="Arial" w:hAnsi="Arial" w:cs="Arial"/>
          <w:sz w:val="24"/>
          <w:szCs w:val="24"/>
        </w:rPr>
      </w:pPr>
      <w:r>
        <w:rPr>
          <w:rFonts w:ascii="Arial" w:hAnsi="Arial" w:cs="Arial"/>
          <w:sz w:val="24"/>
          <w:szCs w:val="24"/>
        </w:rPr>
        <w:t xml:space="preserve">Es en este punto, donde el sector político del país evidenció que la actividad pesquera estaba en un crecimiento muy acelerado, por lo que fue de vital </w:t>
      </w:r>
      <w:r>
        <w:rPr>
          <w:rFonts w:ascii="Arial" w:hAnsi="Arial" w:cs="Arial"/>
          <w:sz w:val="24"/>
          <w:szCs w:val="24"/>
        </w:rPr>
        <w:lastRenderedPageBreak/>
        <w:t xml:space="preserve">importancia consolidar el INCOPESCA. Se logró ampliar la oferta de políticas, programas y proyectos para preservar los recursos pesqueros y fomentar la actividad económica de la pesca. </w:t>
      </w:r>
    </w:p>
    <w:p w:rsidR="00477601" w:rsidRDefault="00477601" w:rsidP="00477601">
      <w:pPr>
        <w:spacing w:before="280" w:line="360" w:lineRule="auto"/>
        <w:ind w:firstLine="708"/>
        <w:jc w:val="both"/>
        <w:rPr>
          <w:rFonts w:ascii="Arial" w:hAnsi="Arial" w:cs="Arial"/>
          <w:sz w:val="24"/>
          <w:szCs w:val="24"/>
        </w:rPr>
      </w:pPr>
      <w:r>
        <w:rPr>
          <w:rFonts w:ascii="Arial" w:hAnsi="Arial" w:cs="Arial"/>
          <w:sz w:val="24"/>
          <w:szCs w:val="24"/>
        </w:rPr>
        <w:t>Cuatro años después de la promulgación de la Ley N° 8436, el INCOPESCA y el MAG aprueban el Reglamento para el Establecimiento de las Áreas Marinas de Pesca Responsable y Declaratoria de Interés Público Nacional de las Áreas Marinas de Pesca Responsable. Por lo que a partir del año 2009 se empiezan a instaurar estas figuras jurídicas e institucionales en el país.</w:t>
      </w:r>
    </w:p>
    <w:p w:rsidR="00477601" w:rsidRDefault="00477601" w:rsidP="00477601">
      <w:pPr>
        <w:spacing w:before="280" w:line="360" w:lineRule="auto"/>
        <w:ind w:firstLine="708"/>
        <w:jc w:val="both"/>
        <w:rPr>
          <w:rFonts w:ascii="Arial" w:hAnsi="Arial" w:cs="Arial"/>
          <w:sz w:val="24"/>
          <w:szCs w:val="24"/>
        </w:rPr>
      </w:pPr>
      <w:r>
        <w:rPr>
          <w:rFonts w:ascii="Arial" w:hAnsi="Arial" w:cs="Arial"/>
          <w:sz w:val="24"/>
          <w:szCs w:val="24"/>
        </w:rPr>
        <w:t>Específicamente, en el AMPR Paquera-Tambor, el sustento jurídico se alinea a estas normativas relacionadas al INCOPESCA y el reglamento anteriormente señalado. Es importante el destacar que todo ha sido y es un proceso jurídico e institucional y que estas iniciativas políticas no han respondido principalmente a decisiones planificadas bajo las premisas de la prospectiva, sino más bien se han ido forjando según las necesidades de cada momento.</w:t>
      </w:r>
    </w:p>
    <w:p w:rsidR="00477601" w:rsidRDefault="00477601" w:rsidP="00477601">
      <w:pPr>
        <w:spacing w:before="280" w:line="360" w:lineRule="auto"/>
        <w:ind w:firstLine="708"/>
        <w:jc w:val="both"/>
        <w:rPr>
          <w:rFonts w:ascii="Arial" w:hAnsi="Arial" w:cs="Arial"/>
          <w:sz w:val="24"/>
          <w:szCs w:val="24"/>
        </w:rPr>
      </w:pPr>
      <w:r>
        <w:rPr>
          <w:rFonts w:ascii="Arial" w:hAnsi="Arial" w:cs="Arial"/>
          <w:sz w:val="24"/>
          <w:szCs w:val="24"/>
        </w:rPr>
        <w:t>Desde una perspectiva crítica y según la experiencia detallada más adelante en el apartado sobre la implementación y gestión local del AMPR Paquera-Tambor, la institucionalidad se redujo simplemente a ofrecer una guía estandarizada para la creación de las AMPR, sin ahondar en temas de mucha complejidad y no ofreciendo un verdadero acompañamiento integral a la comunidad en el tema de capacitaciones y cuestiones burocráticas para fundar el AMPR.</w:t>
      </w:r>
    </w:p>
    <w:p w:rsidR="00477601" w:rsidRDefault="00477601" w:rsidP="00477601">
      <w:pPr>
        <w:spacing w:before="280" w:line="360" w:lineRule="auto"/>
        <w:ind w:firstLine="708"/>
        <w:jc w:val="both"/>
        <w:rPr>
          <w:rFonts w:ascii="Arial" w:hAnsi="Arial" w:cs="Arial"/>
          <w:sz w:val="24"/>
          <w:szCs w:val="24"/>
        </w:rPr>
      </w:pPr>
      <w:r>
        <w:rPr>
          <w:rFonts w:ascii="Arial" w:hAnsi="Arial" w:cs="Arial"/>
          <w:sz w:val="24"/>
          <w:szCs w:val="24"/>
        </w:rPr>
        <w:t xml:space="preserve">Ahora, partiendo desde las categorías de análisis teóricas, la estructura jurídica e institucional de las AMPR no cumple con el rol habitual que una política pública debe mantener en los procesos de intervención. Desde la lógica teórica de las políticas públicas, en la normativa costarricense sobre las conformaciones de las AMPR se indica que para la creación de un área de pesca responsable, el INCOPESCA puede contar con el apoyo de la misma comunidad e incluso de otras instituciones, suponiendo así que el INCOPESCA en ese sentido no se preocupa por entender a profundidad los problemas de pesca en el país, por lo que sus decisiones no se basan meramente en una agenda pública definida y </w:t>
      </w:r>
      <w:r>
        <w:rPr>
          <w:rFonts w:ascii="Arial" w:hAnsi="Arial" w:cs="Arial"/>
          <w:sz w:val="24"/>
          <w:szCs w:val="24"/>
        </w:rPr>
        <w:lastRenderedPageBreak/>
        <w:t xml:space="preserve">responsabilidad exclusiva de la institución -como sucede con muchas otras políticas del país-; sino que en el proceso de la definición del problema, se recoge una agenda de discusiones institucionales y comunales para así luego proceder con la implementación de las decisiones. </w:t>
      </w:r>
    </w:p>
    <w:p w:rsidR="00477601" w:rsidRDefault="00477601" w:rsidP="00477601">
      <w:pPr>
        <w:spacing w:before="280" w:line="360" w:lineRule="auto"/>
        <w:ind w:firstLine="708"/>
        <w:jc w:val="both"/>
        <w:rPr>
          <w:rFonts w:ascii="Arial" w:hAnsi="Arial" w:cs="Arial"/>
          <w:sz w:val="24"/>
          <w:szCs w:val="24"/>
        </w:rPr>
      </w:pPr>
      <w:r>
        <w:rPr>
          <w:rFonts w:ascii="Arial" w:hAnsi="Arial" w:cs="Arial"/>
          <w:sz w:val="24"/>
          <w:szCs w:val="24"/>
        </w:rPr>
        <w:t xml:space="preserve">Esa manifestación del INCOPESCA de fomentar la participación política y social, involucrando directamente a la comunidad en los procesos de la creación de la política local del AMPR, se quedan en el mero discurso político y en las generalidades de la política ya definida, pues en la práctica sus acciones se limitan a lo que indique la normativa y de un abandono explícito en el proceso de gestión del AMPR. </w:t>
      </w:r>
    </w:p>
    <w:p w:rsidR="00477601" w:rsidRDefault="00477601" w:rsidP="00477601">
      <w:pPr>
        <w:spacing w:before="280" w:line="360" w:lineRule="auto"/>
        <w:ind w:left="708"/>
        <w:jc w:val="both"/>
      </w:pPr>
      <w:r>
        <w:rPr>
          <w:rFonts w:ascii="Arial" w:hAnsi="Arial" w:cs="Arial"/>
          <w:sz w:val="24"/>
          <w:szCs w:val="24"/>
        </w:rPr>
        <w:t xml:space="preserve">[…] el tema es que no viene con una agenda, simplemente se acomodan a la agenda que está y reaccionan a cualquier cosa pero no traen una agenda, en ese sentido el acompañamiento propiamente como área marina y en el caso de INCOPESCA como la coordinación para áreas marinas de pesca responsable sí ha sido muy poco, ellos han insistido en participar en las reuniones pero no es un hecho de participar en reuniones si no que es un asunto que deben tener una agenda con nosotros, cuando se creó el área se supone que tenía que haber un comité de seguimiento, es el enlace entre la junta directiva y el área marina pero nunca hicieron un comité de seguimiento para nuestra área. (A. Villareal comunicación personal, 2019) </w:t>
      </w:r>
    </w:p>
    <w:p w:rsidR="00477601" w:rsidRDefault="00477601" w:rsidP="00477601">
      <w:pPr>
        <w:spacing w:before="280" w:line="360" w:lineRule="auto"/>
        <w:ind w:firstLine="708"/>
        <w:jc w:val="both"/>
        <w:rPr>
          <w:rFonts w:ascii="Arial" w:hAnsi="Arial" w:cs="Arial"/>
          <w:sz w:val="24"/>
          <w:szCs w:val="24"/>
        </w:rPr>
      </w:pPr>
      <w:r>
        <w:rPr>
          <w:rFonts w:ascii="Arial" w:hAnsi="Arial" w:cs="Arial"/>
          <w:sz w:val="24"/>
          <w:szCs w:val="24"/>
        </w:rPr>
        <w:t xml:space="preserve">Esta problemática de los recursos pesqueros ha sido tomada como un asunto público por parte de la institucionalidad y la comunidad. Este asunto debe contener coherencia en sus decisiones y acciones tomadas por entes públicos, para así resolver de manera puntual el problema que causa efectos negativos a este grupo social (Subirats, 2008. p. 36). No obstante, en el caso del objeto en cuestión, se visibiliza que es la misma comunidad quien toma las iniciativas y decisiones, dejando de lado esa perspectiva tradicional y conservadora del Estado como un ente benefactor e interventor. </w:t>
      </w:r>
    </w:p>
    <w:p w:rsidR="00477601" w:rsidRDefault="00477601" w:rsidP="00477601">
      <w:pPr>
        <w:spacing w:before="280" w:line="360" w:lineRule="auto"/>
        <w:ind w:firstLine="708"/>
        <w:jc w:val="both"/>
        <w:rPr>
          <w:rFonts w:ascii="Arial" w:hAnsi="Arial" w:cs="Arial"/>
          <w:sz w:val="24"/>
          <w:szCs w:val="24"/>
        </w:rPr>
      </w:pPr>
      <w:r>
        <w:rPr>
          <w:rFonts w:ascii="Arial" w:hAnsi="Arial" w:cs="Arial"/>
          <w:sz w:val="24"/>
          <w:szCs w:val="24"/>
        </w:rPr>
        <w:lastRenderedPageBreak/>
        <w:t xml:space="preserve">Dentro de la categoría teórica de la estructura jurídica e institucional, se menciona que el normativismo funciona como una corriente teórica que explica que la ética, la moral y la racionalidad son factores naturales determinantes dentro de ese sistema de leyes y normas. Corrientes más progresistas o comunitaristas, suponen que este entramado jurídico proviene de las relaciones e interacciones de diversos actores institucionales y locales que conforman la sociedad, y a partir de sus vivencias y necesidades se desarrollan las normas y leyes. </w:t>
      </w:r>
    </w:p>
    <w:p w:rsidR="00477601" w:rsidRDefault="00477601" w:rsidP="00477601">
      <w:pPr>
        <w:spacing w:before="280" w:line="360" w:lineRule="auto"/>
        <w:ind w:firstLine="708"/>
        <w:jc w:val="both"/>
        <w:rPr>
          <w:rFonts w:ascii="Arial" w:hAnsi="Arial" w:cs="Arial"/>
          <w:sz w:val="24"/>
          <w:szCs w:val="24"/>
        </w:rPr>
      </w:pPr>
      <w:r>
        <w:rPr>
          <w:rFonts w:ascii="Arial" w:hAnsi="Arial" w:cs="Arial"/>
          <w:sz w:val="24"/>
          <w:szCs w:val="24"/>
        </w:rPr>
        <w:t xml:space="preserve">En el caso de las AMPR y, específicamente, la ubicada en Paquera-Tambor, su normativa fue instaurada por un poder institucional, representando por el MAG e INCOPESCA, se realizaron consultas públicas y algunas audiencias, pero es producto de un ejercicio del poder ejecutivo y que sus créditos se limitan a ese ente. Además, si se percibe de una manera retractable, la normativa existe con sus lineamientos y procesos a seguir, pero realmente no presenta una vinculación directa como es deseable con las comunidades. </w:t>
      </w:r>
    </w:p>
    <w:p w:rsidR="00477601" w:rsidRDefault="00477601" w:rsidP="00477601">
      <w:pPr>
        <w:spacing w:before="280" w:line="360" w:lineRule="auto"/>
        <w:ind w:firstLine="708"/>
        <w:jc w:val="both"/>
        <w:rPr>
          <w:rFonts w:ascii="Arial" w:hAnsi="Arial" w:cs="Arial"/>
          <w:sz w:val="24"/>
          <w:szCs w:val="24"/>
        </w:rPr>
      </w:pPr>
      <w:r>
        <w:rPr>
          <w:rFonts w:ascii="Arial" w:hAnsi="Arial" w:cs="Arial"/>
          <w:sz w:val="24"/>
          <w:szCs w:val="24"/>
        </w:rPr>
        <w:t xml:space="preserve">Tal como se percibió de manera empírica en los primeros capítulos de este estudio, el Estado costarricense instauró las AMPR como un proyecto de políticas públicas y lineamientos institucionales para intervenir en la problemática de los recursos pesqueros, pero existen en la actualidad grandes debilidades, principalmente en la gestión de las AMPR ya creadas, como es el caso del poco acompañamiento en la administración del AMPR Paquera-Tambor. </w:t>
      </w:r>
    </w:p>
    <w:p w:rsidR="00477601" w:rsidRDefault="00477601" w:rsidP="00477601">
      <w:pPr>
        <w:spacing w:before="280" w:line="360" w:lineRule="auto"/>
        <w:ind w:firstLine="708"/>
        <w:jc w:val="both"/>
        <w:rPr>
          <w:rFonts w:ascii="Arial" w:hAnsi="Arial" w:cs="Arial"/>
          <w:sz w:val="24"/>
          <w:szCs w:val="24"/>
        </w:rPr>
      </w:pPr>
      <w:r>
        <w:rPr>
          <w:rFonts w:ascii="Arial" w:hAnsi="Arial" w:cs="Arial"/>
          <w:sz w:val="24"/>
          <w:szCs w:val="24"/>
        </w:rPr>
        <w:t>Desde el normativismo, la pauta jurídica existe de manera formal, pero en su praxis se evidencia que la intervención dirigida a estas comunidades se concentró principalmente en dar guías de creación de las áreas de pesca responsable, sin profundizar y tomar acciones como ente rector institucional en las complejidades económicas, sociales y políticas que las comunidades y este caso los lugares que componen el AMPR Paquera-Tambor presentan en su cotidianidad.</w:t>
      </w:r>
    </w:p>
    <w:p w:rsidR="00477601" w:rsidRDefault="00477601" w:rsidP="00477601">
      <w:pPr>
        <w:spacing w:before="280" w:line="360" w:lineRule="auto"/>
        <w:ind w:firstLine="708"/>
        <w:jc w:val="both"/>
        <w:rPr>
          <w:rFonts w:ascii="Arial" w:hAnsi="Arial" w:cs="Arial"/>
          <w:sz w:val="24"/>
          <w:szCs w:val="24"/>
        </w:rPr>
      </w:pPr>
      <w:r>
        <w:rPr>
          <w:rFonts w:ascii="Arial" w:hAnsi="Arial" w:cs="Arial"/>
          <w:sz w:val="24"/>
          <w:szCs w:val="24"/>
        </w:rPr>
        <w:t xml:space="preserve">Una segunda forma de analizar esta problemática es desde la perspectiva de las mismas comunidades, las cuales no se aferran a la teoría tradicional de atenerse a la intervención del Estado, sino que es a partir de sus propias condiciones y </w:t>
      </w:r>
      <w:r>
        <w:rPr>
          <w:rFonts w:ascii="Arial" w:hAnsi="Arial" w:cs="Arial"/>
          <w:sz w:val="24"/>
          <w:szCs w:val="24"/>
        </w:rPr>
        <w:lastRenderedPageBreak/>
        <w:t xml:space="preserve">capacidades, aún mantienen gestionando el AMPR Paquera-Tambor, incluso con las limitaciones institucionales que se han detallado con anterioridad. </w:t>
      </w:r>
    </w:p>
    <w:p w:rsidR="00477601" w:rsidRDefault="00477601" w:rsidP="00477601">
      <w:pPr>
        <w:spacing w:before="280" w:line="360" w:lineRule="auto"/>
        <w:ind w:left="708"/>
        <w:jc w:val="both"/>
        <w:rPr>
          <w:rFonts w:ascii="Arial" w:hAnsi="Arial" w:cs="Arial"/>
          <w:sz w:val="24"/>
          <w:szCs w:val="24"/>
        </w:rPr>
      </w:pPr>
      <w:r>
        <w:rPr>
          <w:rFonts w:ascii="Arial" w:hAnsi="Arial" w:cs="Arial"/>
          <w:sz w:val="24"/>
          <w:szCs w:val="24"/>
        </w:rPr>
        <w:t>[…] no fue impuesto por el gobierno, todo lo contrario […] hicimos la solicitud a INCOPESCA, más bien INCOPESCA en ese momento no tenía capacidad, ni tenía la directriz realmente de crear más áreas de pesca responsable, más bien era lo contrario, estaban en una etapa donde estaban analizando que ocurría con las áreas de pesca responsable entonces no estaban creando más áreas de pesca responsable, nosotros insistimos a tal punto que tuvimos que hablar con el presidente ejecutivo, Luis Dobles, y con otros funcionarios, de tal forma que los convencimos que era necesario hacer esta área de pesca responsable. (L. Schutt, comunicación personal, 2019)</w:t>
      </w:r>
    </w:p>
    <w:p w:rsidR="00477601" w:rsidRDefault="00477601" w:rsidP="00477601">
      <w:pPr>
        <w:rPr>
          <w:rFonts w:ascii="Arial" w:hAnsi="Arial" w:cs="Arial"/>
          <w:sz w:val="24"/>
          <w:szCs w:val="24"/>
        </w:rPr>
      </w:pPr>
      <w:r>
        <w:rPr>
          <w:rFonts w:ascii="Arial" w:hAnsi="Arial" w:cs="Arial"/>
          <w:sz w:val="24"/>
          <w:szCs w:val="24"/>
        </w:rPr>
        <w:br w:type="page"/>
      </w:r>
    </w:p>
    <w:p w:rsidR="00477601" w:rsidRPr="001D7DF6" w:rsidRDefault="00477601" w:rsidP="00477601">
      <w:pPr>
        <w:pStyle w:val="Ttulo2"/>
        <w:numPr>
          <w:ilvl w:val="1"/>
          <w:numId w:val="21"/>
        </w:numPr>
        <w:spacing w:before="200" w:line="360" w:lineRule="auto"/>
        <w:rPr>
          <w:rFonts w:ascii="Arial" w:hAnsi="Arial" w:cs="Arial"/>
          <w:b/>
          <w:color w:val="00000A"/>
        </w:rPr>
      </w:pPr>
      <w:bookmarkStart w:id="73" w:name="_Toc50906713"/>
      <w:r w:rsidRPr="001D7DF6">
        <w:rPr>
          <w:rFonts w:ascii="Arial" w:hAnsi="Arial" w:cs="Arial"/>
          <w:b/>
          <w:color w:val="00000A"/>
        </w:rPr>
        <w:lastRenderedPageBreak/>
        <w:t>Las estrategias institucionales de implementación y gestión del Área Marina de Pesca Responsable Paquera – Tambor</w:t>
      </w:r>
      <w:bookmarkEnd w:id="73"/>
    </w:p>
    <w:p w:rsidR="00477601" w:rsidRDefault="00477601" w:rsidP="00477601">
      <w:pPr>
        <w:spacing w:before="240" w:line="360" w:lineRule="auto"/>
        <w:ind w:firstLine="708"/>
        <w:jc w:val="both"/>
      </w:pPr>
      <w:r>
        <w:rPr>
          <w:rFonts w:ascii="Arial" w:hAnsi="Arial" w:cs="Arial"/>
          <w:sz w:val="24"/>
          <w:szCs w:val="24"/>
        </w:rPr>
        <w:t xml:space="preserve">La figura jurídica e institucional de las Áreas Marinas de Pesca Responsable en el país, surgió en el año 2008 mediante el acuerdo AJDIP/138-2008 de la Junta Directiva del INCOPESCA; específicamente se aprobó el </w:t>
      </w:r>
      <w:r>
        <w:rPr>
          <w:rFonts w:ascii="Arial" w:hAnsi="Arial" w:cs="Arial"/>
          <w:i/>
          <w:sz w:val="24"/>
          <w:szCs w:val="24"/>
        </w:rPr>
        <w:t>Reglamento Para El Establecimiento De Áreas Marinas Para La Pesca Responsable</w:t>
      </w:r>
      <w:r>
        <w:rPr>
          <w:rFonts w:ascii="Arial" w:hAnsi="Arial" w:cs="Arial"/>
          <w:sz w:val="24"/>
          <w:szCs w:val="24"/>
        </w:rPr>
        <w:t xml:space="preserve"> (INCOPESCA, 2018).</w:t>
      </w:r>
    </w:p>
    <w:p w:rsidR="00477601" w:rsidRDefault="00477601" w:rsidP="00477601">
      <w:pPr>
        <w:spacing w:before="240" w:line="360" w:lineRule="auto"/>
        <w:ind w:firstLine="708"/>
        <w:jc w:val="both"/>
        <w:rPr>
          <w:rFonts w:ascii="Arial" w:hAnsi="Arial" w:cs="Arial"/>
          <w:sz w:val="24"/>
          <w:szCs w:val="24"/>
        </w:rPr>
      </w:pPr>
      <w:r>
        <w:rPr>
          <w:rFonts w:ascii="Arial" w:hAnsi="Arial" w:cs="Arial"/>
          <w:sz w:val="24"/>
          <w:szCs w:val="24"/>
        </w:rPr>
        <w:t xml:space="preserve">La descripción y lógica de las AMPR se detalla en el Artículo 1, inciso A de este reglamento. El cual puntualiza la siguiente información: </w:t>
      </w:r>
    </w:p>
    <w:p w:rsidR="00477601" w:rsidRDefault="00477601" w:rsidP="00477601">
      <w:pPr>
        <w:spacing w:before="240" w:line="360" w:lineRule="auto"/>
        <w:ind w:left="708"/>
        <w:jc w:val="both"/>
      </w:pPr>
      <w:r>
        <w:rPr>
          <w:rFonts w:ascii="Arial" w:hAnsi="Arial" w:cs="Arial"/>
          <w:sz w:val="24"/>
          <w:szCs w:val="24"/>
        </w:rPr>
        <w:t xml:space="preserve">Áreas con características biológicas, pesqueras o socioculturales importantes, las cuales estarán delimitadas por coordenadas geográficas y otros mecanismos que permitan identificar sus límites y en las que se regula la actividad pesquera de modo particular para asegurar el aprovechamiento de los recursos pesqueros a largo plazo y en las que para su conservación, uso y manejo, el INCOPESCA podrá contar con el apoyo de comunidades costeras y/o de otras instituciones. (2018) </w:t>
      </w:r>
    </w:p>
    <w:p w:rsidR="00477601" w:rsidRDefault="00477601" w:rsidP="00477601">
      <w:pPr>
        <w:spacing w:before="240" w:line="360" w:lineRule="auto"/>
        <w:ind w:firstLine="708"/>
        <w:jc w:val="both"/>
      </w:pPr>
      <w:r>
        <w:rPr>
          <w:rFonts w:ascii="Arial" w:hAnsi="Arial" w:cs="Arial"/>
          <w:sz w:val="24"/>
          <w:szCs w:val="24"/>
        </w:rPr>
        <w:t>En términos generales; el INCOPESCA intenta conservar los recursos pesqueros de nuestro país, a partir de una estrategia de intervención y/o regulación estatal de dichas actividades pesqueras. Es importante destacar el aspecto participativo que el Estado otorga a las comunidades en las creaciones de las AMPR. El INCOPESCA indica que este reglamento posee: “una modalidad de manejo participativo desarrollada en conjunto con los pescadores interesados en aplicarla, por ser ellos los usuarios directos y garantes de la sostenibilidad de los recursos pesqueros” (INCOPESCA. 2010. p. 6).</w:t>
      </w:r>
    </w:p>
    <w:p w:rsidR="00477601" w:rsidRDefault="00477601" w:rsidP="00477601">
      <w:pPr>
        <w:spacing w:before="240" w:line="360" w:lineRule="auto"/>
        <w:ind w:firstLine="708"/>
        <w:jc w:val="both"/>
        <w:rPr>
          <w:rFonts w:ascii="Arial" w:hAnsi="Arial" w:cs="Arial"/>
          <w:sz w:val="24"/>
          <w:szCs w:val="24"/>
        </w:rPr>
      </w:pPr>
      <w:r>
        <w:rPr>
          <w:rFonts w:ascii="Arial" w:hAnsi="Arial" w:cs="Arial"/>
          <w:sz w:val="24"/>
          <w:szCs w:val="24"/>
        </w:rPr>
        <w:t xml:space="preserve">Desde la perspectiva teórica de la gestión pública con enfoque de la Gestión Social, se logra sostener que, el INCOPESCA en este caso como actor institucional, pretende implicar a otros actores no institucionales en los procesos de implementación y gestión de la política del AMPR en Paquera-Tambor. Y esto es </w:t>
      </w:r>
      <w:r>
        <w:rPr>
          <w:rFonts w:ascii="Arial" w:hAnsi="Arial" w:cs="Arial"/>
          <w:sz w:val="24"/>
          <w:szCs w:val="24"/>
        </w:rPr>
        <w:lastRenderedPageBreak/>
        <w:t>explicito tanto en la legislación como en la práctica, sin embargo esto último no es de destacar, ya que si bien es cierto que existe un empoderamiento e involucramiento de la comunidad, como ya se ha expuesto con anterioridad, que responde principalmente al abandono de la institucionalidad en la gestión del proyecto.</w:t>
      </w:r>
    </w:p>
    <w:p w:rsidR="00477601" w:rsidRDefault="00477601" w:rsidP="00477601">
      <w:pPr>
        <w:spacing w:before="240" w:line="360" w:lineRule="auto"/>
        <w:ind w:firstLine="708"/>
        <w:jc w:val="both"/>
      </w:pPr>
      <w:r>
        <w:rPr>
          <w:rFonts w:ascii="Arial" w:hAnsi="Arial" w:cs="Arial"/>
          <w:sz w:val="24"/>
          <w:szCs w:val="24"/>
        </w:rPr>
        <w:t xml:space="preserve">No se pretende quitarle crédito a la ardua labor y a la persistencia de la comunidad, por el contrario, en apartados siguientes se analizaran a profundidad esas acciones. Pero lo que sí interesa es categorizar teóricamente el papel del Estado y sus instituciones en el proceso de este proyecto en Paquera-Tambor, que dependiendo de sus fases parecieran compartir premisas de varios enfoques de la gestión Pública. </w:t>
      </w:r>
    </w:p>
    <w:p w:rsidR="00477601" w:rsidRDefault="00477601" w:rsidP="00477601">
      <w:pPr>
        <w:spacing w:before="240" w:line="360" w:lineRule="auto"/>
        <w:ind w:firstLine="708"/>
        <w:jc w:val="both"/>
        <w:rPr>
          <w:rFonts w:ascii="Arial" w:hAnsi="Arial" w:cs="Arial"/>
          <w:sz w:val="24"/>
          <w:szCs w:val="24"/>
        </w:rPr>
      </w:pPr>
      <w:r>
        <w:rPr>
          <w:rFonts w:ascii="Arial" w:hAnsi="Arial" w:cs="Arial"/>
          <w:sz w:val="24"/>
          <w:szCs w:val="24"/>
        </w:rPr>
        <w:t>Desde el enfoque de la gestión burocrática se logra identificar la legislación alrededor de las AMPR como muy tradicional y lineal. El reglamento para el establecimiento de las AMPR en el país posee una estructura bastante estandarizada de cuáles son los requisitos que se deben de presentar para instaurar una AMPR en el país. El INCOPESCA dará prioridad a aquellas áreas que sean propuestas por Organizaciones Pesqueras.</w:t>
      </w:r>
    </w:p>
    <w:p w:rsidR="00477601" w:rsidRDefault="00477601" w:rsidP="00477601">
      <w:pPr>
        <w:spacing w:after="0" w:line="240" w:lineRule="auto"/>
      </w:pPr>
      <w:r>
        <w:rPr>
          <w:rFonts w:ascii="Arial" w:hAnsi="Arial" w:cs="Arial"/>
          <w:sz w:val="24"/>
          <w:szCs w:val="24"/>
        </w:rPr>
        <w:t>Tabla N° 6 Principales requisitos para instaurar una AMPR en el país.</w:t>
      </w:r>
    </w:p>
    <w:p w:rsidR="00477601" w:rsidRDefault="00477601" w:rsidP="00477601">
      <w:pPr>
        <w:spacing w:after="0" w:line="240" w:lineRule="auto"/>
        <w:rPr>
          <w:rFonts w:ascii="Arial" w:hAnsi="Arial" w:cs="Arial"/>
          <w:sz w:val="24"/>
          <w:szCs w:val="24"/>
        </w:rPr>
      </w:pPr>
    </w:p>
    <w:tbl>
      <w:tblPr>
        <w:tblW w:w="8828" w:type="dxa"/>
        <w:tblInd w:w="-10" w:type="dxa"/>
        <w:tblBorders>
          <w:top w:val="single" w:sz="4" w:space="0" w:color="00000A"/>
          <w:left w:val="single" w:sz="4" w:space="0" w:color="00000A"/>
          <w:bottom w:val="single" w:sz="4" w:space="0" w:color="00000A"/>
          <w:right w:val="single" w:sz="4" w:space="0" w:color="00000A"/>
          <w:insideH w:val="single" w:sz="4" w:space="0" w:color="00000A"/>
          <w:insideV w:val="single" w:sz="4" w:space="0" w:color="00000A"/>
        </w:tblBorders>
        <w:tblCellMar>
          <w:left w:w="98" w:type="dxa"/>
        </w:tblCellMar>
        <w:tblLook w:val="04A0" w:firstRow="1" w:lastRow="0" w:firstColumn="1" w:lastColumn="0" w:noHBand="0" w:noVBand="1"/>
      </w:tblPr>
      <w:tblGrid>
        <w:gridCol w:w="4417"/>
        <w:gridCol w:w="4411"/>
      </w:tblGrid>
      <w:tr w:rsidR="00477601" w:rsidTr="00424427">
        <w:tc>
          <w:tcPr>
            <w:tcW w:w="4416" w:type="dxa"/>
            <w:tcBorders>
              <w:top w:val="single" w:sz="4" w:space="0" w:color="00000A"/>
              <w:left w:val="single" w:sz="4" w:space="0" w:color="00000A"/>
              <w:bottom w:val="single" w:sz="4" w:space="0" w:color="00000A"/>
              <w:right w:val="single" w:sz="4" w:space="0" w:color="00000A"/>
            </w:tcBorders>
            <w:shd w:val="clear" w:color="auto" w:fill="auto"/>
            <w:tcMar>
              <w:left w:w="98" w:type="dxa"/>
            </w:tcMar>
          </w:tcPr>
          <w:p w:rsidR="00477601" w:rsidRDefault="00477601" w:rsidP="00424427">
            <w:pPr>
              <w:spacing w:before="240" w:after="0" w:line="360" w:lineRule="auto"/>
              <w:jc w:val="both"/>
              <w:rPr>
                <w:rFonts w:ascii="Arial" w:hAnsi="Arial" w:cs="Arial"/>
                <w:sz w:val="24"/>
                <w:szCs w:val="24"/>
              </w:rPr>
            </w:pPr>
            <w:r>
              <w:rPr>
                <w:rFonts w:ascii="Arial" w:hAnsi="Arial" w:cs="Arial"/>
                <w:sz w:val="24"/>
                <w:szCs w:val="24"/>
              </w:rPr>
              <w:t xml:space="preserve">Antecedentes de la organización. </w:t>
            </w:r>
          </w:p>
        </w:tc>
        <w:tc>
          <w:tcPr>
            <w:tcW w:w="4411" w:type="dxa"/>
            <w:tcBorders>
              <w:top w:val="single" w:sz="4" w:space="0" w:color="00000A"/>
              <w:left w:val="single" w:sz="4" w:space="0" w:color="00000A"/>
              <w:bottom w:val="single" w:sz="4" w:space="0" w:color="00000A"/>
              <w:right w:val="single" w:sz="4" w:space="0" w:color="00000A"/>
            </w:tcBorders>
            <w:shd w:val="clear" w:color="auto" w:fill="auto"/>
            <w:tcMar>
              <w:left w:w="98" w:type="dxa"/>
            </w:tcMar>
          </w:tcPr>
          <w:p w:rsidR="00477601" w:rsidRDefault="00477601" w:rsidP="00424427">
            <w:pPr>
              <w:spacing w:before="240" w:after="0" w:line="360" w:lineRule="auto"/>
              <w:jc w:val="both"/>
              <w:rPr>
                <w:rFonts w:ascii="Arial" w:hAnsi="Arial" w:cs="Arial"/>
                <w:sz w:val="24"/>
                <w:szCs w:val="24"/>
              </w:rPr>
            </w:pPr>
            <w:r>
              <w:rPr>
                <w:rFonts w:ascii="Arial" w:hAnsi="Arial" w:cs="Arial"/>
                <w:sz w:val="24"/>
                <w:szCs w:val="24"/>
              </w:rPr>
              <w:t>Fotocopia de la cédula y la personería jurídica vigente de la organización.</w:t>
            </w:r>
          </w:p>
        </w:tc>
      </w:tr>
      <w:tr w:rsidR="00477601" w:rsidTr="00424427">
        <w:tc>
          <w:tcPr>
            <w:tcW w:w="4416" w:type="dxa"/>
            <w:tcBorders>
              <w:top w:val="single" w:sz="4" w:space="0" w:color="00000A"/>
              <w:left w:val="single" w:sz="4" w:space="0" w:color="00000A"/>
              <w:bottom w:val="single" w:sz="4" w:space="0" w:color="00000A"/>
              <w:right w:val="single" w:sz="4" w:space="0" w:color="00000A"/>
            </w:tcBorders>
            <w:shd w:val="clear" w:color="auto" w:fill="auto"/>
            <w:tcMar>
              <w:left w:w="98" w:type="dxa"/>
            </w:tcMar>
          </w:tcPr>
          <w:p w:rsidR="00477601" w:rsidRDefault="00477601" w:rsidP="00424427">
            <w:pPr>
              <w:spacing w:before="240" w:after="0" w:line="360" w:lineRule="auto"/>
              <w:jc w:val="both"/>
            </w:pPr>
            <w:r>
              <w:rPr>
                <w:rFonts w:ascii="Arial" w:hAnsi="Arial" w:cs="Arial"/>
                <w:sz w:val="24"/>
                <w:szCs w:val="24"/>
              </w:rPr>
              <w:t>Reseña de la organización (año fundación, # pescadores con sus respectivas cédulas, nombres de embarcaciones, matrículas y licencias de pesca).</w:t>
            </w:r>
          </w:p>
        </w:tc>
        <w:tc>
          <w:tcPr>
            <w:tcW w:w="4411" w:type="dxa"/>
            <w:tcBorders>
              <w:top w:val="single" w:sz="4" w:space="0" w:color="00000A"/>
              <w:left w:val="single" w:sz="4" w:space="0" w:color="00000A"/>
              <w:bottom w:val="single" w:sz="4" w:space="0" w:color="00000A"/>
              <w:right w:val="single" w:sz="4" w:space="0" w:color="00000A"/>
            </w:tcBorders>
            <w:shd w:val="clear" w:color="auto" w:fill="auto"/>
            <w:tcMar>
              <w:left w:w="98" w:type="dxa"/>
            </w:tcMar>
          </w:tcPr>
          <w:p w:rsidR="00477601" w:rsidRDefault="00477601" w:rsidP="00424427">
            <w:pPr>
              <w:spacing w:before="240" w:after="0" w:line="360" w:lineRule="auto"/>
              <w:jc w:val="both"/>
            </w:pPr>
            <w:r>
              <w:rPr>
                <w:rFonts w:ascii="Arial" w:hAnsi="Arial" w:cs="Arial"/>
                <w:sz w:val="24"/>
                <w:szCs w:val="24"/>
              </w:rPr>
              <w:t xml:space="preserve">Registros de información histórica que demuestre la importancia biológica, pesquera, sociocultural y ambiental que sustente la creación de dicha figura. </w:t>
            </w:r>
          </w:p>
        </w:tc>
      </w:tr>
      <w:tr w:rsidR="00477601" w:rsidTr="00424427">
        <w:tc>
          <w:tcPr>
            <w:tcW w:w="4416" w:type="dxa"/>
            <w:tcBorders>
              <w:top w:val="single" w:sz="4" w:space="0" w:color="00000A"/>
              <w:left w:val="single" w:sz="4" w:space="0" w:color="00000A"/>
              <w:bottom w:val="single" w:sz="4" w:space="0" w:color="00000A"/>
              <w:right w:val="single" w:sz="4" w:space="0" w:color="00000A"/>
            </w:tcBorders>
            <w:shd w:val="clear" w:color="auto" w:fill="auto"/>
            <w:tcMar>
              <w:left w:w="98" w:type="dxa"/>
            </w:tcMar>
          </w:tcPr>
          <w:p w:rsidR="00477601" w:rsidRDefault="00477601" w:rsidP="00424427">
            <w:pPr>
              <w:spacing w:before="240" w:after="0" w:line="360" w:lineRule="auto"/>
              <w:jc w:val="both"/>
              <w:rPr>
                <w:rFonts w:ascii="Arial" w:hAnsi="Arial" w:cs="Arial"/>
                <w:sz w:val="24"/>
                <w:szCs w:val="24"/>
              </w:rPr>
            </w:pPr>
            <w:r>
              <w:rPr>
                <w:rFonts w:ascii="Arial" w:hAnsi="Arial" w:cs="Arial"/>
                <w:sz w:val="24"/>
                <w:szCs w:val="24"/>
              </w:rPr>
              <w:lastRenderedPageBreak/>
              <w:t xml:space="preserve">Mapa de coordenadas de la presunta AMPR. </w:t>
            </w:r>
          </w:p>
        </w:tc>
        <w:tc>
          <w:tcPr>
            <w:tcW w:w="4411" w:type="dxa"/>
            <w:tcBorders>
              <w:top w:val="single" w:sz="4" w:space="0" w:color="00000A"/>
              <w:left w:val="single" w:sz="4" w:space="0" w:color="00000A"/>
              <w:bottom w:val="single" w:sz="4" w:space="0" w:color="00000A"/>
              <w:right w:val="single" w:sz="4" w:space="0" w:color="00000A"/>
            </w:tcBorders>
            <w:shd w:val="clear" w:color="auto" w:fill="auto"/>
            <w:tcMar>
              <w:left w:w="98" w:type="dxa"/>
            </w:tcMar>
          </w:tcPr>
          <w:p w:rsidR="00477601" w:rsidRDefault="00477601" w:rsidP="00424427">
            <w:pPr>
              <w:spacing w:before="240" w:after="0" w:line="360" w:lineRule="auto"/>
              <w:jc w:val="both"/>
              <w:rPr>
                <w:rFonts w:ascii="Arial" w:hAnsi="Arial" w:cs="Arial"/>
                <w:sz w:val="24"/>
                <w:szCs w:val="24"/>
              </w:rPr>
            </w:pPr>
            <w:r>
              <w:rPr>
                <w:rFonts w:ascii="Arial" w:hAnsi="Arial" w:cs="Arial"/>
                <w:sz w:val="24"/>
                <w:szCs w:val="24"/>
              </w:rPr>
              <w:t xml:space="preserve">Zonificación participativa y áreas de veda total o parcial de la presunta AMPR. </w:t>
            </w:r>
          </w:p>
        </w:tc>
      </w:tr>
      <w:tr w:rsidR="00477601" w:rsidTr="00424427">
        <w:tc>
          <w:tcPr>
            <w:tcW w:w="4416" w:type="dxa"/>
            <w:tcBorders>
              <w:top w:val="single" w:sz="4" w:space="0" w:color="00000A"/>
              <w:left w:val="single" w:sz="4" w:space="0" w:color="00000A"/>
              <w:bottom w:val="single" w:sz="4" w:space="0" w:color="00000A"/>
              <w:right w:val="single" w:sz="4" w:space="0" w:color="00000A"/>
            </w:tcBorders>
            <w:shd w:val="clear" w:color="auto" w:fill="auto"/>
            <w:tcMar>
              <w:left w:w="98" w:type="dxa"/>
            </w:tcMar>
          </w:tcPr>
          <w:p w:rsidR="00477601" w:rsidRDefault="00477601" w:rsidP="00424427">
            <w:pPr>
              <w:spacing w:before="240" w:after="0" w:line="360" w:lineRule="auto"/>
              <w:jc w:val="both"/>
              <w:rPr>
                <w:rFonts w:ascii="Arial" w:hAnsi="Arial" w:cs="Arial"/>
                <w:sz w:val="24"/>
                <w:szCs w:val="24"/>
              </w:rPr>
            </w:pPr>
            <w:r>
              <w:rPr>
                <w:rFonts w:ascii="Arial" w:hAnsi="Arial" w:cs="Arial"/>
                <w:sz w:val="24"/>
                <w:szCs w:val="24"/>
              </w:rPr>
              <w:t xml:space="preserve">Detalle de los tipos y artes de pesca a practicar. </w:t>
            </w:r>
          </w:p>
        </w:tc>
        <w:tc>
          <w:tcPr>
            <w:tcW w:w="4411" w:type="dxa"/>
            <w:tcBorders>
              <w:top w:val="single" w:sz="4" w:space="0" w:color="00000A"/>
              <w:left w:val="single" w:sz="4" w:space="0" w:color="00000A"/>
              <w:bottom w:val="single" w:sz="4" w:space="0" w:color="00000A"/>
              <w:right w:val="single" w:sz="4" w:space="0" w:color="00000A"/>
            </w:tcBorders>
            <w:shd w:val="clear" w:color="auto" w:fill="auto"/>
            <w:tcMar>
              <w:left w:w="98" w:type="dxa"/>
            </w:tcMar>
          </w:tcPr>
          <w:p w:rsidR="00477601" w:rsidRDefault="00477601" w:rsidP="00424427">
            <w:pPr>
              <w:spacing w:before="240" w:after="0" w:line="360" w:lineRule="auto"/>
              <w:jc w:val="both"/>
              <w:rPr>
                <w:rFonts w:ascii="Arial" w:hAnsi="Arial" w:cs="Arial"/>
                <w:sz w:val="24"/>
                <w:szCs w:val="24"/>
              </w:rPr>
            </w:pPr>
            <w:r>
              <w:rPr>
                <w:rFonts w:ascii="Arial" w:hAnsi="Arial" w:cs="Arial"/>
                <w:sz w:val="24"/>
                <w:szCs w:val="24"/>
              </w:rPr>
              <w:t xml:space="preserve">Detalle de la modalidad de embarcación, tallas de primera captura y cualquier otra información que se considere importante. </w:t>
            </w:r>
          </w:p>
        </w:tc>
      </w:tr>
    </w:tbl>
    <w:p w:rsidR="00477601" w:rsidRDefault="00477601" w:rsidP="00477601">
      <w:pPr>
        <w:spacing w:before="240" w:line="360" w:lineRule="auto"/>
        <w:jc w:val="right"/>
        <w:rPr>
          <w:rFonts w:ascii="Arial" w:hAnsi="Arial" w:cs="Arial"/>
          <w:sz w:val="20"/>
          <w:szCs w:val="20"/>
        </w:rPr>
      </w:pPr>
      <w:r>
        <w:rPr>
          <w:rFonts w:ascii="Arial" w:hAnsi="Arial" w:cs="Arial"/>
          <w:sz w:val="20"/>
          <w:szCs w:val="20"/>
        </w:rPr>
        <w:t xml:space="preserve">Fuente: Decreto N°35502-MAG, 2018. </w:t>
      </w:r>
    </w:p>
    <w:p w:rsidR="00477601" w:rsidRDefault="00477601" w:rsidP="00477601">
      <w:pPr>
        <w:spacing w:before="240" w:line="360" w:lineRule="auto"/>
        <w:ind w:firstLine="708"/>
        <w:jc w:val="both"/>
      </w:pPr>
      <w:r>
        <w:rPr>
          <w:rFonts w:ascii="Arial" w:hAnsi="Arial" w:cs="Arial"/>
          <w:sz w:val="24"/>
          <w:szCs w:val="24"/>
        </w:rPr>
        <w:t>Lo anterior es un claro manifiesto de la gestión burocrática, ya que se centra principalmente en el seguimiento estricto de procedimientos, uso de documentos y guías por escrito, sometimiento a relaciones de jerarquía y una estructura competencial basada en normas (Villoria, 2009, p.4-5).</w:t>
      </w:r>
    </w:p>
    <w:p w:rsidR="00477601" w:rsidRDefault="00477601" w:rsidP="00477601">
      <w:pPr>
        <w:spacing w:before="240" w:line="360" w:lineRule="auto"/>
        <w:ind w:firstLine="708"/>
        <w:jc w:val="both"/>
        <w:rPr>
          <w:rFonts w:ascii="Arial" w:hAnsi="Arial" w:cs="Arial"/>
          <w:sz w:val="24"/>
          <w:szCs w:val="24"/>
        </w:rPr>
      </w:pPr>
      <w:r>
        <w:rPr>
          <w:rFonts w:ascii="Arial" w:hAnsi="Arial" w:cs="Arial"/>
          <w:sz w:val="24"/>
          <w:szCs w:val="24"/>
        </w:rPr>
        <w:t>En el caso específico del Área Marina de Pesca Responsable Paquera-Tambor, el proceso de constitución inicia en el año 2011, bajo la iniciativa de un grupo de personas involucradas en el tema de pesca y turismo de la comunidad de Paquera, quienes se pusieron en contacto con el INCOPESCA.</w:t>
      </w:r>
    </w:p>
    <w:p w:rsidR="00477601" w:rsidRDefault="00477601" w:rsidP="00477601">
      <w:pPr>
        <w:spacing w:before="240" w:line="360" w:lineRule="auto"/>
        <w:ind w:firstLine="708"/>
        <w:jc w:val="both"/>
        <w:rPr>
          <w:rFonts w:ascii="Arial" w:hAnsi="Arial" w:cs="Arial"/>
          <w:sz w:val="24"/>
          <w:szCs w:val="24"/>
        </w:rPr>
      </w:pPr>
      <w:r>
        <w:rPr>
          <w:rFonts w:ascii="Arial" w:hAnsi="Arial" w:cs="Arial"/>
          <w:sz w:val="24"/>
          <w:szCs w:val="24"/>
        </w:rPr>
        <w:t xml:space="preserve">Existen tres momentos importantes en la implementación y gestión del AMPR Paquera-Tambor, en la siguiente imagen se aprecia el proceso de gestación y </w:t>
      </w:r>
      <w:r>
        <w:rPr>
          <w:rFonts w:ascii="Arial" w:hAnsi="Arial" w:cs="Arial"/>
          <w:sz w:val="24"/>
          <w:szCs w:val="24"/>
        </w:rPr>
        <w:lastRenderedPageBreak/>
        <w:t xml:space="preserve">desarrollo del AMPR Paquera-Tambor y su relación con los diversos actores </w:t>
      </w:r>
      <w:r>
        <w:rPr>
          <w:noProof/>
          <w:lang w:eastAsia="es-CR"/>
        </w:rPr>
        <w:drawing>
          <wp:anchor distT="0" distB="0" distL="114300" distR="114300" simplePos="0" relativeHeight="251667456" behindDoc="0" locked="0" layoutInCell="1" allowOverlap="1" wp14:anchorId="2819B58D" wp14:editId="7D56A488">
            <wp:simplePos x="0" y="0"/>
            <wp:positionH relativeFrom="margin">
              <wp:posOffset>-7620</wp:posOffset>
            </wp:positionH>
            <wp:positionV relativeFrom="margin">
              <wp:posOffset>533400</wp:posOffset>
            </wp:positionV>
            <wp:extent cx="5612130" cy="4098290"/>
            <wp:effectExtent l="0" t="0" r="7620" b="0"/>
            <wp:wrapSquare wrapText="bothSides"/>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
                      <a:extLst>
                        <a:ext uri="{28A0092B-C50C-407E-A947-70E740481C1C}">
                          <a14:useLocalDpi xmlns:a14="http://schemas.microsoft.com/office/drawing/2010/main" val="0"/>
                        </a:ext>
                      </a:extLst>
                    </a:blip>
                    <a:stretch>
                      <a:fillRect/>
                    </a:stretch>
                  </pic:blipFill>
                  <pic:spPr>
                    <a:xfrm>
                      <a:off x="0" y="0"/>
                      <a:ext cx="5612130" cy="4098290"/>
                    </a:xfrm>
                    <a:prstGeom prst="rect">
                      <a:avLst/>
                    </a:prstGeom>
                  </pic:spPr>
                </pic:pic>
              </a:graphicData>
            </a:graphic>
            <wp14:sizeRelH relativeFrom="page">
              <wp14:pctWidth>0</wp14:pctWidth>
            </wp14:sizeRelH>
            <wp14:sizeRelV relativeFrom="page">
              <wp14:pctHeight>0</wp14:pctHeight>
            </wp14:sizeRelV>
          </wp:anchor>
        </w:drawing>
      </w:r>
      <w:r>
        <w:rPr>
          <w:rFonts w:ascii="Arial" w:hAnsi="Arial" w:cs="Arial"/>
          <w:sz w:val="24"/>
          <w:szCs w:val="24"/>
        </w:rPr>
        <w:t>involucrados.</w:t>
      </w:r>
    </w:p>
    <w:p w:rsidR="00477601" w:rsidRDefault="00477601" w:rsidP="00477601">
      <w:pPr>
        <w:spacing w:before="240" w:line="360" w:lineRule="auto"/>
        <w:ind w:firstLine="708"/>
        <w:jc w:val="both"/>
        <w:rPr>
          <w:rFonts w:ascii="Arial" w:hAnsi="Arial" w:cs="Arial"/>
          <w:sz w:val="24"/>
          <w:szCs w:val="24"/>
        </w:rPr>
      </w:pPr>
    </w:p>
    <w:p w:rsidR="00477601" w:rsidRDefault="00477601" w:rsidP="00477601">
      <w:pPr>
        <w:spacing w:before="240" w:line="360" w:lineRule="auto"/>
        <w:ind w:firstLine="708"/>
        <w:jc w:val="both"/>
      </w:pPr>
      <w:r>
        <w:rPr>
          <w:rFonts w:ascii="Arial" w:hAnsi="Arial" w:cs="Arial"/>
          <w:sz w:val="24"/>
          <w:szCs w:val="24"/>
        </w:rPr>
        <w:t>Según palabras del señor Luis Schutt Valle, quién fue uno de los principales actores locales propulsores de esta creación; el objetivo de crear el AMPR Paquera-Tambor radica en que se ha manifestado una disminución en la población marina del área, además de una destrucción masiva de los ecosistemas, así como un incremento acelerado de la pesca ilegal (comunicación personal, 2019).</w:t>
      </w:r>
    </w:p>
    <w:p w:rsidR="00477601" w:rsidRDefault="00477601" w:rsidP="00477601">
      <w:pPr>
        <w:spacing w:before="240" w:line="360" w:lineRule="auto"/>
        <w:ind w:firstLine="708"/>
        <w:jc w:val="both"/>
        <w:rPr>
          <w:rFonts w:ascii="Arial" w:hAnsi="Arial" w:cs="Arial"/>
          <w:sz w:val="24"/>
          <w:szCs w:val="24"/>
        </w:rPr>
      </w:pPr>
      <w:r>
        <w:rPr>
          <w:rFonts w:ascii="Arial" w:hAnsi="Arial" w:cs="Arial"/>
          <w:sz w:val="24"/>
          <w:szCs w:val="24"/>
        </w:rPr>
        <w:t>Tal como lo indica Schutt, L (2019) de manera explícita, el objetivo radica principalmente en la conservación del recurso pesquero y su ecosistema.</w:t>
      </w:r>
    </w:p>
    <w:p w:rsidR="00477601" w:rsidRPr="00D151DF" w:rsidRDefault="00477601" w:rsidP="00477601">
      <w:pPr>
        <w:spacing w:before="240" w:line="360" w:lineRule="auto"/>
        <w:ind w:left="708"/>
        <w:jc w:val="both"/>
      </w:pPr>
      <w:r>
        <w:rPr>
          <w:rFonts w:ascii="Arial" w:hAnsi="Arial" w:cs="Arial"/>
          <w:sz w:val="24"/>
          <w:szCs w:val="24"/>
        </w:rPr>
        <w:t xml:space="preserve">[…] algo que hicimos nosotros diferente a las otras áreas de pesca responsable que eran anteriores a la nuestra, fue que enfocamos el concepto en la parte ecosistémica, o sea, en donde vivían los peces, donde se alimentaban, donde se reproducían y no solo donde eran capturados por los </w:t>
      </w:r>
      <w:r>
        <w:rPr>
          <w:rFonts w:ascii="Arial" w:hAnsi="Arial" w:cs="Arial"/>
          <w:sz w:val="24"/>
          <w:szCs w:val="24"/>
        </w:rPr>
        <w:lastRenderedPageBreak/>
        <w:t>pescadores, entonces con esa forma de pescar logramos involucrar diferentes espacios marinos que nos permiten en este momento ver que ciertas áreas que son totalmente protegidas, son santuarios para que ellos se reproduzcan o crezcan o inclusive se alimenten, no fue impuesto por el gobierno. (comunicación personal, 2019)</w:t>
      </w:r>
    </w:p>
    <w:p w:rsidR="00477601" w:rsidRDefault="00477601" w:rsidP="00477601">
      <w:pPr>
        <w:spacing w:before="240" w:line="360" w:lineRule="auto"/>
        <w:ind w:left="708"/>
        <w:jc w:val="center"/>
      </w:pPr>
      <w:r>
        <w:rPr>
          <w:noProof/>
          <w:lang w:eastAsia="es-CR"/>
        </w:rPr>
        <w:drawing>
          <wp:inline distT="0" distB="0" distL="0" distR="0" wp14:anchorId="7FF2EC17" wp14:editId="255823C5">
            <wp:extent cx="4608195" cy="4044315"/>
            <wp:effectExtent l="0" t="0" r="0" b="0"/>
            <wp:docPr id="20" name="Imagen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Imagen 21"/>
                    <pic:cNvPicPr>
                      <a:picLocks noChangeAspect="1" noChangeArrowheads="1"/>
                    </pic:cNvPicPr>
                  </pic:nvPicPr>
                  <pic:blipFill>
                    <a:blip r:embed="rId31"/>
                    <a:stretch>
                      <a:fillRect/>
                    </a:stretch>
                  </pic:blipFill>
                  <pic:spPr bwMode="auto">
                    <a:xfrm>
                      <a:off x="0" y="0"/>
                      <a:ext cx="4608195" cy="4044315"/>
                    </a:xfrm>
                    <a:prstGeom prst="rect">
                      <a:avLst/>
                    </a:prstGeom>
                  </pic:spPr>
                </pic:pic>
              </a:graphicData>
            </a:graphic>
          </wp:inline>
        </w:drawing>
      </w:r>
    </w:p>
    <w:p w:rsidR="00477601" w:rsidRPr="00F30CF1" w:rsidRDefault="00477601" w:rsidP="00477601">
      <w:pPr>
        <w:spacing w:before="240" w:line="360" w:lineRule="auto"/>
        <w:ind w:firstLine="708"/>
        <w:jc w:val="center"/>
        <w:rPr>
          <w:rFonts w:ascii="Arial" w:hAnsi="Arial" w:cs="Arial"/>
          <w:b/>
          <w:szCs w:val="24"/>
        </w:rPr>
      </w:pPr>
      <w:r w:rsidRPr="00F30CF1">
        <w:rPr>
          <w:rFonts w:ascii="Arial" w:hAnsi="Arial" w:cs="Arial"/>
          <w:b/>
          <w:sz w:val="24"/>
          <w:szCs w:val="24"/>
        </w:rPr>
        <w:t>Figura N° 7. Sectores del AMPR Paquera – Tambor</w:t>
      </w:r>
    </w:p>
    <w:p w:rsidR="00477601" w:rsidRDefault="00477601" w:rsidP="00477601">
      <w:pPr>
        <w:spacing w:before="240" w:line="360" w:lineRule="auto"/>
        <w:ind w:firstLine="708"/>
        <w:jc w:val="both"/>
        <w:rPr>
          <w:rFonts w:ascii="Arial" w:hAnsi="Arial" w:cs="Arial"/>
          <w:sz w:val="24"/>
          <w:szCs w:val="24"/>
        </w:rPr>
      </w:pPr>
      <w:r>
        <w:rPr>
          <w:rFonts w:ascii="Arial" w:hAnsi="Arial" w:cs="Arial"/>
          <w:sz w:val="24"/>
          <w:szCs w:val="24"/>
        </w:rPr>
        <w:t>Al ser esta una iniciativa local, no existió realmente una estrategia institucional previa a la implementación y gestión del AMPR. Por lo tanto, se va a detallar más que todo el acompañamiento institucional una vez iniciado el proceso.</w:t>
      </w:r>
    </w:p>
    <w:p w:rsidR="00477601" w:rsidRDefault="00477601" w:rsidP="00F30CF1">
      <w:pPr>
        <w:spacing w:before="240" w:line="360" w:lineRule="auto"/>
        <w:ind w:firstLine="708"/>
        <w:jc w:val="both"/>
        <w:rPr>
          <w:rFonts w:ascii="Arial" w:hAnsi="Arial" w:cs="Arial"/>
          <w:sz w:val="24"/>
          <w:szCs w:val="24"/>
        </w:rPr>
      </w:pPr>
      <w:r>
        <w:rPr>
          <w:rFonts w:ascii="Arial" w:hAnsi="Arial" w:cs="Arial"/>
          <w:sz w:val="24"/>
          <w:szCs w:val="24"/>
        </w:rPr>
        <w:t xml:space="preserve">Según lo anterior, y partiendo desde la premisa teórica de la gestión pública como paradigma del desarrollo local y la gobernanza, se evidencia que es esta la categoría que más describe la situación y el génesis del AMPR Paquera-Tambor. Ya que este paradigma supone una relación intrínseca con la participación activa </w:t>
      </w:r>
      <w:r>
        <w:rPr>
          <w:rFonts w:ascii="Arial" w:hAnsi="Arial" w:cs="Arial"/>
          <w:sz w:val="24"/>
          <w:szCs w:val="24"/>
        </w:rPr>
        <w:lastRenderedPageBreak/>
        <w:t xml:space="preserve">de los actores locales, y concibe que los procesos locales no son responsabilidad única de las instituciones (Amycos, 2004, p. 2). Pero como se ha señalado, desde la perspectiva de la gestión pública en general, parece que en el proceso del AMPR Paquera-Tambor existe una mezcla de paradigmas según sus distintivas fases, las </w:t>
      </w:r>
      <w:r w:rsidR="00F30CF1">
        <w:rPr>
          <w:noProof/>
          <w:lang w:eastAsia="es-CR"/>
        </w:rPr>
        <w:drawing>
          <wp:anchor distT="0" distB="0" distL="114300" distR="114300" simplePos="0" relativeHeight="251670528" behindDoc="0" locked="0" layoutInCell="1" allowOverlap="1">
            <wp:simplePos x="0" y="0"/>
            <wp:positionH relativeFrom="margin">
              <wp:align>right</wp:align>
            </wp:positionH>
            <wp:positionV relativeFrom="paragraph">
              <wp:posOffset>1519555</wp:posOffset>
            </wp:positionV>
            <wp:extent cx="5612130" cy="3778250"/>
            <wp:effectExtent l="0" t="0" r="7620" b="0"/>
            <wp:wrapSquare wrapText="bothSides"/>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2">
                      <a:extLst>
                        <a:ext uri="{28A0092B-C50C-407E-A947-70E740481C1C}">
                          <a14:useLocalDpi xmlns:a14="http://schemas.microsoft.com/office/drawing/2010/main" val="0"/>
                        </a:ext>
                      </a:extLst>
                    </a:blip>
                    <a:stretch>
                      <a:fillRect/>
                    </a:stretch>
                  </pic:blipFill>
                  <pic:spPr>
                    <a:xfrm>
                      <a:off x="0" y="0"/>
                      <a:ext cx="5612130" cy="3778250"/>
                    </a:xfrm>
                    <a:prstGeom prst="rect">
                      <a:avLst/>
                    </a:prstGeom>
                  </pic:spPr>
                </pic:pic>
              </a:graphicData>
            </a:graphic>
            <wp14:sizeRelH relativeFrom="page">
              <wp14:pctWidth>0</wp14:pctWidth>
            </wp14:sizeRelH>
            <wp14:sizeRelV relativeFrom="page">
              <wp14:pctHeight>0</wp14:pctHeight>
            </wp14:sizeRelV>
          </wp:anchor>
        </w:drawing>
      </w:r>
      <w:r>
        <w:rPr>
          <w:rFonts w:ascii="Arial" w:hAnsi="Arial" w:cs="Arial"/>
          <w:sz w:val="24"/>
          <w:szCs w:val="24"/>
        </w:rPr>
        <w:t xml:space="preserve">cuales se logran resumir en la siguiente figura: </w:t>
      </w:r>
    </w:p>
    <w:p w:rsidR="00F30CF1" w:rsidRPr="00F30CF1" w:rsidRDefault="00F30CF1" w:rsidP="00F30CF1">
      <w:pPr>
        <w:spacing w:before="240" w:line="360" w:lineRule="auto"/>
        <w:jc w:val="both"/>
      </w:pPr>
    </w:p>
    <w:p w:rsidR="00477601" w:rsidRPr="00D151DF" w:rsidRDefault="00477601" w:rsidP="00477601">
      <w:pPr>
        <w:spacing w:before="240" w:line="360" w:lineRule="auto"/>
        <w:ind w:firstLine="708"/>
        <w:jc w:val="both"/>
        <w:rPr>
          <w:rFonts w:ascii="Arial" w:hAnsi="Arial" w:cs="Arial"/>
          <w:sz w:val="24"/>
          <w:szCs w:val="24"/>
        </w:rPr>
      </w:pPr>
      <w:r>
        <w:rPr>
          <w:rFonts w:ascii="Arial" w:hAnsi="Arial" w:cs="Arial"/>
          <w:sz w:val="24"/>
          <w:szCs w:val="24"/>
        </w:rPr>
        <w:t xml:space="preserve">La figura anterior demuestra que inicialmente la concepción de la idea de crear el AMPR Paquera-Tambor surgió desde la esfera de lo comunal y la cual se logra categorizar como un proceso de desarrollo local y del comunitarismo, ya que son las personas locales que a partir de sus problemáticas y realidades, desarrollan la idea de instaurar una AMPR para mitigar la problemática de pesca en estas comunidades. Es evidente que no es una decisión autónoma y/o lejana de las políticas institucionales, pero según la teoría, si se logra categorizar como una acción comunitaria. </w:t>
      </w:r>
    </w:p>
    <w:p w:rsidR="00477601" w:rsidRDefault="00477601" w:rsidP="00477601">
      <w:pPr>
        <w:spacing w:before="240" w:line="360" w:lineRule="auto"/>
        <w:ind w:firstLine="708"/>
        <w:jc w:val="both"/>
        <w:rPr>
          <w:rFonts w:ascii="Arial" w:hAnsi="Arial" w:cs="Arial"/>
          <w:sz w:val="24"/>
          <w:szCs w:val="24"/>
        </w:rPr>
      </w:pPr>
      <w:r>
        <w:rPr>
          <w:rFonts w:ascii="Arial" w:hAnsi="Arial" w:cs="Arial"/>
          <w:sz w:val="24"/>
          <w:szCs w:val="24"/>
        </w:rPr>
        <w:lastRenderedPageBreak/>
        <w:t>En la segunda fase, el paradigma de la gestión cambia radicalmente, ya que una vez que el grupo de actores locales impulsaron la iniciativa, se contactaron con el INCOPESCA para realizar las gestiones correspondientes. Dicha institución se reunió con este grupo, y les detallaron cuales eran los trámites, las ventajas y todo lo relacionado a la creación de las AMPR, siendo este el primer acercamiento de la institución con estos actores locales.</w:t>
      </w:r>
    </w:p>
    <w:p w:rsidR="00477601" w:rsidRDefault="00477601" w:rsidP="00477601">
      <w:pPr>
        <w:spacing w:before="240" w:line="360" w:lineRule="auto"/>
        <w:ind w:firstLine="708"/>
        <w:jc w:val="both"/>
        <w:rPr>
          <w:rFonts w:ascii="Arial" w:hAnsi="Arial" w:cs="Arial"/>
          <w:sz w:val="24"/>
          <w:szCs w:val="24"/>
        </w:rPr>
      </w:pPr>
      <w:r>
        <w:rPr>
          <w:rFonts w:ascii="Arial" w:hAnsi="Arial" w:cs="Arial"/>
          <w:sz w:val="24"/>
          <w:szCs w:val="24"/>
        </w:rPr>
        <w:t xml:space="preserve">Según indica Alberto Villareal gestor del AMPR Paquera-Tambor: </w:t>
      </w:r>
    </w:p>
    <w:p w:rsidR="00477601" w:rsidRDefault="00477601" w:rsidP="00477601">
      <w:pPr>
        <w:spacing w:before="240" w:line="360" w:lineRule="auto"/>
        <w:ind w:left="708"/>
        <w:jc w:val="both"/>
      </w:pPr>
      <w:r>
        <w:rPr>
          <w:rFonts w:ascii="Arial" w:hAnsi="Arial" w:cs="Arial"/>
          <w:sz w:val="24"/>
          <w:szCs w:val="24"/>
        </w:rPr>
        <w:t>Cuando se creó el área hubo una participación activa del INCOPESCA en la formalización del área marina […] con el apoyo y la asistencia técnica principalmente del CNP, pero también con el involucramiento de otras instituciones como el IMAS, INDER, INA, SENASA, y otras instituciones. (Comunicación personal, 2019)</w:t>
      </w:r>
    </w:p>
    <w:p w:rsidR="00477601" w:rsidRDefault="00477601" w:rsidP="00477601">
      <w:pPr>
        <w:spacing w:before="240" w:line="360" w:lineRule="auto"/>
        <w:ind w:firstLine="708"/>
        <w:jc w:val="both"/>
      </w:pPr>
      <w:r>
        <w:rPr>
          <w:rFonts w:ascii="Arial" w:hAnsi="Arial" w:cs="Arial"/>
          <w:sz w:val="24"/>
          <w:szCs w:val="24"/>
        </w:rPr>
        <w:t>El INCOPESCA como institución rectora del tema de pesca en el país, aprobó la iniciativa comunal y le otorgó una guía de procedimientos (paradigma burocrático) donde se detalla los lineamientos a seguir, entre ellos la creación del POP como requisito previo. Además, esta segunda fase también se categoriza teóricamente como gestión social, ya que la premisa conceptual supone que las acciones para solventar problemas sociales no son una responsabilidad única de las instituciones, sino que se trabaja en conjunto con los actores locales, lo cual fue así en el proceso inter institucional previo a la creación del AMPR.</w:t>
      </w:r>
    </w:p>
    <w:p w:rsidR="00477601" w:rsidRDefault="00477601" w:rsidP="00477601">
      <w:pPr>
        <w:spacing w:before="240" w:line="360" w:lineRule="auto"/>
        <w:ind w:firstLine="708"/>
        <w:jc w:val="both"/>
      </w:pPr>
      <w:r>
        <w:rPr>
          <w:rFonts w:ascii="Arial" w:hAnsi="Arial" w:cs="Arial"/>
          <w:sz w:val="24"/>
          <w:szCs w:val="24"/>
        </w:rPr>
        <w:t xml:space="preserve">Por último, en la tercera etapa relacionada a la gestión del AMPR Paquera-Tambor, se logra evidenciar que es donde existe una mayor mezcla de paradigmas, pues comparte todos los paradigmas de las dos etapas previas. Esto puede ser un problema sistemático a la hora de gestionar un proyecto de esta naturaleza, debido a que no existe un modelo específico a seguir, existiendo además muchos vacíos jurídicos en cuanto a la responsabilidad del Estado, esto al entendimiento de muchas personas locales involucradas que lo perciben de tal manera. </w:t>
      </w:r>
    </w:p>
    <w:p w:rsidR="00477601" w:rsidRDefault="00477601" w:rsidP="00477601">
      <w:pPr>
        <w:spacing w:before="240" w:line="360" w:lineRule="auto"/>
        <w:ind w:firstLine="708"/>
        <w:jc w:val="both"/>
      </w:pPr>
      <w:r>
        <w:rPr>
          <w:rFonts w:ascii="Arial" w:hAnsi="Arial" w:cs="Arial"/>
          <w:sz w:val="24"/>
          <w:szCs w:val="24"/>
        </w:rPr>
        <w:lastRenderedPageBreak/>
        <w:t xml:space="preserve">Por una cuestión teórica se logra mostrar que existe una mezcla de paradigmas de gestión alrededor de las fases del AMPR, pero desde el punto de vista jurídico e institucional, el INCOPESCA como ente rector debería tomar el protagonismo. </w:t>
      </w:r>
    </w:p>
    <w:p w:rsidR="00477601" w:rsidRDefault="00477601" w:rsidP="00477601">
      <w:pPr>
        <w:spacing w:before="240" w:line="360" w:lineRule="auto"/>
        <w:ind w:firstLine="708"/>
        <w:jc w:val="both"/>
      </w:pPr>
      <w:r>
        <w:rPr>
          <w:rFonts w:ascii="Arial" w:hAnsi="Arial" w:cs="Arial"/>
          <w:sz w:val="24"/>
          <w:szCs w:val="24"/>
        </w:rPr>
        <w:t xml:space="preserve">Desde el momento de aprobación de la iniciativa o propuesta local para la construcción del AMPR, ha existido una presencia institucional. No obstante, durante la tercera fase que se refiere a la gestación del proyecto, existieron algunas debilidades institucionales, según Villareal (2019), luego de ese acercamiento del INCOPESCA para conocer la propuesta local, la organización pública estableció un departamento de extensión y una coordinación del área marina. Sin embargo, </w:t>
      </w:r>
    </w:p>
    <w:p w:rsidR="00477601" w:rsidRDefault="00477601" w:rsidP="00477601">
      <w:pPr>
        <w:spacing w:before="240" w:line="360" w:lineRule="auto"/>
        <w:ind w:left="708"/>
        <w:jc w:val="both"/>
      </w:pPr>
      <w:r>
        <w:rPr>
          <w:rFonts w:ascii="Arial" w:hAnsi="Arial" w:cs="Arial"/>
          <w:sz w:val="24"/>
          <w:szCs w:val="24"/>
        </w:rPr>
        <w:t>Ha sido un poco flojo el asunto, ellos han querido este año tener mayor presencia y participar en las reuniones de gobernanza pero el tema es que no viene con una agenda, simplemente se acomodan a la agenda que está y reaccionan a cualquier cosa pero no traen una agenda. (Villareal, comunicación personal, 2019)</w:t>
      </w:r>
    </w:p>
    <w:p w:rsidR="00477601" w:rsidRDefault="00477601" w:rsidP="00477601">
      <w:pPr>
        <w:spacing w:before="240" w:line="360" w:lineRule="auto"/>
        <w:ind w:firstLine="708"/>
        <w:jc w:val="both"/>
      </w:pPr>
      <w:r>
        <w:rPr>
          <w:rFonts w:ascii="Arial" w:hAnsi="Arial" w:cs="Arial"/>
          <w:sz w:val="24"/>
          <w:szCs w:val="24"/>
        </w:rPr>
        <w:t xml:space="preserve">A pesar de estos acontecimientos de la etapa previa al proyecto y gracias al esfuerzo de la sociedad civil –grupos de turismo y pescadores locales-, se logra constituir la primera etapa del AMPR Paquera-Tambor en el año 2011. La Junta Directiva del INCOPESCA sesionó en el salón comunal de Paquera, donde se aprobó unánimemente la creación del AMPR, ya que el documento presentado por la comunidad presentaba en orden todos los requisitos. (Schutt, comunicación personal, 2019). </w:t>
      </w:r>
    </w:p>
    <w:p w:rsidR="00477601" w:rsidRDefault="00477601" w:rsidP="00477601">
      <w:pPr>
        <w:spacing w:before="240" w:line="360" w:lineRule="auto"/>
        <w:ind w:firstLine="708"/>
        <w:jc w:val="both"/>
      </w:pPr>
      <w:r>
        <w:rPr>
          <w:rFonts w:ascii="Arial" w:hAnsi="Arial" w:cs="Arial"/>
          <w:sz w:val="24"/>
          <w:szCs w:val="24"/>
        </w:rPr>
        <w:t xml:space="preserve">Según dispone el reglamento del establecimiento de AMPR en su artículo N° 4: “Las Organizaciones solicitantes deberán apoyar y respetar las medidas de manejo establecidas en el Plan de Ordenamiento Pesquero aprobado por el INCOPESCA para el área establecida”. </w:t>
      </w:r>
    </w:p>
    <w:p w:rsidR="00477601" w:rsidRDefault="00477601" w:rsidP="00477601">
      <w:pPr>
        <w:spacing w:before="240" w:line="360" w:lineRule="auto"/>
        <w:ind w:firstLine="708"/>
        <w:jc w:val="both"/>
      </w:pPr>
      <w:r>
        <w:rPr>
          <w:rFonts w:ascii="Arial" w:hAnsi="Arial" w:cs="Arial"/>
          <w:sz w:val="24"/>
          <w:szCs w:val="24"/>
        </w:rPr>
        <w:t xml:space="preserve">Siguiente a la aprobación, la organización solicitante presentó un Plan de Ordenamiento Pesquero (POP) para el AMPR, en este caso la Asociación </w:t>
      </w:r>
      <w:r>
        <w:rPr>
          <w:rFonts w:ascii="Arial" w:hAnsi="Arial" w:cs="Arial"/>
          <w:sz w:val="24"/>
          <w:szCs w:val="24"/>
        </w:rPr>
        <w:lastRenderedPageBreak/>
        <w:t xml:space="preserve">Paquereña para el Aprovechamiento de Recurso Marino; “Es como una asociación sombrilla de todas las otras asociaciones que estaban en la zona, en Paquera, buzos comerciales, pescadores, turismo, todo eso, y de esa forma nosotros hicimos la solicitud a INCOPESCA”. (Schutt, comunicación personal, 2019) </w:t>
      </w:r>
    </w:p>
    <w:p w:rsidR="00477601" w:rsidRDefault="00477601" w:rsidP="00477601">
      <w:pPr>
        <w:spacing w:before="240" w:line="360" w:lineRule="auto"/>
        <w:ind w:firstLine="708"/>
        <w:jc w:val="both"/>
      </w:pPr>
      <w:r>
        <w:rPr>
          <w:rFonts w:ascii="Arial" w:hAnsi="Arial" w:cs="Arial"/>
          <w:sz w:val="24"/>
          <w:szCs w:val="24"/>
        </w:rPr>
        <w:t xml:space="preserve">Resulta importante para este estudio analizar detalladamente el Plan de Ordenamiento Pesquero para el AMPR, debido a que desde lo jurídico y formal; la aprobación del AMPR depende de este plan. El objetivo general del POP establece que: </w:t>
      </w:r>
    </w:p>
    <w:p w:rsidR="00477601" w:rsidRDefault="00477601" w:rsidP="00477601">
      <w:pPr>
        <w:spacing w:before="240" w:line="360" w:lineRule="auto"/>
        <w:ind w:left="708"/>
        <w:jc w:val="both"/>
      </w:pPr>
      <w:r>
        <w:rPr>
          <w:rFonts w:ascii="Arial" w:hAnsi="Arial" w:cs="Arial"/>
          <w:sz w:val="24"/>
          <w:szCs w:val="24"/>
        </w:rPr>
        <w:t>El Área Marina de Pesca Responsable del Distrito de Paquera – Tambor contribuye con la sostenibilidad de recursos marinos y pesqueros en la zona del Golfo de Nicoya. (POP, 2014, p. 15)</w:t>
      </w:r>
    </w:p>
    <w:p w:rsidR="00477601" w:rsidRDefault="00477601" w:rsidP="00477601">
      <w:pPr>
        <w:spacing w:before="240" w:line="360" w:lineRule="auto"/>
        <w:jc w:val="both"/>
      </w:pPr>
      <w:r>
        <w:rPr>
          <w:rFonts w:ascii="Arial" w:hAnsi="Arial" w:cs="Arial"/>
          <w:sz w:val="24"/>
          <w:szCs w:val="24"/>
        </w:rPr>
        <w:tab/>
        <w:t xml:space="preserve">Dentro de sus objetivos específicos define que el AMPR promueve el ordenamiento pesquero y la zonificación marina, fomenta el aprovechamiento sostenible de los recursos pesqueros, lo que contribuye a la restauración de los hábitats de la diversidad marina. También, lleva procesos de formación y concientización con la población, fomenta alternativas productivas que ayuden a la condición socioeconómica y el desarrollo humano de las comunidades, todo esto bajo la premisa de la participación intrínseca entre lo institucional y lo local (POP, 2014, p. 5). </w:t>
      </w:r>
    </w:p>
    <w:p w:rsidR="00477601" w:rsidRDefault="00477601" w:rsidP="00477601">
      <w:pPr>
        <w:spacing w:before="240" w:line="360" w:lineRule="auto"/>
        <w:jc w:val="both"/>
      </w:pPr>
      <w:r>
        <w:rPr>
          <w:rFonts w:ascii="Arial" w:hAnsi="Arial" w:cs="Arial"/>
          <w:sz w:val="24"/>
          <w:szCs w:val="24"/>
        </w:rPr>
        <w:tab/>
        <w:t>La naturaleza del AMPR Paquera-Tambor radica en preservar la biodiversidad relacionada a la pesca, con prácticas controladas y aptas para la zona, que contribuya al desarrollo social, económico y ambiental de las comunidades que componen el área. Este plan conlleva una serie de estudios técnicos que fundamentan la necesidad de la creación del AMPR, la cual fue el esfuerzo inter institucional, pero primordialmente comunal de más de 12 meses de trabajo.</w:t>
      </w:r>
    </w:p>
    <w:p w:rsidR="00477601" w:rsidRDefault="00477601" w:rsidP="00477601">
      <w:pPr>
        <w:spacing w:before="240" w:line="360" w:lineRule="auto"/>
        <w:jc w:val="both"/>
      </w:pPr>
      <w:r>
        <w:rPr>
          <w:rFonts w:ascii="Arial" w:hAnsi="Arial" w:cs="Arial"/>
          <w:sz w:val="24"/>
          <w:szCs w:val="24"/>
        </w:rPr>
        <w:tab/>
        <w:t xml:space="preserve">Cabe recalcar la lógica participativa del instrumento, lo cual responde a la teoría de la gobernanza que expone una visión más amplia sobre la acción de gobernar, tomando en cuenta una serie de procedimientos y prácticas que </w:t>
      </w:r>
      <w:r>
        <w:rPr>
          <w:rFonts w:ascii="Arial" w:hAnsi="Arial" w:cs="Arial"/>
          <w:sz w:val="24"/>
          <w:szCs w:val="24"/>
        </w:rPr>
        <w:lastRenderedPageBreak/>
        <w:t xml:space="preserve">involucran a muchos actores y no se limitan las estructuras específicas o en otras palabras, al poder ejecutivo </w:t>
      </w:r>
      <w:r>
        <w:rPr>
          <w:rFonts w:ascii="Arial" w:eastAsia="Times New Roman" w:hAnsi="Arial" w:cs="Arial"/>
          <w:sz w:val="24"/>
          <w:szCs w:val="24"/>
        </w:rPr>
        <w:t>(Ojeda, citado en CLACSO, 2015, p.18).</w:t>
      </w:r>
    </w:p>
    <w:p w:rsidR="00477601" w:rsidRDefault="00477601" w:rsidP="00477601">
      <w:pPr>
        <w:spacing w:before="240" w:line="360" w:lineRule="auto"/>
        <w:ind w:firstLine="708"/>
        <w:jc w:val="both"/>
        <w:rPr>
          <w:rFonts w:ascii="Arial" w:hAnsi="Arial" w:cs="Arial"/>
          <w:sz w:val="24"/>
          <w:szCs w:val="24"/>
        </w:rPr>
      </w:pPr>
      <w:r>
        <w:rPr>
          <w:rFonts w:ascii="Arial" w:hAnsi="Arial" w:cs="Arial"/>
          <w:sz w:val="24"/>
          <w:szCs w:val="24"/>
        </w:rPr>
        <w:t xml:space="preserve">Luego de presentar el POP, se crea justamente un Comité de Gobernanza, que continuó analizando el tema del AMPR, sus ventajas, sus desventajas, su funcionamiento y tratando de cumplir el Plan de Ordenamiento Pesquero. Es importante destacar que este comité en principio está conformado por organizaciones y actores locales. </w:t>
      </w:r>
    </w:p>
    <w:p w:rsidR="00477601" w:rsidRDefault="00477601" w:rsidP="00477601">
      <w:pPr>
        <w:spacing w:before="240" w:line="360" w:lineRule="auto"/>
        <w:ind w:left="708"/>
        <w:jc w:val="both"/>
      </w:pPr>
      <w:r>
        <w:rPr>
          <w:rFonts w:ascii="Arial" w:hAnsi="Arial" w:cs="Arial"/>
          <w:sz w:val="24"/>
          <w:szCs w:val="24"/>
        </w:rPr>
        <w:t>No fue nada más que se creó y ya terminó ahí, es dinámico, hay que ver si se cometieron errores o cosas que no se tomaron en cuenta y ahora han cambiado, entonces todo eso sigue el proceso, siempre se hace seguimiento al plan. (Schutt, comunicación personal, 2019)</w:t>
      </w:r>
    </w:p>
    <w:p w:rsidR="00477601" w:rsidRDefault="00477601" w:rsidP="00477601">
      <w:pPr>
        <w:spacing w:before="240" w:line="360" w:lineRule="auto"/>
        <w:ind w:firstLine="708"/>
        <w:jc w:val="both"/>
        <w:rPr>
          <w:rFonts w:ascii="Arial" w:hAnsi="Arial" w:cs="Arial"/>
          <w:sz w:val="24"/>
          <w:szCs w:val="24"/>
        </w:rPr>
      </w:pPr>
      <w:r>
        <w:rPr>
          <w:rFonts w:ascii="Arial" w:hAnsi="Arial" w:cs="Arial"/>
          <w:sz w:val="24"/>
          <w:szCs w:val="24"/>
        </w:rPr>
        <w:t>Al tratarse de una iniciativa 100% local, realmente no existió una estrategia detallada o de interés por parte de la institucionalidad en el proceso de la implementación y gestión del AMPR. Como se ha expresado anteriormente, en la etapa previa; el INCOPESCA se ajustó únicamente al proceso que indica el reglamento y luego de la creación, la presencia y estrategia institucional ha sido casi nula, según Villareal, A (2019).</w:t>
      </w:r>
    </w:p>
    <w:p w:rsidR="00477601" w:rsidRDefault="00477601" w:rsidP="00477601">
      <w:pPr>
        <w:spacing w:before="240" w:line="360" w:lineRule="auto"/>
        <w:ind w:firstLine="708"/>
        <w:jc w:val="both"/>
        <w:rPr>
          <w:rFonts w:ascii="Arial" w:hAnsi="Arial" w:cs="Arial"/>
          <w:b/>
          <w:sz w:val="24"/>
          <w:szCs w:val="24"/>
        </w:rPr>
      </w:pPr>
      <w:r>
        <w:rPr>
          <w:rFonts w:ascii="Arial" w:hAnsi="Arial" w:cs="Arial"/>
          <w:sz w:val="24"/>
          <w:szCs w:val="24"/>
        </w:rPr>
        <w:t>A continuación se presenta una imagen que expone cual es la estructura organizativa de la AMPR Paquera-Tambor:</w:t>
      </w:r>
      <w:r>
        <w:rPr>
          <w:rFonts w:ascii="Arial" w:hAnsi="Arial" w:cs="Arial"/>
          <w:b/>
          <w:sz w:val="24"/>
          <w:szCs w:val="24"/>
        </w:rPr>
        <w:t xml:space="preserve"> </w:t>
      </w:r>
    </w:p>
    <w:p w:rsidR="00477601" w:rsidRDefault="00477601" w:rsidP="00477601">
      <w:pPr>
        <w:rPr>
          <w:rFonts w:ascii="Arial" w:hAnsi="Arial" w:cs="Arial"/>
          <w:sz w:val="24"/>
          <w:szCs w:val="24"/>
        </w:rPr>
      </w:pPr>
      <w:r>
        <w:rPr>
          <w:noProof/>
          <w:lang w:eastAsia="es-CR"/>
        </w:rPr>
        <w:lastRenderedPageBreak/>
        <w:drawing>
          <wp:anchor distT="0" distB="0" distL="114300" distR="114300" simplePos="0" relativeHeight="251669504" behindDoc="0" locked="0" layoutInCell="1" allowOverlap="1" wp14:anchorId="1C7C2917" wp14:editId="62410582">
            <wp:simplePos x="0" y="0"/>
            <wp:positionH relativeFrom="margin">
              <wp:align>center</wp:align>
            </wp:positionH>
            <wp:positionV relativeFrom="margin">
              <wp:align>top</wp:align>
            </wp:positionV>
            <wp:extent cx="4324350" cy="4876800"/>
            <wp:effectExtent l="0" t="0" r="0" b="0"/>
            <wp:wrapTopAndBottom/>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3">
                      <a:extLst>
                        <a:ext uri="{28A0092B-C50C-407E-A947-70E740481C1C}">
                          <a14:useLocalDpi xmlns:a14="http://schemas.microsoft.com/office/drawing/2010/main" val="0"/>
                        </a:ext>
                      </a:extLst>
                    </a:blip>
                    <a:stretch>
                      <a:fillRect/>
                    </a:stretch>
                  </pic:blipFill>
                  <pic:spPr>
                    <a:xfrm>
                      <a:off x="0" y="0"/>
                      <a:ext cx="4324350" cy="4876800"/>
                    </a:xfrm>
                    <a:prstGeom prst="rect">
                      <a:avLst/>
                    </a:prstGeom>
                  </pic:spPr>
                </pic:pic>
              </a:graphicData>
            </a:graphic>
            <wp14:sizeRelH relativeFrom="page">
              <wp14:pctWidth>0</wp14:pctWidth>
            </wp14:sizeRelH>
            <wp14:sizeRelV relativeFrom="page">
              <wp14:pctHeight>0</wp14:pctHeight>
            </wp14:sizeRelV>
          </wp:anchor>
        </w:drawing>
      </w:r>
    </w:p>
    <w:p w:rsidR="00477601" w:rsidRDefault="00477601" w:rsidP="00477601">
      <w:pPr>
        <w:spacing w:before="240" w:line="360" w:lineRule="auto"/>
        <w:ind w:firstLine="708"/>
        <w:jc w:val="both"/>
      </w:pPr>
      <w:r>
        <w:rPr>
          <w:rFonts w:ascii="Arial" w:hAnsi="Arial" w:cs="Arial"/>
          <w:sz w:val="24"/>
          <w:szCs w:val="24"/>
        </w:rPr>
        <w:t>La figura 9 demuestra el marco organizativo del AMPR, el cual es evidente que se ajusta a los lineamientos del INCOPESCA, siendo esta organización el ente rector del área, sin embargo, es importante resaltar el hecho que, según los mismos testimonios de los actores locales entrevistados, es el comité de gobernanza local quién realiza todas las funciones de implementación y gestión del AMPR, abogando muchas veces que no existe un verdadero acompañamiento por parte de la institucionalidad.</w:t>
      </w:r>
    </w:p>
    <w:p w:rsidR="00477601" w:rsidRDefault="00477601" w:rsidP="00477601">
      <w:pPr>
        <w:spacing w:before="240" w:line="360" w:lineRule="auto"/>
        <w:ind w:firstLine="708"/>
        <w:jc w:val="both"/>
        <w:rPr>
          <w:rFonts w:ascii="Arial" w:hAnsi="Arial" w:cs="Arial"/>
          <w:sz w:val="24"/>
          <w:szCs w:val="24"/>
        </w:rPr>
      </w:pPr>
      <w:r>
        <w:rPr>
          <w:rFonts w:ascii="Arial" w:hAnsi="Arial" w:cs="Arial"/>
          <w:sz w:val="24"/>
          <w:szCs w:val="24"/>
        </w:rPr>
        <w:t>En otras palabras, en la formalidad es el INCOPESCA el líder o ente rector del AMPR, pero en la práctica es la propia comunidad bajo la figura del comité de gobernanza local quienes llevan a cabo la mayoría de las funciones, incluso desde la fase previa a la creación.</w:t>
      </w:r>
    </w:p>
    <w:p w:rsidR="00477601" w:rsidRDefault="00477601" w:rsidP="00477601">
      <w:pPr>
        <w:spacing w:before="240" w:line="360" w:lineRule="auto"/>
        <w:ind w:firstLine="708"/>
        <w:jc w:val="both"/>
        <w:rPr>
          <w:rFonts w:ascii="Arial" w:hAnsi="Arial" w:cs="Arial"/>
          <w:sz w:val="24"/>
          <w:szCs w:val="24"/>
        </w:rPr>
      </w:pPr>
      <w:r>
        <w:rPr>
          <w:rFonts w:ascii="Arial" w:hAnsi="Arial" w:cs="Arial"/>
          <w:sz w:val="24"/>
          <w:szCs w:val="24"/>
        </w:rPr>
        <w:lastRenderedPageBreak/>
        <w:t>En cuanto al fomento de la participación comunal por parte de las instituciones públicas, ambos actores entrevistados concuerdan que si fue bastante participativo, según Villareal, A:</w:t>
      </w:r>
    </w:p>
    <w:p w:rsidR="00477601" w:rsidRDefault="00477601" w:rsidP="00477601">
      <w:pPr>
        <w:spacing w:before="240" w:line="360" w:lineRule="auto"/>
        <w:ind w:left="708"/>
        <w:jc w:val="both"/>
      </w:pPr>
      <w:r>
        <w:rPr>
          <w:rFonts w:ascii="Arial" w:hAnsi="Arial" w:cs="Arial"/>
          <w:sz w:val="24"/>
          <w:szCs w:val="24"/>
        </w:rPr>
        <w:t>Si fue participativa la creación del área marina, de hecho que si fue muy muy muy participativa, cuando se inició el proceso se inició en Paquera e INCOPESCA pensaba que solamente estábamos hablando de Paquera lo que íbamos a hacer como área marina y lo que me refiero a Paquera es frente al atracadero del ferry, por Cedros, Jesusita hasta los Negritos, ellos pensaban que era esa zona solamente, cuando le hablamos de que era todo el distrito Paquera, que incluía Pochote entonces ahí pensaron que no se iba a poder hacer por lo grande entonces lo que procedió en ese momento fue a visitar las comunidades a explicar lo que se estaba haciendo, convocarlos a reunión explicar lo que se estaba haciendo y en un proceso de dos-tres reuniones que se tuvieron se les hizo la consultado si ellos querían ser parte del área marina. (Comunicación personal, 2019)</w:t>
      </w:r>
    </w:p>
    <w:p w:rsidR="00477601" w:rsidRDefault="00477601" w:rsidP="00477601">
      <w:pPr>
        <w:spacing w:before="240" w:line="360" w:lineRule="auto"/>
        <w:ind w:firstLine="708"/>
        <w:jc w:val="both"/>
      </w:pPr>
      <w:r>
        <w:rPr>
          <w:rFonts w:ascii="Arial" w:hAnsi="Arial" w:cs="Arial"/>
          <w:sz w:val="24"/>
          <w:szCs w:val="24"/>
        </w:rPr>
        <w:t xml:space="preserve">Una vez que la iniciativa local fue acogida por el INCOPESCA, esta institución pública fomentó ciertas herramientas organizativas para el proceso de constitución del AMPR. En la etapa previa, se realizaron reuniones una vez al mes de manera turnada en cada comunidad, estas reuniones era abiertas; donde se discutían temas sobre la importancia del AMPR, que al final se tradujo en el documento que se presentó al INCOPESCA con la propuesta final (Villareal, comunicación personal, 2019) </w:t>
      </w:r>
    </w:p>
    <w:p w:rsidR="00477601" w:rsidRDefault="00477601" w:rsidP="00477601">
      <w:pPr>
        <w:spacing w:before="240" w:line="360" w:lineRule="auto"/>
        <w:ind w:firstLine="705"/>
        <w:jc w:val="both"/>
        <w:rPr>
          <w:rFonts w:ascii="Arial" w:hAnsi="Arial" w:cs="Arial"/>
          <w:sz w:val="24"/>
          <w:szCs w:val="24"/>
        </w:rPr>
      </w:pPr>
      <w:r>
        <w:rPr>
          <w:rFonts w:ascii="Arial" w:hAnsi="Arial" w:cs="Arial"/>
          <w:sz w:val="24"/>
          <w:szCs w:val="24"/>
        </w:rPr>
        <w:t xml:space="preserve">Como se detalló con anterioridad, uno de los requisitos para la creación de una AMPR es la zonificación. En el caso del AMPR Paquera-Tambor, se implementaron talleres. </w:t>
      </w:r>
    </w:p>
    <w:p w:rsidR="00477601" w:rsidRDefault="00477601" w:rsidP="00477601">
      <w:pPr>
        <w:spacing w:before="240" w:line="360" w:lineRule="auto"/>
        <w:ind w:left="705"/>
        <w:jc w:val="both"/>
      </w:pPr>
      <w:r>
        <w:rPr>
          <w:rFonts w:ascii="Arial" w:hAnsi="Arial" w:cs="Arial"/>
          <w:sz w:val="24"/>
          <w:szCs w:val="24"/>
        </w:rPr>
        <w:t xml:space="preserve">Hubieron talleres, trabajos en grupo, lluvia de ideas, plenarias, grupos de trabajo y también reuniones abiertas donde se iban planteando cosas y se iban discutiendo entonces había una combinación de diferentes metodologías siempre basándose en la participación activa de las personas </w:t>
      </w:r>
      <w:r>
        <w:rPr>
          <w:rFonts w:ascii="Arial" w:hAnsi="Arial" w:cs="Arial"/>
          <w:sz w:val="24"/>
          <w:szCs w:val="24"/>
        </w:rPr>
        <w:lastRenderedPageBreak/>
        <w:t>que llegaban a las reuniones y talleres. (Villareal, comunicación personal, 2019).</w:t>
      </w:r>
    </w:p>
    <w:p w:rsidR="00477601" w:rsidRDefault="00477601" w:rsidP="00477601">
      <w:pPr>
        <w:spacing w:before="240" w:line="360" w:lineRule="auto"/>
        <w:ind w:firstLine="705"/>
        <w:jc w:val="both"/>
        <w:rPr>
          <w:rFonts w:ascii="Arial" w:hAnsi="Arial" w:cs="Arial"/>
          <w:sz w:val="24"/>
          <w:szCs w:val="24"/>
        </w:rPr>
      </w:pPr>
      <w:r>
        <w:rPr>
          <w:rFonts w:ascii="Arial" w:hAnsi="Arial" w:cs="Arial"/>
          <w:sz w:val="24"/>
          <w:szCs w:val="24"/>
        </w:rPr>
        <w:t xml:space="preserve">Es este punto, resulta importante detallar el proceso participativo que se desarrolló en cuanto a la zonificación del AMPR. Según el Plan de Ordenamiento Pesquero de AMPR, esta estrategia institucional corresponde a </w:t>
      </w:r>
    </w:p>
    <w:p w:rsidR="00477601" w:rsidRDefault="00477601" w:rsidP="00477601">
      <w:pPr>
        <w:spacing w:before="240" w:line="360" w:lineRule="auto"/>
        <w:ind w:left="705"/>
        <w:jc w:val="both"/>
      </w:pPr>
      <w:r>
        <w:rPr>
          <w:rFonts w:ascii="Arial" w:hAnsi="Arial" w:cs="Arial"/>
          <w:sz w:val="24"/>
          <w:szCs w:val="24"/>
        </w:rPr>
        <w:t xml:space="preserve">[…] identificar las áreas de importancia pesquera y el uso de las artes de pesca de acuerdo a las diferentes especies objetivos. Igualmente, evidenció la presencia de diversos elementos importantes para la protección de recursos pesqueros y conservación de la biodiversidad marina del área. Esta, además, identificó otros actores que comparten el recurso marino y áreas de conflictos latentes. (p. 116) </w:t>
      </w:r>
    </w:p>
    <w:p w:rsidR="00477601" w:rsidRDefault="00477601" w:rsidP="00477601">
      <w:pPr>
        <w:spacing w:before="240" w:line="360" w:lineRule="auto"/>
        <w:ind w:firstLine="705"/>
        <w:jc w:val="both"/>
      </w:pPr>
      <w:r>
        <w:rPr>
          <w:rFonts w:ascii="Arial" w:hAnsi="Arial" w:cs="Arial"/>
          <w:sz w:val="24"/>
          <w:szCs w:val="24"/>
        </w:rPr>
        <w:t>Es menester destacar el rol tan importante que la institucionalidad le da a la participación local en este tipo decisiones que son fundamentales al proyecto, ya que corresponden a la limitación de las áreas de pesca, por lo que resulta importante que sean las personas de la localidad las que influyan en esas acciones, porque son las que poseen mayor conocimiento sobre la geografía y demás características de la zona. Se realizaron consultas y opiniones a pescadores, visitas de campos a las respectivas zonas.</w:t>
      </w:r>
    </w:p>
    <w:p w:rsidR="00477601" w:rsidRDefault="00477601" w:rsidP="00477601">
      <w:pPr>
        <w:spacing w:before="240" w:line="360" w:lineRule="auto"/>
        <w:ind w:firstLine="705"/>
        <w:jc w:val="both"/>
        <w:rPr>
          <w:rFonts w:ascii="Arial" w:hAnsi="Arial" w:cs="Arial"/>
          <w:sz w:val="24"/>
          <w:szCs w:val="24"/>
        </w:rPr>
      </w:pPr>
      <w:r>
        <w:rPr>
          <w:rFonts w:ascii="Arial" w:hAnsi="Arial" w:cs="Arial"/>
          <w:sz w:val="24"/>
          <w:szCs w:val="24"/>
        </w:rPr>
        <w:t>A pesar de las estrategias anteriormente señaladas, es evidente que el trabajo institucional no ha sido el protagonista en toda la implementación y gestión del AMPR Paquera-Tambor, sino que el cumplimiento de todas sus fases fue principalmente a la planificación y la gestión local, como se detalla en el siguiente apartado.</w:t>
      </w:r>
    </w:p>
    <w:p w:rsidR="00477601" w:rsidRDefault="00477601" w:rsidP="00477601">
      <w:pPr>
        <w:spacing w:before="240" w:line="360" w:lineRule="auto"/>
        <w:ind w:firstLine="705"/>
        <w:jc w:val="both"/>
        <w:rPr>
          <w:rFonts w:ascii="Arial" w:hAnsi="Arial" w:cs="Arial"/>
          <w:sz w:val="24"/>
          <w:szCs w:val="24"/>
        </w:rPr>
      </w:pPr>
    </w:p>
    <w:p w:rsidR="00477601" w:rsidRDefault="00477601" w:rsidP="00477601">
      <w:pPr>
        <w:spacing w:before="240" w:line="360" w:lineRule="auto"/>
        <w:ind w:firstLine="705"/>
        <w:jc w:val="both"/>
        <w:rPr>
          <w:rFonts w:ascii="Arial" w:hAnsi="Arial" w:cs="Arial"/>
          <w:sz w:val="24"/>
          <w:szCs w:val="24"/>
        </w:rPr>
      </w:pPr>
    </w:p>
    <w:p w:rsidR="00477601" w:rsidRDefault="00477601" w:rsidP="00477601">
      <w:pPr>
        <w:spacing w:before="240" w:line="360" w:lineRule="auto"/>
        <w:ind w:firstLine="705"/>
        <w:jc w:val="both"/>
        <w:rPr>
          <w:rFonts w:ascii="Arial" w:hAnsi="Arial" w:cs="Arial"/>
          <w:sz w:val="24"/>
          <w:szCs w:val="24"/>
        </w:rPr>
      </w:pPr>
    </w:p>
    <w:p w:rsidR="00477601" w:rsidRDefault="00477601" w:rsidP="00477601">
      <w:pPr>
        <w:spacing w:before="240" w:line="360" w:lineRule="auto"/>
        <w:ind w:firstLine="705"/>
        <w:jc w:val="both"/>
        <w:rPr>
          <w:rFonts w:ascii="Arial" w:hAnsi="Arial" w:cs="Arial"/>
          <w:sz w:val="24"/>
          <w:szCs w:val="24"/>
        </w:rPr>
      </w:pPr>
    </w:p>
    <w:p w:rsidR="00477601" w:rsidRPr="00D151DF" w:rsidRDefault="00477601" w:rsidP="00477601">
      <w:pPr>
        <w:pStyle w:val="Ttulo2"/>
        <w:numPr>
          <w:ilvl w:val="1"/>
          <w:numId w:val="25"/>
        </w:numPr>
        <w:spacing w:before="0" w:after="240" w:line="360" w:lineRule="auto"/>
        <w:rPr>
          <w:b/>
        </w:rPr>
      </w:pPr>
      <w:bookmarkStart w:id="74" w:name="_Toc50906714"/>
      <w:r w:rsidRPr="00D151DF">
        <w:rPr>
          <w:rFonts w:ascii="Arial" w:hAnsi="Arial" w:cs="Arial"/>
          <w:b/>
          <w:color w:val="00000A"/>
        </w:rPr>
        <w:lastRenderedPageBreak/>
        <w:t>Los proceso de planificación y participación local en el Área de Pesca Responsable Paquera – Tambor</w:t>
      </w:r>
      <w:bookmarkEnd w:id="74"/>
    </w:p>
    <w:p w:rsidR="00477601" w:rsidRDefault="00477601" w:rsidP="00477601">
      <w:pPr>
        <w:spacing w:line="360" w:lineRule="auto"/>
        <w:ind w:firstLine="708"/>
        <w:jc w:val="both"/>
        <w:rPr>
          <w:rFonts w:ascii="Arial" w:hAnsi="Arial" w:cs="Arial"/>
          <w:bCs/>
          <w:sz w:val="24"/>
          <w:szCs w:val="26"/>
        </w:rPr>
      </w:pPr>
      <w:r>
        <w:rPr>
          <w:rFonts w:ascii="Arial" w:hAnsi="Arial" w:cs="Arial"/>
          <w:bCs/>
          <w:sz w:val="24"/>
          <w:szCs w:val="26"/>
        </w:rPr>
        <w:t xml:space="preserve">Es oportuno realizar un análisis de los procesos de planificación y participación local alrededor del Área de Pesca Responsable Paquera – Tambor, principalmente porque la idea o concepción inicial de la creación de una AMPR en estas comunidades fue de la sociedad civil, por tanto, su génesis parte desde una perspectiva local-comunal. </w:t>
      </w:r>
    </w:p>
    <w:p w:rsidR="00477601" w:rsidRDefault="00477601" w:rsidP="00477601">
      <w:pPr>
        <w:spacing w:line="360" w:lineRule="auto"/>
        <w:ind w:firstLine="708"/>
        <w:jc w:val="both"/>
      </w:pPr>
      <w:r>
        <w:rPr>
          <w:rFonts w:ascii="Arial" w:hAnsi="Arial" w:cs="Arial"/>
          <w:bCs/>
          <w:sz w:val="24"/>
          <w:szCs w:val="26"/>
        </w:rPr>
        <w:t>En este apartado interesa analizar algunas acciones de planificación local para intensificar el objetivo de la creación del AMPR. Es importante comprender que el proyecto del AMPR, como tal, fue una propuesta comunal con acompañamiento en algunas de sus fases de la institucionalidad púbica, principalmente del INCOPESCA; no obstante, una vez que se creó el AMPR ha existido un alejamiento por parte de las instituciones, sin embargo el Área aún se sigue gestionando y las mismas comunidades han desarrollado algunos proyectos alrededor del AMPR.</w:t>
      </w:r>
    </w:p>
    <w:p w:rsidR="00477601" w:rsidRDefault="00477601" w:rsidP="00477601">
      <w:pPr>
        <w:spacing w:line="360" w:lineRule="auto"/>
        <w:ind w:firstLine="708"/>
        <w:jc w:val="both"/>
      </w:pPr>
      <w:r>
        <w:rPr>
          <w:rFonts w:ascii="Arial" w:hAnsi="Arial" w:cs="Arial"/>
          <w:bCs/>
          <w:sz w:val="24"/>
          <w:szCs w:val="26"/>
        </w:rPr>
        <w:t xml:space="preserve">Como se detalló en el apartado teórico de este estudio, existen paradigmas de gestión pública que logran caracterizar estas decisiones o acciones locales-comunales, como la de la creación del AMPR Paquera-Tambor; principalmente en el paradigma del desarrollo local y la participación social, el cual supone un proceso político, socioeconómico y cultural que potencia la capacidad de las personas de una comunidad para la búsqueda de soluciones a sus necesidades, ante un sentir generalizado de que los beneficios del gobierno central no les llega (AMYCOS, 2004, p.2). </w:t>
      </w:r>
    </w:p>
    <w:p w:rsidR="00477601" w:rsidRDefault="00477601" w:rsidP="00477601">
      <w:pPr>
        <w:spacing w:line="360" w:lineRule="auto"/>
        <w:ind w:firstLine="708"/>
        <w:jc w:val="both"/>
        <w:rPr>
          <w:rFonts w:ascii="Arial" w:hAnsi="Arial" w:cs="Arial"/>
          <w:bCs/>
          <w:sz w:val="24"/>
          <w:szCs w:val="26"/>
        </w:rPr>
      </w:pPr>
      <w:r>
        <w:rPr>
          <w:rFonts w:ascii="Arial" w:hAnsi="Arial" w:cs="Arial"/>
          <w:bCs/>
          <w:sz w:val="24"/>
          <w:szCs w:val="26"/>
        </w:rPr>
        <w:t>Lo anterior es importante, ya que puede ser una de las razones por las que estas comunidades han desarrollado esta iniciativa de la creación del AMPR, sin embargo, antes de realizar un análisis más exhaustivo de estas acciones locales-comunales, se procederá a detallar el proceso de gestión e implementación local-comunal del AMPR Paquera Tambor.</w:t>
      </w:r>
      <w:r w:rsidR="00F30CF1">
        <w:rPr>
          <w:rFonts w:ascii="Arial" w:hAnsi="Arial" w:cs="Arial"/>
          <w:bCs/>
          <w:sz w:val="24"/>
          <w:szCs w:val="26"/>
        </w:rPr>
        <w:t xml:space="preserve"> </w:t>
      </w:r>
    </w:p>
    <w:p w:rsidR="00477601" w:rsidRDefault="00477601" w:rsidP="00477601">
      <w:pPr>
        <w:spacing w:line="360" w:lineRule="auto"/>
        <w:ind w:firstLine="708"/>
        <w:jc w:val="both"/>
        <w:rPr>
          <w:rFonts w:ascii="Arial" w:hAnsi="Arial" w:cs="Arial"/>
          <w:bCs/>
          <w:sz w:val="24"/>
          <w:szCs w:val="26"/>
        </w:rPr>
      </w:pPr>
    </w:p>
    <w:p w:rsidR="00477601" w:rsidRDefault="00477601" w:rsidP="00477601">
      <w:pPr>
        <w:spacing w:line="360" w:lineRule="auto"/>
        <w:ind w:firstLine="708"/>
        <w:jc w:val="both"/>
        <w:rPr>
          <w:rFonts w:ascii="Arial" w:hAnsi="Arial" w:cs="Arial"/>
          <w:bCs/>
          <w:sz w:val="24"/>
          <w:szCs w:val="26"/>
        </w:rPr>
      </w:pPr>
    </w:p>
    <w:p w:rsidR="00477601" w:rsidRDefault="00477601" w:rsidP="00477601">
      <w:pPr>
        <w:spacing w:line="360" w:lineRule="auto"/>
        <w:jc w:val="both"/>
        <w:rPr>
          <w:rFonts w:ascii="Arial" w:hAnsi="Arial" w:cs="Arial"/>
          <w:b/>
          <w:bCs/>
          <w:sz w:val="24"/>
          <w:szCs w:val="24"/>
        </w:rPr>
      </w:pPr>
      <w:r>
        <w:rPr>
          <w:rFonts w:ascii="Arial" w:hAnsi="Arial" w:cs="Arial"/>
          <w:b/>
          <w:bCs/>
          <w:sz w:val="24"/>
          <w:szCs w:val="24"/>
        </w:rPr>
        <w:lastRenderedPageBreak/>
        <w:t xml:space="preserve">Acciones locales en las fases de creación del AMPR </w:t>
      </w:r>
    </w:p>
    <w:p w:rsidR="00477601" w:rsidRDefault="00477601" w:rsidP="00477601">
      <w:pPr>
        <w:spacing w:line="360" w:lineRule="auto"/>
        <w:ind w:firstLine="708"/>
        <w:jc w:val="both"/>
      </w:pPr>
      <w:r>
        <w:rPr>
          <w:rFonts w:ascii="Arial" w:hAnsi="Arial" w:cs="Arial"/>
          <w:bCs/>
          <w:sz w:val="24"/>
          <w:szCs w:val="24"/>
        </w:rPr>
        <w:t>En el año 2011 comenzó a desarrollarse la iniciativa de la creación del AMPR, principalmente por el sector turismo y algunos pescadores de las localidades. Según Schutts, L (2019) el proceso de creación del AMPR</w:t>
      </w:r>
    </w:p>
    <w:p w:rsidR="00477601" w:rsidRDefault="00477601" w:rsidP="00477601">
      <w:pPr>
        <w:spacing w:line="360" w:lineRule="auto"/>
        <w:ind w:left="708"/>
        <w:jc w:val="both"/>
      </w:pPr>
      <w:r>
        <w:rPr>
          <w:rFonts w:ascii="Arial" w:hAnsi="Arial" w:cs="Arial"/>
          <w:bCs/>
          <w:sz w:val="24"/>
          <w:szCs w:val="26"/>
        </w:rPr>
        <w:t xml:space="preserve">[…] no fue impuesto por el gobierno, todo lo contrario, lo que hicimos nosotros en ese momento fue que creamos una asociación que se llama “Asociación Paquereña para el Aprovechamiento de Recurso Marino”, que era como una asociación sombrilla de todas las otras asociaciones que estaban en la zona, en Paquera, buzos comerciales, pescadores, todo eso, y de esa forma nosotros hicimos la solicitud a INCOPESCA, más bien INCOPESCA en ese momento no tenía capacidad, ni tenía la directriz realmente de crear más áreas de pesca responsable, más bien era lo contrario, estaban en una etapa donde estaban analizando que ocurría con las áreas de pesca responsable entonces no estaban creando más áreas de pesca responsable, nosotros insistimos a tal punto que tuvimos que hablar con el presidente ejecutivo, Luis Dobles, y con otros funcionarios, de tal forma que los convencimos que era necesario hacer esta área de pesca responsable. (Comunicación personal, 2019) </w:t>
      </w:r>
    </w:p>
    <w:p w:rsidR="00477601" w:rsidRDefault="00477601" w:rsidP="00477601">
      <w:pPr>
        <w:spacing w:line="360" w:lineRule="auto"/>
        <w:ind w:firstLine="708"/>
        <w:jc w:val="both"/>
      </w:pPr>
      <w:r>
        <w:rPr>
          <w:rFonts w:ascii="Arial" w:hAnsi="Arial" w:cs="Arial"/>
          <w:bCs/>
          <w:sz w:val="24"/>
          <w:szCs w:val="24"/>
        </w:rPr>
        <w:t xml:space="preserve">Las razones por las que estas personas de la sociedad civil gestionaron la idea de la creación del AMPR, radican sobre todo en la necesidad de proteger el ecosistema marino, luchar contra la pesca ilegal y fortalecer la actividad pesquera local en esas comunidades. </w:t>
      </w:r>
    </w:p>
    <w:p w:rsidR="00477601" w:rsidRDefault="00477601" w:rsidP="00477601">
      <w:pPr>
        <w:spacing w:line="360" w:lineRule="auto"/>
        <w:ind w:firstLine="708"/>
        <w:jc w:val="both"/>
        <w:rPr>
          <w:rFonts w:ascii="Arial" w:hAnsi="Arial" w:cs="Arial"/>
          <w:bCs/>
          <w:sz w:val="24"/>
          <w:szCs w:val="24"/>
        </w:rPr>
      </w:pPr>
      <w:r>
        <w:rPr>
          <w:rFonts w:ascii="Arial" w:hAnsi="Arial" w:cs="Arial"/>
          <w:bCs/>
          <w:sz w:val="24"/>
          <w:szCs w:val="24"/>
        </w:rPr>
        <w:t xml:space="preserve">Inicialmente, se construyó un equipo de trabajo local, el cual fue propuesto por la misma comunidad ante el INCOPESCA, ofrecieron un diagnóstico inicial con las instituciones que ellos percibían que debían de estar en todo el proceso. Al final, era una propuesta concebida por la propia realidad de la localidad. </w:t>
      </w:r>
    </w:p>
    <w:p w:rsidR="00477601" w:rsidRDefault="00477601" w:rsidP="00477601">
      <w:pPr>
        <w:spacing w:line="360" w:lineRule="auto"/>
        <w:ind w:left="708"/>
        <w:jc w:val="both"/>
      </w:pPr>
      <w:r>
        <w:rPr>
          <w:rFonts w:ascii="Arial" w:hAnsi="Arial" w:cs="Arial"/>
          <w:bCs/>
          <w:sz w:val="24"/>
          <w:szCs w:val="24"/>
        </w:rPr>
        <w:t xml:space="preserve">Nosotros enfocamos el problema como un problema de todos. Entonces tomamos el control de este grupo de trabajo, nosotros lo propusimos, al final de cuentas se hizo abierto el grupo de trabajo, no se cerraba la puerta a que </w:t>
      </w:r>
      <w:r>
        <w:rPr>
          <w:rFonts w:ascii="Arial" w:hAnsi="Arial" w:cs="Arial"/>
          <w:bCs/>
          <w:sz w:val="24"/>
          <w:szCs w:val="24"/>
        </w:rPr>
        <w:lastRenderedPageBreak/>
        <w:t>nadie más entrara, sino que si habían vecinos en ese momento que querían participar, eran bienvenidos, inclusive votaban, inclusive opinaban, se hizo muy participativo, muy abierto con el fin de enriquecerlo. (Schutts, comunicación personal, 2019)</w:t>
      </w:r>
    </w:p>
    <w:p w:rsidR="00477601" w:rsidRDefault="00477601" w:rsidP="00477601">
      <w:pPr>
        <w:spacing w:line="360" w:lineRule="auto"/>
        <w:ind w:firstLine="708"/>
        <w:jc w:val="both"/>
      </w:pPr>
      <w:r>
        <w:rPr>
          <w:rFonts w:ascii="Arial" w:hAnsi="Arial" w:cs="Arial"/>
          <w:bCs/>
          <w:sz w:val="24"/>
          <w:szCs w:val="24"/>
        </w:rPr>
        <w:t>Este grupo de trabajo, luego creó un documento con la formulación del proyecto que fue presentado ante el INCOPESCA, siendo aprobada y creada el 09 de abril de 2014, con base en el Acuerdo AJDIP-099-2014 La Gaceta N°216, 10 de noviembre 2014 DE-35502-MAG – AMPR- 01 OCT 09.</w:t>
      </w:r>
    </w:p>
    <w:p w:rsidR="00477601" w:rsidRDefault="00477601" w:rsidP="00477601">
      <w:pPr>
        <w:spacing w:line="360" w:lineRule="auto"/>
        <w:jc w:val="both"/>
        <w:rPr>
          <w:rFonts w:ascii="Arial" w:hAnsi="Arial" w:cs="Arial"/>
          <w:bCs/>
          <w:sz w:val="24"/>
          <w:szCs w:val="24"/>
        </w:rPr>
      </w:pPr>
      <w:r>
        <w:rPr>
          <w:rFonts w:ascii="Arial" w:hAnsi="Arial" w:cs="Arial"/>
          <w:bCs/>
          <w:sz w:val="24"/>
          <w:szCs w:val="24"/>
        </w:rPr>
        <w:tab/>
        <w:t>Es relevante detallar que detrás de todo este equipo de trabajo local, existe todo un entramado de organizaciones y comunidades locales que respaldan estas acciones.</w:t>
      </w:r>
    </w:p>
    <w:p w:rsidR="00477601" w:rsidRDefault="00477601" w:rsidP="00477601">
      <w:pPr>
        <w:spacing w:line="360" w:lineRule="auto"/>
        <w:jc w:val="both"/>
        <w:rPr>
          <w:rFonts w:ascii="Arial" w:hAnsi="Arial" w:cs="Arial"/>
          <w:bCs/>
          <w:sz w:val="24"/>
          <w:szCs w:val="24"/>
        </w:rPr>
      </w:pPr>
    </w:p>
    <w:p w:rsidR="00F30CF1" w:rsidRDefault="00F30CF1" w:rsidP="00477601">
      <w:pPr>
        <w:spacing w:line="360" w:lineRule="auto"/>
        <w:jc w:val="both"/>
        <w:rPr>
          <w:rFonts w:ascii="Arial" w:hAnsi="Arial" w:cs="Arial"/>
          <w:bCs/>
          <w:sz w:val="24"/>
          <w:szCs w:val="24"/>
        </w:rPr>
      </w:pPr>
    </w:p>
    <w:p w:rsidR="00F30CF1" w:rsidRDefault="00F30CF1" w:rsidP="00477601">
      <w:pPr>
        <w:spacing w:line="360" w:lineRule="auto"/>
        <w:jc w:val="both"/>
        <w:rPr>
          <w:rFonts w:ascii="Arial" w:hAnsi="Arial" w:cs="Arial"/>
          <w:bCs/>
          <w:sz w:val="24"/>
          <w:szCs w:val="24"/>
        </w:rPr>
      </w:pPr>
    </w:p>
    <w:p w:rsidR="00F30CF1" w:rsidRDefault="00F30CF1" w:rsidP="00477601">
      <w:pPr>
        <w:spacing w:line="360" w:lineRule="auto"/>
        <w:jc w:val="both"/>
        <w:rPr>
          <w:rFonts w:ascii="Arial" w:hAnsi="Arial" w:cs="Arial"/>
          <w:bCs/>
          <w:sz w:val="24"/>
          <w:szCs w:val="24"/>
        </w:rPr>
      </w:pPr>
    </w:p>
    <w:p w:rsidR="00F30CF1" w:rsidRDefault="00F30CF1" w:rsidP="00477601">
      <w:pPr>
        <w:spacing w:line="360" w:lineRule="auto"/>
        <w:jc w:val="both"/>
        <w:rPr>
          <w:rFonts w:ascii="Arial" w:hAnsi="Arial" w:cs="Arial"/>
          <w:bCs/>
          <w:sz w:val="24"/>
          <w:szCs w:val="24"/>
        </w:rPr>
      </w:pPr>
    </w:p>
    <w:p w:rsidR="00F30CF1" w:rsidRDefault="00F30CF1" w:rsidP="00477601">
      <w:pPr>
        <w:spacing w:line="360" w:lineRule="auto"/>
        <w:jc w:val="both"/>
        <w:rPr>
          <w:rFonts w:ascii="Arial" w:hAnsi="Arial" w:cs="Arial"/>
          <w:bCs/>
          <w:sz w:val="24"/>
          <w:szCs w:val="24"/>
        </w:rPr>
      </w:pPr>
    </w:p>
    <w:p w:rsidR="00F30CF1" w:rsidRDefault="00F30CF1" w:rsidP="00477601">
      <w:pPr>
        <w:spacing w:line="360" w:lineRule="auto"/>
        <w:jc w:val="both"/>
        <w:rPr>
          <w:rFonts w:ascii="Arial" w:hAnsi="Arial" w:cs="Arial"/>
          <w:bCs/>
          <w:sz w:val="24"/>
          <w:szCs w:val="24"/>
        </w:rPr>
      </w:pPr>
    </w:p>
    <w:p w:rsidR="00F30CF1" w:rsidRDefault="00F30CF1" w:rsidP="00477601">
      <w:pPr>
        <w:spacing w:line="360" w:lineRule="auto"/>
        <w:jc w:val="both"/>
        <w:rPr>
          <w:rFonts w:ascii="Arial" w:hAnsi="Arial" w:cs="Arial"/>
          <w:bCs/>
          <w:sz w:val="24"/>
          <w:szCs w:val="24"/>
        </w:rPr>
      </w:pPr>
    </w:p>
    <w:p w:rsidR="00F30CF1" w:rsidRDefault="00F30CF1" w:rsidP="00477601">
      <w:pPr>
        <w:spacing w:line="360" w:lineRule="auto"/>
        <w:jc w:val="both"/>
        <w:rPr>
          <w:rFonts w:ascii="Arial" w:hAnsi="Arial" w:cs="Arial"/>
          <w:bCs/>
          <w:sz w:val="24"/>
          <w:szCs w:val="24"/>
        </w:rPr>
      </w:pPr>
    </w:p>
    <w:p w:rsidR="00F30CF1" w:rsidRDefault="00F30CF1" w:rsidP="00477601">
      <w:pPr>
        <w:spacing w:line="360" w:lineRule="auto"/>
        <w:jc w:val="both"/>
        <w:rPr>
          <w:rFonts w:ascii="Arial" w:hAnsi="Arial" w:cs="Arial"/>
          <w:bCs/>
          <w:sz w:val="24"/>
          <w:szCs w:val="24"/>
        </w:rPr>
      </w:pPr>
    </w:p>
    <w:p w:rsidR="00F30CF1" w:rsidRDefault="00F30CF1" w:rsidP="00477601">
      <w:pPr>
        <w:spacing w:line="360" w:lineRule="auto"/>
        <w:jc w:val="both"/>
        <w:rPr>
          <w:rFonts w:ascii="Arial" w:hAnsi="Arial" w:cs="Arial"/>
          <w:bCs/>
          <w:sz w:val="24"/>
          <w:szCs w:val="24"/>
        </w:rPr>
      </w:pPr>
    </w:p>
    <w:p w:rsidR="00F30CF1" w:rsidRDefault="00F30CF1" w:rsidP="00477601">
      <w:pPr>
        <w:spacing w:line="360" w:lineRule="auto"/>
        <w:jc w:val="both"/>
        <w:rPr>
          <w:rFonts w:ascii="Arial" w:hAnsi="Arial" w:cs="Arial"/>
          <w:bCs/>
          <w:sz w:val="24"/>
          <w:szCs w:val="24"/>
        </w:rPr>
      </w:pPr>
    </w:p>
    <w:p w:rsidR="00F30CF1" w:rsidRDefault="00F30CF1" w:rsidP="00477601">
      <w:pPr>
        <w:spacing w:line="360" w:lineRule="auto"/>
        <w:jc w:val="both"/>
        <w:rPr>
          <w:rFonts w:ascii="Arial" w:hAnsi="Arial" w:cs="Arial"/>
          <w:bCs/>
          <w:sz w:val="24"/>
          <w:szCs w:val="24"/>
        </w:rPr>
      </w:pPr>
    </w:p>
    <w:p w:rsidR="00F30CF1" w:rsidRDefault="00F30CF1" w:rsidP="00477601">
      <w:pPr>
        <w:spacing w:line="360" w:lineRule="auto"/>
        <w:jc w:val="both"/>
        <w:rPr>
          <w:rFonts w:ascii="Arial" w:hAnsi="Arial" w:cs="Arial"/>
          <w:bCs/>
          <w:sz w:val="24"/>
          <w:szCs w:val="24"/>
        </w:rPr>
      </w:pPr>
    </w:p>
    <w:p w:rsidR="00F30CF1" w:rsidRDefault="00F30CF1" w:rsidP="00477601">
      <w:pPr>
        <w:spacing w:line="360" w:lineRule="auto"/>
        <w:jc w:val="both"/>
        <w:rPr>
          <w:rFonts w:ascii="Arial" w:hAnsi="Arial" w:cs="Arial"/>
          <w:bCs/>
          <w:sz w:val="24"/>
          <w:szCs w:val="24"/>
        </w:rPr>
        <w:sectPr w:rsidR="00F30CF1">
          <w:footerReference w:type="default" r:id="rId34"/>
          <w:pgSz w:w="12240" w:h="15840"/>
          <w:pgMar w:top="1417" w:right="1701" w:bottom="1417" w:left="1701" w:header="708" w:footer="708" w:gutter="0"/>
          <w:cols w:space="708"/>
          <w:docGrid w:linePitch="360"/>
        </w:sectPr>
      </w:pPr>
    </w:p>
    <w:p w:rsidR="00F30CF1" w:rsidRPr="007D10D0" w:rsidRDefault="00F30CF1" w:rsidP="00F30CF1">
      <w:pPr>
        <w:spacing w:line="240" w:lineRule="auto"/>
        <w:rPr>
          <w:rFonts w:ascii="Arial" w:eastAsiaTheme="majorEastAsia" w:hAnsi="Arial" w:cs="Arial"/>
          <w:bCs/>
          <w:sz w:val="24"/>
          <w:szCs w:val="24"/>
        </w:rPr>
      </w:pPr>
      <w:r>
        <w:rPr>
          <w:rFonts w:ascii="Arial" w:eastAsiaTheme="majorEastAsia" w:hAnsi="Arial" w:cs="Arial"/>
          <w:bCs/>
          <w:sz w:val="24"/>
          <w:szCs w:val="24"/>
        </w:rPr>
        <w:lastRenderedPageBreak/>
        <w:t>Tabla N° 8</w:t>
      </w:r>
      <w:r w:rsidRPr="007D10D0">
        <w:rPr>
          <w:rFonts w:ascii="Arial" w:eastAsiaTheme="majorEastAsia" w:hAnsi="Arial" w:cs="Arial"/>
          <w:bCs/>
          <w:sz w:val="24"/>
          <w:szCs w:val="24"/>
        </w:rPr>
        <w:t xml:space="preserve"> Comunidades y actores integrantes del AMPR Paquera-Tambor</w:t>
      </w:r>
    </w:p>
    <w:tbl>
      <w:tblPr>
        <w:tblStyle w:val="Tablaconcuadrcula"/>
        <w:tblW w:w="12473" w:type="dxa"/>
        <w:tblLayout w:type="fixed"/>
        <w:tblLook w:val="04A0" w:firstRow="1" w:lastRow="0" w:firstColumn="1" w:lastColumn="0" w:noHBand="0" w:noVBand="1"/>
      </w:tblPr>
      <w:tblGrid>
        <w:gridCol w:w="2187"/>
        <w:gridCol w:w="2792"/>
        <w:gridCol w:w="2593"/>
        <w:gridCol w:w="1794"/>
        <w:gridCol w:w="1793"/>
        <w:gridCol w:w="1314"/>
      </w:tblGrid>
      <w:tr w:rsidR="00F30CF1" w:rsidRPr="00AA0E42" w:rsidTr="00424427">
        <w:trPr>
          <w:trHeight w:val="1546"/>
        </w:trPr>
        <w:tc>
          <w:tcPr>
            <w:tcW w:w="2187" w:type="dxa"/>
            <w:shd w:val="clear" w:color="auto" w:fill="DBDBDB" w:themeFill="accent3" w:themeFillTint="66"/>
            <w:vAlign w:val="center"/>
          </w:tcPr>
          <w:p w:rsidR="00F30CF1" w:rsidRPr="007D10D0" w:rsidRDefault="00F30CF1" w:rsidP="00424427">
            <w:pPr>
              <w:jc w:val="center"/>
              <w:rPr>
                <w:rFonts w:ascii="Arial" w:eastAsiaTheme="majorEastAsia" w:hAnsi="Arial" w:cs="Arial"/>
                <w:bCs/>
                <w:sz w:val="24"/>
                <w:szCs w:val="20"/>
              </w:rPr>
            </w:pPr>
            <w:r w:rsidRPr="007D10D0">
              <w:rPr>
                <w:rFonts w:ascii="Arial" w:eastAsiaTheme="majorEastAsia" w:hAnsi="Arial" w:cs="Arial"/>
                <w:b/>
                <w:bCs/>
                <w:sz w:val="24"/>
                <w:szCs w:val="20"/>
              </w:rPr>
              <w:t>Comunidades</w:t>
            </w:r>
          </w:p>
        </w:tc>
        <w:tc>
          <w:tcPr>
            <w:tcW w:w="2792" w:type="dxa"/>
            <w:shd w:val="clear" w:color="auto" w:fill="DBDBDB" w:themeFill="accent3" w:themeFillTint="66"/>
            <w:vAlign w:val="center"/>
          </w:tcPr>
          <w:p w:rsidR="00F30CF1" w:rsidRPr="007D10D0" w:rsidRDefault="00F30CF1" w:rsidP="00424427">
            <w:pPr>
              <w:jc w:val="center"/>
              <w:rPr>
                <w:rFonts w:ascii="Arial" w:eastAsiaTheme="majorEastAsia" w:hAnsi="Arial" w:cs="Arial"/>
                <w:bCs/>
                <w:sz w:val="24"/>
                <w:szCs w:val="20"/>
              </w:rPr>
            </w:pPr>
            <w:r w:rsidRPr="007D10D0">
              <w:rPr>
                <w:rFonts w:ascii="Arial" w:eastAsiaTheme="majorEastAsia" w:hAnsi="Arial" w:cs="Arial"/>
                <w:b/>
                <w:bCs/>
                <w:sz w:val="24"/>
                <w:szCs w:val="20"/>
              </w:rPr>
              <w:t>Organizaciones</w:t>
            </w:r>
          </w:p>
        </w:tc>
        <w:tc>
          <w:tcPr>
            <w:tcW w:w="2593" w:type="dxa"/>
            <w:shd w:val="clear" w:color="auto" w:fill="DBDBDB" w:themeFill="accent3" w:themeFillTint="66"/>
            <w:vAlign w:val="center"/>
          </w:tcPr>
          <w:p w:rsidR="00F30CF1" w:rsidRPr="007D10D0" w:rsidRDefault="00F30CF1" w:rsidP="00424427">
            <w:pPr>
              <w:jc w:val="center"/>
              <w:rPr>
                <w:rFonts w:ascii="Arial" w:eastAsiaTheme="majorEastAsia" w:hAnsi="Arial" w:cs="Arial"/>
                <w:bCs/>
                <w:sz w:val="24"/>
                <w:szCs w:val="20"/>
              </w:rPr>
            </w:pPr>
            <w:r w:rsidRPr="007D10D0">
              <w:rPr>
                <w:rFonts w:ascii="Arial" w:eastAsiaTheme="majorEastAsia" w:hAnsi="Arial" w:cs="Arial"/>
                <w:b/>
                <w:bCs/>
                <w:sz w:val="24"/>
                <w:szCs w:val="20"/>
              </w:rPr>
              <w:t>Organizaciones en proceso de integración</w:t>
            </w:r>
          </w:p>
        </w:tc>
        <w:tc>
          <w:tcPr>
            <w:tcW w:w="1794" w:type="dxa"/>
            <w:shd w:val="clear" w:color="auto" w:fill="DBDBDB" w:themeFill="accent3" w:themeFillTint="66"/>
            <w:vAlign w:val="center"/>
          </w:tcPr>
          <w:p w:rsidR="00F30CF1" w:rsidRPr="007D10D0" w:rsidRDefault="00F30CF1" w:rsidP="00424427">
            <w:pPr>
              <w:jc w:val="center"/>
              <w:rPr>
                <w:rFonts w:ascii="Arial" w:eastAsiaTheme="majorEastAsia" w:hAnsi="Arial" w:cs="Arial"/>
                <w:bCs/>
                <w:sz w:val="24"/>
                <w:szCs w:val="20"/>
              </w:rPr>
            </w:pPr>
            <w:r w:rsidRPr="007D10D0">
              <w:rPr>
                <w:rFonts w:ascii="Arial" w:eastAsiaTheme="majorEastAsia" w:hAnsi="Arial" w:cs="Arial"/>
                <w:b/>
                <w:bCs/>
                <w:sz w:val="24"/>
                <w:szCs w:val="20"/>
              </w:rPr>
              <w:t>Cámaras de Turismo</w:t>
            </w:r>
          </w:p>
        </w:tc>
        <w:tc>
          <w:tcPr>
            <w:tcW w:w="1793" w:type="dxa"/>
            <w:shd w:val="clear" w:color="auto" w:fill="DBDBDB" w:themeFill="accent3" w:themeFillTint="66"/>
            <w:vAlign w:val="center"/>
          </w:tcPr>
          <w:p w:rsidR="00F30CF1" w:rsidRPr="007D10D0" w:rsidRDefault="00F30CF1" w:rsidP="00424427">
            <w:pPr>
              <w:jc w:val="center"/>
              <w:rPr>
                <w:rFonts w:ascii="Arial" w:eastAsiaTheme="majorEastAsia" w:hAnsi="Arial" w:cs="Arial"/>
                <w:bCs/>
                <w:sz w:val="24"/>
                <w:szCs w:val="20"/>
              </w:rPr>
            </w:pPr>
            <w:r w:rsidRPr="007D10D0">
              <w:rPr>
                <w:rFonts w:ascii="Arial" w:eastAsiaTheme="majorEastAsia" w:hAnsi="Arial" w:cs="Arial"/>
                <w:b/>
                <w:bCs/>
                <w:sz w:val="24"/>
                <w:szCs w:val="20"/>
              </w:rPr>
              <w:t>Gobiernos Locales</w:t>
            </w:r>
          </w:p>
        </w:tc>
        <w:tc>
          <w:tcPr>
            <w:tcW w:w="1314" w:type="dxa"/>
            <w:shd w:val="clear" w:color="auto" w:fill="DBDBDB" w:themeFill="accent3" w:themeFillTint="66"/>
            <w:vAlign w:val="center"/>
          </w:tcPr>
          <w:p w:rsidR="00F30CF1" w:rsidRPr="007D10D0" w:rsidRDefault="00F30CF1" w:rsidP="00424427">
            <w:pPr>
              <w:jc w:val="center"/>
              <w:rPr>
                <w:rFonts w:ascii="Arial" w:eastAsiaTheme="majorEastAsia" w:hAnsi="Arial" w:cs="Arial"/>
                <w:bCs/>
                <w:sz w:val="24"/>
                <w:szCs w:val="20"/>
              </w:rPr>
            </w:pPr>
            <w:r w:rsidRPr="007D10D0">
              <w:rPr>
                <w:rFonts w:ascii="Arial" w:eastAsiaTheme="majorEastAsia" w:hAnsi="Arial" w:cs="Arial"/>
                <w:b/>
                <w:bCs/>
                <w:sz w:val="24"/>
                <w:szCs w:val="20"/>
              </w:rPr>
              <w:t>Proyecto de maricultura</w:t>
            </w:r>
          </w:p>
        </w:tc>
      </w:tr>
      <w:tr w:rsidR="00F30CF1" w:rsidRPr="00AA0E42" w:rsidTr="00424427">
        <w:trPr>
          <w:trHeight w:val="1178"/>
        </w:trPr>
        <w:tc>
          <w:tcPr>
            <w:tcW w:w="2187" w:type="dxa"/>
          </w:tcPr>
          <w:p w:rsidR="00F30CF1" w:rsidRPr="007D10D0" w:rsidRDefault="00F30CF1" w:rsidP="00424427">
            <w:pPr>
              <w:spacing w:line="360" w:lineRule="auto"/>
              <w:rPr>
                <w:rFonts w:ascii="Arial" w:eastAsiaTheme="majorEastAsia" w:hAnsi="Arial" w:cs="Arial"/>
                <w:bCs/>
                <w:sz w:val="24"/>
                <w:szCs w:val="20"/>
              </w:rPr>
            </w:pPr>
            <w:r w:rsidRPr="007D10D0">
              <w:rPr>
                <w:rFonts w:ascii="Arial" w:eastAsiaTheme="majorEastAsia" w:hAnsi="Arial" w:cs="Arial"/>
                <w:bCs/>
                <w:sz w:val="24"/>
                <w:szCs w:val="20"/>
              </w:rPr>
              <w:t>- Bajo Negro.</w:t>
            </w:r>
          </w:p>
          <w:p w:rsidR="00F30CF1" w:rsidRPr="007D10D0" w:rsidRDefault="00F30CF1" w:rsidP="00424427">
            <w:pPr>
              <w:spacing w:line="360" w:lineRule="auto"/>
              <w:rPr>
                <w:rFonts w:ascii="Arial" w:eastAsiaTheme="majorEastAsia" w:hAnsi="Arial" w:cs="Arial"/>
                <w:bCs/>
                <w:sz w:val="24"/>
                <w:szCs w:val="20"/>
              </w:rPr>
            </w:pPr>
            <w:r w:rsidRPr="007D10D0">
              <w:rPr>
                <w:rFonts w:ascii="Arial" w:eastAsiaTheme="majorEastAsia" w:hAnsi="Arial" w:cs="Arial"/>
                <w:bCs/>
                <w:sz w:val="24"/>
                <w:szCs w:val="20"/>
              </w:rPr>
              <w:t>- La Leona.</w:t>
            </w:r>
          </w:p>
          <w:p w:rsidR="00F30CF1" w:rsidRPr="007D10D0" w:rsidRDefault="00F30CF1" w:rsidP="00424427">
            <w:pPr>
              <w:spacing w:line="360" w:lineRule="auto"/>
              <w:rPr>
                <w:rFonts w:ascii="Arial" w:eastAsiaTheme="majorEastAsia" w:hAnsi="Arial" w:cs="Arial"/>
                <w:bCs/>
                <w:sz w:val="24"/>
                <w:szCs w:val="20"/>
              </w:rPr>
            </w:pPr>
            <w:r w:rsidRPr="007D10D0">
              <w:rPr>
                <w:rFonts w:ascii="Arial" w:eastAsiaTheme="majorEastAsia" w:hAnsi="Arial" w:cs="Arial"/>
                <w:bCs/>
                <w:sz w:val="24"/>
                <w:szCs w:val="20"/>
              </w:rPr>
              <w:t>- Playa Blanca.</w:t>
            </w:r>
          </w:p>
          <w:p w:rsidR="00F30CF1" w:rsidRPr="007D10D0" w:rsidRDefault="00F30CF1" w:rsidP="00424427">
            <w:pPr>
              <w:spacing w:line="360" w:lineRule="auto"/>
              <w:rPr>
                <w:rFonts w:ascii="Arial" w:eastAsiaTheme="majorEastAsia" w:hAnsi="Arial" w:cs="Arial"/>
                <w:bCs/>
                <w:sz w:val="24"/>
                <w:szCs w:val="20"/>
              </w:rPr>
            </w:pPr>
            <w:r w:rsidRPr="007D10D0">
              <w:rPr>
                <w:rFonts w:ascii="Arial" w:eastAsiaTheme="majorEastAsia" w:hAnsi="Arial" w:cs="Arial"/>
                <w:bCs/>
                <w:sz w:val="24"/>
                <w:szCs w:val="20"/>
              </w:rPr>
              <w:t>- La Palma.</w:t>
            </w:r>
          </w:p>
          <w:p w:rsidR="00F30CF1" w:rsidRPr="007D10D0" w:rsidRDefault="00F30CF1" w:rsidP="00424427">
            <w:pPr>
              <w:spacing w:line="360" w:lineRule="auto"/>
              <w:rPr>
                <w:rFonts w:ascii="Arial" w:eastAsiaTheme="majorEastAsia" w:hAnsi="Arial" w:cs="Arial"/>
                <w:bCs/>
                <w:sz w:val="24"/>
                <w:szCs w:val="20"/>
              </w:rPr>
            </w:pPr>
            <w:r w:rsidRPr="007D10D0">
              <w:rPr>
                <w:rFonts w:ascii="Arial" w:eastAsiaTheme="majorEastAsia" w:hAnsi="Arial" w:cs="Arial"/>
                <w:bCs/>
                <w:sz w:val="24"/>
                <w:szCs w:val="20"/>
              </w:rPr>
              <w:t>- Gigante.</w:t>
            </w:r>
          </w:p>
          <w:p w:rsidR="00F30CF1" w:rsidRPr="007D10D0" w:rsidRDefault="00F30CF1" w:rsidP="00424427">
            <w:pPr>
              <w:spacing w:line="360" w:lineRule="auto"/>
              <w:rPr>
                <w:rFonts w:ascii="Arial" w:eastAsiaTheme="majorEastAsia" w:hAnsi="Arial" w:cs="Arial"/>
                <w:bCs/>
                <w:sz w:val="24"/>
                <w:szCs w:val="20"/>
              </w:rPr>
            </w:pPr>
            <w:r w:rsidRPr="007D10D0">
              <w:rPr>
                <w:rFonts w:ascii="Arial" w:eastAsiaTheme="majorEastAsia" w:hAnsi="Arial" w:cs="Arial"/>
                <w:bCs/>
                <w:sz w:val="24"/>
                <w:szCs w:val="20"/>
              </w:rPr>
              <w:t>- Playa Panamá.</w:t>
            </w:r>
          </w:p>
          <w:p w:rsidR="00F30CF1" w:rsidRPr="007D10D0" w:rsidRDefault="00F30CF1" w:rsidP="00424427">
            <w:pPr>
              <w:spacing w:line="360" w:lineRule="auto"/>
              <w:rPr>
                <w:rFonts w:ascii="Arial" w:eastAsiaTheme="majorEastAsia" w:hAnsi="Arial" w:cs="Arial"/>
                <w:bCs/>
                <w:sz w:val="24"/>
                <w:szCs w:val="20"/>
              </w:rPr>
            </w:pPr>
            <w:r w:rsidRPr="007D10D0">
              <w:rPr>
                <w:rFonts w:ascii="Arial" w:eastAsiaTheme="majorEastAsia" w:hAnsi="Arial" w:cs="Arial"/>
                <w:bCs/>
                <w:sz w:val="24"/>
                <w:szCs w:val="20"/>
              </w:rPr>
              <w:t>- Río Grande.</w:t>
            </w:r>
          </w:p>
          <w:p w:rsidR="00F30CF1" w:rsidRPr="007D10D0" w:rsidRDefault="00F30CF1" w:rsidP="00424427">
            <w:pPr>
              <w:spacing w:line="360" w:lineRule="auto"/>
              <w:rPr>
                <w:rFonts w:ascii="Arial" w:eastAsiaTheme="majorEastAsia" w:hAnsi="Arial" w:cs="Arial"/>
                <w:bCs/>
                <w:sz w:val="24"/>
                <w:szCs w:val="20"/>
              </w:rPr>
            </w:pPr>
            <w:r w:rsidRPr="007D10D0">
              <w:rPr>
                <w:rFonts w:ascii="Arial" w:eastAsiaTheme="majorEastAsia" w:hAnsi="Arial" w:cs="Arial"/>
                <w:bCs/>
                <w:sz w:val="24"/>
                <w:szCs w:val="20"/>
              </w:rPr>
              <w:t>- Punta del Río.</w:t>
            </w:r>
          </w:p>
          <w:p w:rsidR="00F30CF1" w:rsidRPr="007D10D0" w:rsidRDefault="00F30CF1" w:rsidP="00424427">
            <w:pPr>
              <w:spacing w:line="360" w:lineRule="auto"/>
              <w:rPr>
                <w:rFonts w:ascii="Arial" w:eastAsiaTheme="majorEastAsia" w:hAnsi="Arial" w:cs="Arial"/>
                <w:bCs/>
                <w:sz w:val="24"/>
                <w:szCs w:val="20"/>
              </w:rPr>
            </w:pPr>
            <w:r w:rsidRPr="007D10D0">
              <w:rPr>
                <w:rFonts w:ascii="Arial" w:eastAsiaTheme="majorEastAsia" w:hAnsi="Arial" w:cs="Arial"/>
                <w:bCs/>
                <w:sz w:val="24"/>
                <w:szCs w:val="20"/>
              </w:rPr>
              <w:t>- Paquera Centro.</w:t>
            </w:r>
          </w:p>
          <w:p w:rsidR="00F30CF1" w:rsidRPr="007D10D0" w:rsidRDefault="00F30CF1" w:rsidP="00424427">
            <w:pPr>
              <w:spacing w:line="360" w:lineRule="auto"/>
              <w:rPr>
                <w:rFonts w:ascii="Arial" w:eastAsiaTheme="majorEastAsia" w:hAnsi="Arial" w:cs="Arial"/>
                <w:bCs/>
                <w:sz w:val="24"/>
                <w:szCs w:val="20"/>
              </w:rPr>
            </w:pPr>
            <w:r w:rsidRPr="007D10D0">
              <w:rPr>
                <w:rFonts w:ascii="Arial" w:eastAsiaTheme="majorEastAsia" w:hAnsi="Arial" w:cs="Arial"/>
                <w:bCs/>
                <w:sz w:val="24"/>
                <w:szCs w:val="20"/>
              </w:rPr>
              <w:t>- Punta Cuchillo.</w:t>
            </w:r>
          </w:p>
          <w:p w:rsidR="00F30CF1" w:rsidRPr="007D10D0" w:rsidRDefault="00F30CF1" w:rsidP="00424427">
            <w:pPr>
              <w:spacing w:line="360" w:lineRule="auto"/>
              <w:rPr>
                <w:rFonts w:ascii="Arial" w:eastAsiaTheme="majorEastAsia" w:hAnsi="Arial" w:cs="Arial"/>
                <w:bCs/>
                <w:sz w:val="24"/>
                <w:szCs w:val="20"/>
              </w:rPr>
            </w:pPr>
            <w:r w:rsidRPr="007D10D0">
              <w:rPr>
                <w:rFonts w:ascii="Arial" w:eastAsiaTheme="majorEastAsia" w:hAnsi="Arial" w:cs="Arial"/>
                <w:bCs/>
                <w:sz w:val="24"/>
                <w:szCs w:val="20"/>
              </w:rPr>
              <w:t>- Isla Jesusita.</w:t>
            </w:r>
          </w:p>
          <w:p w:rsidR="00F30CF1" w:rsidRPr="007D10D0" w:rsidRDefault="00F30CF1" w:rsidP="00424427">
            <w:pPr>
              <w:spacing w:line="360" w:lineRule="auto"/>
              <w:rPr>
                <w:rFonts w:ascii="Arial" w:eastAsiaTheme="majorEastAsia" w:hAnsi="Arial" w:cs="Arial"/>
                <w:bCs/>
                <w:sz w:val="24"/>
                <w:szCs w:val="20"/>
              </w:rPr>
            </w:pPr>
            <w:r w:rsidRPr="007D10D0">
              <w:rPr>
                <w:rFonts w:ascii="Arial" w:eastAsiaTheme="majorEastAsia" w:hAnsi="Arial" w:cs="Arial"/>
                <w:bCs/>
                <w:sz w:val="24"/>
                <w:szCs w:val="20"/>
              </w:rPr>
              <w:t>- Isla Cedros.</w:t>
            </w:r>
          </w:p>
          <w:p w:rsidR="00F30CF1" w:rsidRPr="007D10D0" w:rsidRDefault="00F30CF1" w:rsidP="00424427">
            <w:pPr>
              <w:spacing w:line="360" w:lineRule="auto"/>
              <w:rPr>
                <w:rFonts w:ascii="Arial" w:eastAsiaTheme="majorEastAsia" w:hAnsi="Arial" w:cs="Arial"/>
                <w:bCs/>
                <w:sz w:val="24"/>
                <w:szCs w:val="20"/>
              </w:rPr>
            </w:pPr>
            <w:r w:rsidRPr="007D10D0">
              <w:rPr>
                <w:rFonts w:ascii="Arial" w:eastAsiaTheme="majorEastAsia" w:hAnsi="Arial" w:cs="Arial"/>
                <w:bCs/>
                <w:sz w:val="24"/>
                <w:szCs w:val="20"/>
              </w:rPr>
              <w:t>- Pochote.</w:t>
            </w:r>
          </w:p>
          <w:p w:rsidR="00F30CF1" w:rsidRPr="007D10D0" w:rsidRDefault="00F30CF1" w:rsidP="00424427">
            <w:pPr>
              <w:spacing w:line="360" w:lineRule="auto"/>
              <w:rPr>
                <w:rFonts w:ascii="Arial" w:eastAsiaTheme="majorEastAsia" w:hAnsi="Arial" w:cs="Arial"/>
                <w:bCs/>
                <w:sz w:val="24"/>
                <w:szCs w:val="20"/>
              </w:rPr>
            </w:pPr>
            <w:r w:rsidRPr="007D10D0">
              <w:rPr>
                <w:rFonts w:ascii="Arial" w:eastAsiaTheme="majorEastAsia" w:hAnsi="Arial" w:cs="Arial"/>
                <w:bCs/>
                <w:sz w:val="24"/>
                <w:szCs w:val="20"/>
              </w:rPr>
              <w:t xml:space="preserve">- Tambor. </w:t>
            </w:r>
          </w:p>
        </w:tc>
        <w:tc>
          <w:tcPr>
            <w:tcW w:w="2792" w:type="dxa"/>
          </w:tcPr>
          <w:p w:rsidR="00F30CF1" w:rsidRPr="007D10D0" w:rsidRDefault="00F30CF1" w:rsidP="00424427">
            <w:pPr>
              <w:spacing w:line="360" w:lineRule="auto"/>
              <w:rPr>
                <w:rFonts w:ascii="Arial" w:eastAsiaTheme="majorEastAsia" w:hAnsi="Arial" w:cs="Arial"/>
                <w:bCs/>
                <w:sz w:val="24"/>
                <w:szCs w:val="20"/>
              </w:rPr>
            </w:pPr>
            <w:r w:rsidRPr="007D10D0">
              <w:rPr>
                <w:rFonts w:ascii="Arial" w:eastAsiaTheme="majorEastAsia" w:hAnsi="Arial" w:cs="Arial"/>
                <w:bCs/>
                <w:sz w:val="24"/>
                <w:szCs w:val="20"/>
              </w:rPr>
              <w:t>- Asociación de pescadores artesanales de Tambor.</w:t>
            </w:r>
          </w:p>
          <w:p w:rsidR="00F30CF1" w:rsidRPr="007D10D0" w:rsidRDefault="00F30CF1" w:rsidP="00424427">
            <w:pPr>
              <w:spacing w:line="360" w:lineRule="auto"/>
              <w:rPr>
                <w:rFonts w:ascii="Arial" w:eastAsiaTheme="majorEastAsia" w:hAnsi="Arial" w:cs="Arial"/>
                <w:bCs/>
                <w:sz w:val="24"/>
                <w:szCs w:val="20"/>
              </w:rPr>
            </w:pPr>
            <w:r w:rsidRPr="007D10D0">
              <w:rPr>
                <w:rFonts w:ascii="Arial" w:eastAsiaTheme="majorEastAsia" w:hAnsi="Arial" w:cs="Arial"/>
                <w:bCs/>
                <w:sz w:val="24"/>
                <w:szCs w:val="20"/>
              </w:rPr>
              <w:t>- Asociación Paquereña para el aprovechamiento de los recursos marinos.</w:t>
            </w:r>
          </w:p>
          <w:p w:rsidR="00F30CF1" w:rsidRPr="007D10D0" w:rsidRDefault="00F30CF1" w:rsidP="00424427">
            <w:pPr>
              <w:spacing w:line="360" w:lineRule="auto"/>
              <w:rPr>
                <w:rFonts w:ascii="Arial" w:eastAsiaTheme="majorEastAsia" w:hAnsi="Arial" w:cs="Arial"/>
                <w:bCs/>
                <w:sz w:val="24"/>
                <w:szCs w:val="20"/>
              </w:rPr>
            </w:pPr>
            <w:r w:rsidRPr="007D10D0">
              <w:rPr>
                <w:rFonts w:ascii="Arial" w:eastAsiaTheme="majorEastAsia" w:hAnsi="Arial" w:cs="Arial"/>
                <w:bCs/>
                <w:sz w:val="24"/>
                <w:szCs w:val="20"/>
              </w:rPr>
              <w:t>- Asociación de pescadores de Paquera.</w:t>
            </w:r>
          </w:p>
          <w:p w:rsidR="00F30CF1" w:rsidRPr="007D10D0" w:rsidRDefault="00F30CF1" w:rsidP="00424427">
            <w:pPr>
              <w:spacing w:line="360" w:lineRule="auto"/>
              <w:rPr>
                <w:rFonts w:ascii="Arial" w:eastAsiaTheme="majorEastAsia" w:hAnsi="Arial" w:cs="Arial"/>
                <w:bCs/>
                <w:sz w:val="24"/>
                <w:szCs w:val="20"/>
              </w:rPr>
            </w:pPr>
            <w:r w:rsidRPr="007D10D0">
              <w:rPr>
                <w:rFonts w:ascii="Arial" w:eastAsiaTheme="majorEastAsia" w:hAnsi="Arial" w:cs="Arial"/>
                <w:bCs/>
                <w:sz w:val="24"/>
                <w:szCs w:val="20"/>
              </w:rPr>
              <w:t xml:space="preserve">- Asociación de buzos de Paquera, Asociación de pescadores y pescadoras unidas de Playa Blanca. </w:t>
            </w:r>
          </w:p>
        </w:tc>
        <w:tc>
          <w:tcPr>
            <w:tcW w:w="2593" w:type="dxa"/>
          </w:tcPr>
          <w:p w:rsidR="00F30CF1" w:rsidRPr="007D10D0" w:rsidRDefault="00F30CF1" w:rsidP="00424427">
            <w:pPr>
              <w:spacing w:line="360" w:lineRule="auto"/>
              <w:rPr>
                <w:rFonts w:ascii="Arial" w:eastAsiaTheme="majorEastAsia" w:hAnsi="Arial" w:cs="Arial"/>
                <w:bCs/>
                <w:sz w:val="24"/>
                <w:szCs w:val="20"/>
              </w:rPr>
            </w:pPr>
            <w:r w:rsidRPr="007D10D0">
              <w:rPr>
                <w:rFonts w:ascii="Arial" w:eastAsiaTheme="majorEastAsia" w:hAnsi="Arial" w:cs="Arial"/>
                <w:bCs/>
                <w:sz w:val="24"/>
                <w:szCs w:val="20"/>
              </w:rPr>
              <w:t>- Asociación de pescadores Mar Azul de La Leona.</w:t>
            </w:r>
          </w:p>
          <w:p w:rsidR="00F30CF1" w:rsidRPr="007D10D0" w:rsidRDefault="00F30CF1" w:rsidP="00424427">
            <w:pPr>
              <w:spacing w:line="360" w:lineRule="auto"/>
              <w:rPr>
                <w:rFonts w:ascii="Arial" w:eastAsiaTheme="majorEastAsia" w:hAnsi="Arial" w:cs="Arial"/>
                <w:bCs/>
                <w:sz w:val="24"/>
                <w:szCs w:val="20"/>
              </w:rPr>
            </w:pPr>
            <w:r w:rsidRPr="007D10D0">
              <w:rPr>
                <w:rFonts w:ascii="Arial" w:eastAsiaTheme="majorEastAsia" w:hAnsi="Arial" w:cs="Arial"/>
                <w:bCs/>
                <w:sz w:val="24"/>
                <w:szCs w:val="20"/>
              </w:rPr>
              <w:t>- Asociación de proyecto pargos Playa Blanca.</w:t>
            </w:r>
          </w:p>
          <w:p w:rsidR="00F30CF1" w:rsidRPr="007D10D0" w:rsidRDefault="00F30CF1" w:rsidP="00424427">
            <w:pPr>
              <w:spacing w:line="360" w:lineRule="auto"/>
              <w:rPr>
                <w:rFonts w:ascii="Arial" w:eastAsiaTheme="majorEastAsia" w:hAnsi="Arial" w:cs="Arial"/>
                <w:bCs/>
                <w:sz w:val="24"/>
                <w:szCs w:val="20"/>
              </w:rPr>
            </w:pPr>
            <w:r w:rsidRPr="007D10D0">
              <w:rPr>
                <w:rFonts w:ascii="Arial" w:eastAsiaTheme="majorEastAsia" w:hAnsi="Arial" w:cs="Arial"/>
                <w:bCs/>
                <w:sz w:val="24"/>
                <w:szCs w:val="20"/>
              </w:rPr>
              <w:t>- Asociación de mujeres Grupo Sion.</w:t>
            </w:r>
          </w:p>
          <w:p w:rsidR="00F30CF1" w:rsidRPr="007D10D0" w:rsidRDefault="00F30CF1" w:rsidP="00424427">
            <w:pPr>
              <w:spacing w:line="360" w:lineRule="auto"/>
              <w:rPr>
                <w:rFonts w:ascii="Arial" w:eastAsiaTheme="majorEastAsia" w:hAnsi="Arial" w:cs="Arial"/>
                <w:bCs/>
                <w:sz w:val="24"/>
                <w:szCs w:val="20"/>
              </w:rPr>
            </w:pPr>
            <w:r w:rsidRPr="007D10D0">
              <w:rPr>
                <w:rFonts w:ascii="Arial" w:eastAsiaTheme="majorEastAsia" w:hAnsi="Arial" w:cs="Arial"/>
                <w:bCs/>
                <w:sz w:val="24"/>
                <w:szCs w:val="20"/>
              </w:rPr>
              <w:t xml:space="preserve">- Asociación de mujeres Grupo Nueva Vida. </w:t>
            </w:r>
          </w:p>
        </w:tc>
        <w:tc>
          <w:tcPr>
            <w:tcW w:w="1794" w:type="dxa"/>
          </w:tcPr>
          <w:p w:rsidR="00F30CF1" w:rsidRPr="007D10D0" w:rsidRDefault="00F30CF1" w:rsidP="00424427">
            <w:pPr>
              <w:spacing w:line="360" w:lineRule="auto"/>
              <w:rPr>
                <w:rFonts w:ascii="Arial" w:eastAsiaTheme="majorEastAsia" w:hAnsi="Arial" w:cs="Arial"/>
                <w:bCs/>
                <w:sz w:val="24"/>
                <w:szCs w:val="20"/>
              </w:rPr>
            </w:pPr>
            <w:r w:rsidRPr="007D10D0">
              <w:rPr>
                <w:rFonts w:ascii="Arial" w:eastAsiaTheme="majorEastAsia" w:hAnsi="Arial" w:cs="Arial"/>
                <w:bCs/>
                <w:sz w:val="24"/>
                <w:szCs w:val="20"/>
              </w:rPr>
              <w:t>- Cámara Paquereña de Turismo.</w:t>
            </w:r>
          </w:p>
          <w:p w:rsidR="00F30CF1" w:rsidRPr="007D10D0" w:rsidRDefault="00F30CF1" w:rsidP="00424427">
            <w:pPr>
              <w:spacing w:line="360" w:lineRule="auto"/>
              <w:rPr>
                <w:rFonts w:ascii="Arial" w:eastAsiaTheme="majorEastAsia" w:hAnsi="Arial" w:cs="Arial"/>
                <w:bCs/>
                <w:sz w:val="24"/>
                <w:szCs w:val="20"/>
              </w:rPr>
            </w:pPr>
            <w:r w:rsidRPr="007D10D0">
              <w:rPr>
                <w:rFonts w:ascii="Arial" w:eastAsiaTheme="majorEastAsia" w:hAnsi="Arial" w:cs="Arial"/>
                <w:bCs/>
                <w:sz w:val="24"/>
                <w:szCs w:val="20"/>
              </w:rPr>
              <w:t>- Cámara de Turismo de Tambor.</w:t>
            </w:r>
          </w:p>
        </w:tc>
        <w:tc>
          <w:tcPr>
            <w:tcW w:w="1793" w:type="dxa"/>
          </w:tcPr>
          <w:p w:rsidR="00F30CF1" w:rsidRPr="007D10D0" w:rsidRDefault="00F30CF1" w:rsidP="00424427">
            <w:pPr>
              <w:spacing w:line="360" w:lineRule="auto"/>
              <w:rPr>
                <w:rFonts w:ascii="Arial" w:eastAsiaTheme="majorEastAsia" w:hAnsi="Arial" w:cs="Arial"/>
                <w:bCs/>
                <w:sz w:val="24"/>
                <w:szCs w:val="20"/>
              </w:rPr>
            </w:pPr>
            <w:r w:rsidRPr="007D10D0">
              <w:rPr>
                <w:rFonts w:ascii="Arial" w:eastAsiaTheme="majorEastAsia" w:hAnsi="Arial" w:cs="Arial"/>
                <w:bCs/>
                <w:sz w:val="24"/>
                <w:szCs w:val="20"/>
              </w:rPr>
              <w:t>- Concejo Municipal Distrito Paquera.</w:t>
            </w:r>
          </w:p>
          <w:p w:rsidR="00F30CF1" w:rsidRPr="007D10D0" w:rsidRDefault="00F30CF1" w:rsidP="00424427">
            <w:pPr>
              <w:spacing w:line="360" w:lineRule="auto"/>
              <w:rPr>
                <w:rFonts w:ascii="Arial" w:eastAsiaTheme="majorEastAsia" w:hAnsi="Arial" w:cs="Arial"/>
                <w:bCs/>
                <w:sz w:val="24"/>
                <w:szCs w:val="20"/>
              </w:rPr>
            </w:pPr>
            <w:r w:rsidRPr="007D10D0">
              <w:rPr>
                <w:rFonts w:ascii="Arial" w:eastAsiaTheme="majorEastAsia" w:hAnsi="Arial" w:cs="Arial"/>
                <w:bCs/>
                <w:sz w:val="24"/>
                <w:szCs w:val="20"/>
              </w:rPr>
              <w:t xml:space="preserve">- Concejo Municipal Distrito Cóbano. </w:t>
            </w:r>
          </w:p>
        </w:tc>
        <w:tc>
          <w:tcPr>
            <w:tcW w:w="1314" w:type="dxa"/>
          </w:tcPr>
          <w:p w:rsidR="00F30CF1" w:rsidRPr="007D10D0" w:rsidRDefault="00F30CF1" w:rsidP="00424427">
            <w:pPr>
              <w:spacing w:line="360" w:lineRule="auto"/>
              <w:rPr>
                <w:rFonts w:ascii="Arial" w:eastAsiaTheme="majorEastAsia" w:hAnsi="Arial" w:cs="Arial"/>
                <w:bCs/>
                <w:sz w:val="24"/>
                <w:szCs w:val="20"/>
              </w:rPr>
            </w:pPr>
            <w:r w:rsidRPr="007D10D0">
              <w:rPr>
                <w:rFonts w:ascii="Arial" w:eastAsiaTheme="majorEastAsia" w:hAnsi="Arial" w:cs="Arial"/>
                <w:bCs/>
                <w:sz w:val="24"/>
                <w:szCs w:val="20"/>
              </w:rPr>
              <w:t xml:space="preserve">- Granja Ostrícola Punta Cuchillo </w:t>
            </w:r>
          </w:p>
        </w:tc>
      </w:tr>
    </w:tbl>
    <w:p w:rsidR="00F30CF1" w:rsidRDefault="00F30CF1" w:rsidP="00F30CF1">
      <w:pPr>
        <w:spacing w:before="240" w:line="720" w:lineRule="auto"/>
        <w:jc w:val="right"/>
        <w:rPr>
          <w:rFonts w:ascii="Arial" w:hAnsi="Arial" w:cs="Arial"/>
          <w:bCs/>
          <w:sz w:val="24"/>
          <w:szCs w:val="24"/>
        </w:rPr>
      </w:pPr>
      <w:r w:rsidRPr="00D827BA">
        <w:rPr>
          <w:rFonts w:ascii="Arial" w:eastAsiaTheme="majorEastAsia" w:hAnsi="Arial" w:cs="Arial"/>
          <w:bCs/>
          <w:sz w:val="20"/>
          <w:szCs w:val="24"/>
        </w:rPr>
        <w:t>Fuente: Elaboración propia con da</w:t>
      </w:r>
      <w:r>
        <w:rPr>
          <w:rFonts w:ascii="Arial" w:eastAsiaTheme="majorEastAsia" w:hAnsi="Arial" w:cs="Arial"/>
          <w:bCs/>
          <w:sz w:val="20"/>
          <w:szCs w:val="24"/>
        </w:rPr>
        <w:t>tos de Alberto Villareal, 2019.</w:t>
      </w:r>
      <w:r>
        <w:rPr>
          <w:rFonts w:ascii="Arial" w:hAnsi="Arial" w:cs="Arial"/>
          <w:bCs/>
          <w:sz w:val="24"/>
          <w:szCs w:val="24"/>
        </w:rPr>
        <w:t xml:space="preserve"> </w:t>
      </w:r>
    </w:p>
    <w:p w:rsidR="00F30CF1" w:rsidRDefault="00F30CF1" w:rsidP="00477601">
      <w:pPr>
        <w:spacing w:line="360" w:lineRule="auto"/>
        <w:jc w:val="both"/>
        <w:rPr>
          <w:rFonts w:ascii="Arial" w:hAnsi="Arial" w:cs="Arial"/>
          <w:bCs/>
          <w:sz w:val="24"/>
          <w:szCs w:val="24"/>
        </w:rPr>
        <w:sectPr w:rsidR="00F30CF1" w:rsidSect="00F30CF1">
          <w:pgSz w:w="15840" w:h="12240" w:orient="landscape"/>
          <w:pgMar w:top="1701" w:right="1418" w:bottom="1701" w:left="1418" w:header="709" w:footer="709" w:gutter="0"/>
          <w:cols w:space="708"/>
          <w:docGrid w:linePitch="360"/>
        </w:sectPr>
      </w:pPr>
    </w:p>
    <w:p w:rsidR="00F30CF1" w:rsidRDefault="00F30CF1" w:rsidP="00F30CF1">
      <w:pPr>
        <w:spacing w:line="360" w:lineRule="auto"/>
        <w:ind w:firstLine="708"/>
        <w:jc w:val="both"/>
        <w:rPr>
          <w:rFonts w:ascii="Arial" w:hAnsi="Arial" w:cs="Arial"/>
          <w:bCs/>
          <w:sz w:val="24"/>
          <w:szCs w:val="24"/>
        </w:rPr>
      </w:pPr>
      <w:r>
        <w:rPr>
          <w:rFonts w:ascii="Arial" w:hAnsi="Arial" w:cs="Arial"/>
          <w:bCs/>
          <w:sz w:val="24"/>
          <w:szCs w:val="24"/>
        </w:rPr>
        <w:lastRenderedPageBreak/>
        <w:t xml:space="preserve">La tabla N° 8 demuestra que realmente son muchas las organizaciones y comunidades que estuvieron interesadas desde la etapa previa a la creación del AMPR, y que más bien con su gestación, más y más organizaciones desean sumarse a este proyecto. </w:t>
      </w:r>
    </w:p>
    <w:p w:rsidR="00F30CF1" w:rsidRDefault="00F30CF1" w:rsidP="00F30CF1">
      <w:pPr>
        <w:spacing w:line="360" w:lineRule="auto"/>
        <w:ind w:firstLine="708"/>
        <w:jc w:val="both"/>
      </w:pPr>
      <w:r>
        <w:rPr>
          <w:rFonts w:ascii="Arial" w:hAnsi="Arial" w:cs="Arial"/>
          <w:bCs/>
          <w:sz w:val="24"/>
          <w:szCs w:val="24"/>
        </w:rPr>
        <w:t>Ahora bien, al centrarse en la estrategia de implementación y gestión local-comunal del AMPR, es cierto que estas comunidades tenían muy claro cuáles eran sus problemas como sociedad, percibieron una oportunidad de mitigarlos a partir de la creación de una AMPR, por lo que recurrieron a las instancias públicas correspondientes para poder llevar acabo dichas acciones.</w:t>
      </w:r>
    </w:p>
    <w:p w:rsidR="00F30CF1" w:rsidRDefault="00F30CF1" w:rsidP="00F30CF1">
      <w:pPr>
        <w:spacing w:line="360" w:lineRule="auto"/>
        <w:ind w:firstLine="708"/>
        <w:jc w:val="both"/>
      </w:pPr>
      <w:r>
        <w:rPr>
          <w:rFonts w:ascii="Arial" w:hAnsi="Arial" w:cs="Arial"/>
          <w:bCs/>
          <w:sz w:val="24"/>
          <w:szCs w:val="24"/>
        </w:rPr>
        <w:t xml:space="preserve">Luego de que se creara el grupo de trabajo local que gestionó la idea inicial, y presentara la propuesta al INCOPESCA, estas organizaciones locales-comunales siguieron manteniendo el protagonismo en las decisiones y acciones del AMPR ya creada, sin embargo, deben ajustarse a los lineamientos de la institucionalidad pública; a pesar de que estas no dan un acompañamiento real a la gestión local del AMPR. </w:t>
      </w:r>
    </w:p>
    <w:p w:rsidR="00F30CF1" w:rsidRDefault="00F30CF1" w:rsidP="00F30CF1">
      <w:pPr>
        <w:spacing w:line="360" w:lineRule="auto"/>
        <w:ind w:left="708"/>
        <w:jc w:val="both"/>
      </w:pPr>
      <w:r>
        <w:rPr>
          <w:rFonts w:ascii="Arial" w:hAnsi="Arial" w:cs="Arial"/>
          <w:bCs/>
          <w:sz w:val="24"/>
          <w:szCs w:val="24"/>
        </w:rPr>
        <w:t xml:space="preserve">Cuando se creó el área se supone que tenía que haber un comité de seguimiento, es el enlace entre la junta directiva y el área marina pero nunca hicieron un comité de seguimiento para nuestra área inclusive fueron muy pocas áreas marinas que han tenido comités de seguimiento que haya funcionado. (Villareal, comunicación personal, 2019). </w:t>
      </w:r>
    </w:p>
    <w:p w:rsidR="00F30CF1" w:rsidRDefault="00F30CF1" w:rsidP="00F30CF1">
      <w:pPr>
        <w:spacing w:line="360" w:lineRule="auto"/>
        <w:ind w:firstLine="708"/>
        <w:jc w:val="both"/>
      </w:pPr>
      <w:r>
        <w:rPr>
          <w:rFonts w:ascii="Arial" w:hAnsi="Arial" w:cs="Arial"/>
          <w:bCs/>
          <w:sz w:val="24"/>
          <w:szCs w:val="24"/>
        </w:rPr>
        <w:t xml:space="preserve">El génesis del AMPR radicó en una iniciativa de la sociedad civil de estas comunidades, que mantuvo una dinámica bastante activa e intensa en la etapa previa a la creación. Luego, sus estrategias de implementación y gestión se vieron ajustadas a los lineamientos de la institucionalidad pública, que a pesar de su burocracia, de sus debilidades y de su poco acompañamiento, el comité de gobernanza local del AMPR Paquera-Tambor continua persistente en mantener el funcionamiento de este proyecto para el beneficio de todas las personas locales involucradas. </w:t>
      </w:r>
    </w:p>
    <w:p w:rsidR="00F30CF1" w:rsidRDefault="00F30CF1" w:rsidP="00F30CF1">
      <w:pPr>
        <w:tabs>
          <w:tab w:val="left" w:pos="1260"/>
        </w:tabs>
        <w:rPr>
          <w:rFonts w:ascii="Arial" w:hAnsi="Arial" w:cs="Arial"/>
          <w:sz w:val="24"/>
          <w:szCs w:val="24"/>
        </w:rPr>
      </w:pPr>
    </w:p>
    <w:p w:rsidR="00F30CF1" w:rsidRDefault="00F30CF1" w:rsidP="00F30CF1">
      <w:pPr>
        <w:spacing w:line="360" w:lineRule="auto"/>
        <w:jc w:val="both"/>
        <w:rPr>
          <w:rFonts w:ascii="Arial" w:hAnsi="Arial" w:cs="Arial"/>
          <w:b/>
          <w:bCs/>
          <w:sz w:val="24"/>
          <w:szCs w:val="24"/>
        </w:rPr>
      </w:pPr>
      <w:r>
        <w:rPr>
          <w:rFonts w:ascii="Arial" w:hAnsi="Arial" w:cs="Arial"/>
          <w:b/>
          <w:bCs/>
          <w:sz w:val="24"/>
          <w:szCs w:val="24"/>
        </w:rPr>
        <w:lastRenderedPageBreak/>
        <w:t>Otras acciones desarrolladas por la localidad luego de la creación del AMPR</w:t>
      </w:r>
    </w:p>
    <w:p w:rsidR="00F30CF1" w:rsidRDefault="00F30CF1" w:rsidP="00F30CF1">
      <w:pPr>
        <w:spacing w:line="360" w:lineRule="auto"/>
        <w:ind w:firstLine="708"/>
        <w:jc w:val="both"/>
      </w:pPr>
      <w:r>
        <w:rPr>
          <w:rFonts w:ascii="Arial" w:hAnsi="Arial" w:cs="Arial"/>
          <w:bCs/>
          <w:sz w:val="24"/>
          <w:szCs w:val="24"/>
        </w:rPr>
        <w:t xml:space="preserve">En ese punto se abordarán algunas estrategias desarrolladas por las mismas comunidades que componen el AMPR luego de la creación de la misma. Analizando detalladamente estas nuevas acciones para incidir en sus propias realidades. </w:t>
      </w:r>
    </w:p>
    <w:p w:rsidR="00F30CF1" w:rsidRDefault="00F30CF1" w:rsidP="00F30CF1">
      <w:pPr>
        <w:spacing w:line="360" w:lineRule="auto"/>
        <w:ind w:firstLine="708"/>
        <w:jc w:val="both"/>
      </w:pPr>
      <w:r>
        <w:rPr>
          <w:rFonts w:ascii="Arial" w:hAnsi="Arial" w:cs="Arial"/>
          <w:bCs/>
          <w:sz w:val="24"/>
          <w:szCs w:val="24"/>
        </w:rPr>
        <w:t xml:space="preserve">Resulta relevante destacar que estas acciones locales posteriores a la creación del AMPR se vinculan con la categoría teórica de análisis de la planificación local, ya que desde esta investigación se percibe la planificación local como esos esfuerzos desarrollados por los actores locales dentro de sus realidades y necesidades, sin que exista desde el punto de inicio una presencia institucional. </w:t>
      </w:r>
    </w:p>
    <w:p w:rsidR="00F30CF1" w:rsidRDefault="00F30CF1" w:rsidP="00F30CF1">
      <w:pPr>
        <w:spacing w:line="360" w:lineRule="auto"/>
        <w:ind w:firstLine="708"/>
        <w:jc w:val="both"/>
      </w:pPr>
      <w:r>
        <w:rPr>
          <w:rFonts w:ascii="Arial" w:hAnsi="Arial" w:cs="Arial"/>
          <w:bCs/>
          <w:sz w:val="24"/>
          <w:szCs w:val="24"/>
        </w:rPr>
        <w:t xml:space="preserve">A continuación se presenta una figura que resumen las tres estrategias locales más importantes desarrolladas en las comunidades que componen el AMPR Paquera-Tambor luego de su creación. </w:t>
      </w:r>
    </w:p>
    <w:p w:rsidR="00F30CF1" w:rsidRDefault="00F30CF1" w:rsidP="00F30CF1">
      <w:pPr>
        <w:tabs>
          <w:tab w:val="left" w:pos="1260"/>
        </w:tabs>
        <w:rPr>
          <w:rFonts w:ascii="Arial" w:hAnsi="Arial" w:cs="Arial"/>
          <w:sz w:val="24"/>
          <w:szCs w:val="24"/>
        </w:rPr>
      </w:pPr>
      <w:r>
        <w:rPr>
          <w:noProof/>
          <w:lang w:eastAsia="es-CR"/>
        </w:rPr>
        <w:drawing>
          <wp:anchor distT="0" distB="0" distL="114300" distR="114300" simplePos="0" relativeHeight="251672576" behindDoc="0" locked="0" layoutInCell="1" allowOverlap="1" wp14:anchorId="35CFFCD7" wp14:editId="0723A52E">
            <wp:simplePos x="0" y="0"/>
            <wp:positionH relativeFrom="margin">
              <wp:align>center</wp:align>
            </wp:positionH>
            <wp:positionV relativeFrom="margin">
              <wp:posOffset>3571240</wp:posOffset>
            </wp:positionV>
            <wp:extent cx="3933825" cy="3762375"/>
            <wp:effectExtent l="0" t="0" r="9525" b="9525"/>
            <wp:wrapTopAndBottom/>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5">
                      <a:extLst>
                        <a:ext uri="{28A0092B-C50C-407E-A947-70E740481C1C}">
                          <a14:useLocalDpi xmlns:a14="http://schemas.microsoft.com/office/drawing/2010/main" val="0"/>
                        </a:ext>
                      </a:extLst>
                    </a:blip>
                    <a:stretch>
                      <a:fillRect/>
                    </a:stretch>
                  </pic:blipFill>
                  <pic:spPr>
                    <a:xfrm>
                      <a:off x="0" y="0"/>
                      <a:ext cx="3933825" cy="3762375"/>
                    </a:xfrm>
                    <a:prstGeom prst="rect">
                      <a:avLst/>
                    </a:prstGeom>
                  </pic:spPr>
                </pic:pic>
              </a:graphicData>
            </a:graphic>
            <wp14:sizeRelH relativeFrom="page">
              <wp14:pctWidth>0</wp14:pctWidth>
            </wp14:sizeRelH>
            <wp14:sizeRelV relativeFrom="page">
              <wp14:pctHeight>0</wp14:pctHeight>
            </wp14:sizeRelV>
          </wp:anchor>
        </w:drawing>
      </w:r>
    </w:p>
    <w:p w:rsidR="00F30CF1" w:rsidRDefault="00F30CF1" w:rsidP="00F30CF1">
      <w:pPr>
        <w:rPr>
          <w:rFonts w:ascii="Arial" w:hAnsi="Arial" w:cs="Arial"/>
          <w:sz w:val="24"/>
          <w:szCs w:val="24"/>
        </w:rPr>
      </w:pPr>
      <w:r>
        <w:rPr>
          <w:rFonts w:ascii="Arial" w:hAnsi="Arial" w:cs="Arial"/>
          <w:sz w:val="24"/>
          <w:szCs w:val="24"/>
        </w:rPr>
        <w:br w:type="page"/>
      </w:r>
    </w:p>
    <w:p w:rsidR="00F30CF1" w:rsidRDefault="00F30CF1" w:rsidP="00F30CF1">
      <w:pPr>
        <w:pStyle w:val="Prrafodelista"/>
        <w:numPr>
          <w:ilvl w:val="0"/>
          <w:numId w:val="26"/>
        </w:numPr>
        <w:tabs>
          <w:tab w:val="left" w:pos="4900"/>
        </w:tabs>
        <w:jc w:val="both"/>
      </w:pPr>
      <w:r>
        <w:rPr>
          <w:rFonts w:ascii="Arial" w:hAnsi="Arial" w:cs="Arial"/>
          <w:b/>
          <w:sz w:val="24"/>
          <w:szCs w:val="24"/>
        </w:rPr>
        <w:lastRenderedPageBreak/>
        <w:t>Centros de acopio</w:t>
      </w:r>
    </w:p>
    <w:p w:rsidR="00F30CF1" w:rsidRDefault="00F30CF1" w:rsidP="00F30CF1">
      <w:pPr>
        <w:spacing w:line="360" w:lineRule="auto"/>
        <w:ind w:firstLine="708"/>
        <w:jc w:val="both"/>
        <w:rPr>
          <w:rFonts w:ascii="Arial" w:hAnsi="Arial" w:cs="Arial"/>
          <w:bCs/>
          <w:sz w:val="24"/>
          <w:szCs w:val="24"/>
        </w:rPr>
      </w:pPr>
      <w:r>
        <w:rPr>
          <w:rFonts w:ascii="Arial" w:hAnsi="Arial" w:cs="Arial"/>
          <w:bCs/>
          <w:sz w:val="24"/>
          <w:szCs w:val="24"/>
        </w:rPr>
        <w:t>Estas acciones locales corresponden a la creación de centros de acopio para almacenar el pescado y así lograr una mayor comercialización del producto aferrándose a las premisas de la sostenibilidad de la pesca responsable y el cumplimiento de las normas de los procesos de manejo de comercialización.</w:t>
      </w:r>
    </w:p>
    <w:p w:rsidR="00F30CF1" w:rsidRDefault="00F30CF1" w:rsidP="00F30CF1">
      <w:pPr>
        <w:spacing w:line="360" w:lineRule="auto"/>
        <w:ind w:firstLine="708"/>
        <w:jc w:val="both"/>
      </w:pPr>
      <w:r>
        <w:rPr>
          <w:rFonts w:ascii="Arial" w:hAnsi="Arial" w:cs="Arial"/>
          <w:sz w:val="24"/>
          <w:szCs w:val="24"/>
        </w:rPr>
        <w:t xml:space="preserve">Solo cuatro comunidades de las que forman parte del AMPR cuentan con al menos un centro de acopio, algunos de estos centros son de carácter privado o perteneciente a una organización de pescadores (POP, 2014, p. 41). De seguido, se enlistan los centros de acopio vigentes: </w:t>
      </w:r>
    </w:p>
    <w:p w:rsidR="00F30CF1" w:rsidRDefault="00F30CF1" w:rsidP="00F30CF1">
      <w:pPr>
        <w:pStyle w:val="Prrafodelista"/>
        <w:numPr>
          <w:ilvl w:val="1"/>
          <w:numId w:val="28"/>
        </w:numPr>
        <w:tabs>
          <w:tab w:val="left" w:pos="4900"/>
        </w:tabs>
        <w:spacing w:before="240" w:line="360" w:lineRule="auto"/>
        <w:jc w:val="both"/>
        <w:rPr>
          <w:rFonts w:ascii="Arial" w:hAnsi="Arial" w:cs="Arial"/>
          <w:sz w:val="24"/>
          <w:szCs w:val="24"/>
        </w:rPr>
      </w:pPr>
      <w:r>
        <w:rPr>
          <w:rFonts w:ascii="Arial" w:hAnsi="Arial" w:cs="Arial"/>
          <w:sz w:val="24"/>
          <w:szCs w:val="24"/>
        </w:rPr>
        <w:t>Centro de Acopio en Tambor.</w:t>
      </w:r>
    </w:p>
    <w:p w:rsidR="00F30CF1" w:rsidRDefault="00F30CF1" w:rsidP="00F30CF1">
      <w:pPr>
        <w:pStyle w:val="Prrafodelista"/>
        <w:numPr>
          <w:ilvl w:val="1"/>
          <w:numId w:val="28"/>
        </w:numPr>
        <w:tabs>
          <w:tab w:val="left" w:pos="4900"/>
        </w:tabs>
        <w:spacing w:before="240" w:line="360" w:lineRule="auto"/>
        <w:jc w:val="both"/>
        <w:rPr>
          <w:rFonts w:ascii="Arial" w:hAnsi="Arial" w:cs="Arial"/>
          <w:sz w:val="24"/>
          <w:szCs w:val="24"/>
        </w:rPr>
      </w:pPr>
      <w:r>
        <w:rPr>
          <w:rFonts w:ascii="Arial" w:hAnsi="Arial" w:cs="Arial"/>
          <w:sz w:val="24"/>
          <w:szCs w:val="24"/>
        </w:rPr>
        <w:t xml:space="preserve">Centro de Acopio en Pochote. </w:t>
      </w:r>
    </w:p>
    <w:p w:rsidR="00F30CF1" w:rsidRDefault="00F30CF1" w:rsidP="00F30CF1">
      <w:pPr>
        <w:pStyle w:val="Prrafodelista"/>
        <w:numPr>
          <w:ilvl w:val="1"/>
          <w:numId w:val="28"/>
        </w:numPr>
        <w:tabs>
          <w:tab w:val="left" w:pos="4900"/>
        </w:tabs>
        <w:spacing w:before="240" w:line="360" w:lineRule="auto"/>
        <w:jc w:val="both"/>
        <w:rPr>
          <w:rFonts w:ascii="Arial" w:hAnsi="Arial" w:cs="Arial"/>
          <w:sz w:val="24"/>
          <w:szCs w:val="24"/>
        </w:rPr>
      </w:pPr>
      <w:r>
        <w:rPr>
          <w:rFonts w:ascii="Arial" w:hAnsi="Arial" w:cs="Arial"/>
          <w:sz w:val="24"/>
          <w:szCs w:val="24"/>
        </w:rPr>
        <w:t xml:space="preserve">Centro de Acopio en Isla Cedros. </w:t>
      </w:r>
    </w:p>
    <w:p w:rsidR="00F30CF1" w:rsidRDefault="00F30CF1" w:rsidP="00F30CF1">
      <w:pPr>
        <w:pStyle w:val="Prrafodelista"/>
        <w:numPr>
          <w:ilvl w:val="1"/>
          <w:numId w:val="28"/>
        </w:numPr>
        <w:tabs>
          <w:tab w:val="left" w:pos="4900"/>
        </w:tabs>
        <w:spacing w:before="240" w:line="360" w:lineRule="auto"/>
        <w:jc w:val="both"/>
        <w:rPr>
          <w:rFonts w:ascii="Arial" w:hAnsi="Arial" w:cs="Arial"/>
          <w:sz w:val="24"/>
          <w:szCs w:val="24"/>
        </w:rPr>
      </w:pPr>
      <w:r>
        <w:rPr>
          <w:rFonts w:ascii="Arial" w:hAnsi="Arial" w:cs="Arial"/>
          <w:sz w:val="24"/>
          <w:szCs w:val="24"/>
        </w:rPr>
        <w:t xml:space="preserve">Centro de Acopio Relleno del Ferry. </w:t>
      </w:r>
    </w:p>
    <w:p w:rsidR="00F30CF1" w:rsidRDefault="00F30CF1" w:rsidP="00F30CF1">
      <w:pPr>
        <w:spacing w:line="360" w:lineRule="auto"/>
        <w:ind w:firstLine="708"/>
        <w:jc w:val="both"/>
      </w:pPr>
      <w:r>
        <w:rPr>
          <w:rFonts w:ascii="Arial" w:hAnsi="Arial" w:cs="Arial"/>
          <w:bCs/>
          <w:sz w:val="24"/>
          <w:szCs w:val="24"/>
        </w:rPr>
        <w:t>De los centro anteriormente mencionados, únicamente el ubicado en el Relleno del Ferry en Paquera corresponde a una iniciativa comunal. Este centro presenta una infraestructura acondicionada para tales fines (POP, 2014, p. 41).</w:t>
      </w:r>
    </w:p>
    <w:p w:rsidR="00F30CF1" w:rsidRDefault="00F30CF1" w:rsidP="00F30CF1">
      <w:pPr>
        <w:spacing w:line="360" w:lineRule="auto"/>
        <w:ind w:firstLine="708"/>
        <w:jc w:val="both"/>
      </w:pPr>
      <w:r>
        <w:rPr>
          <w:rFonts w:ascii="Arial" w:hAnsi="Arial" w:cs="Arial"/>
          <w:bCs/>
          <w:sz w:val="24"/>
          <w:szCs w:val="24"/>
        </w:rPr>
        <w:t>La lógica de este proyecto radica en que las mismas organizaciones comunales, en este caso la Cooperativa de Productores Marinos Responsables R.L (COOPEPROMAR), buscan comercializar por sus propios medios los productos y evitar depositar el pescado en otros centros intermediarios, donde se les pagan de manera poco racional por su trabajo.</w:t>
      </w:r>
    </w:p>
    <w:p w:rsidR="00F30CF1" w:rsidRDefault="00F30CF1" w:rsidP="00F30CF1">
      <w:pPr>
        <w:spacing w:line="360" w:lineRule="auto"/>
        <w:ind w:firstLine="708"/>
        <w:jc w:val="both"/>
      </w:pPr>
      <w:r>
        <w:rPr>
          <w:rFonts w:ascii="Arial" w:hAnsi="Arial" w:cs="Arial"/>
          <w:bCs/>
          <w:sz w:val="24"/>
          <w:szCs w:val="24"/>
        </w:rPr>
        <w:t>Estos centros de acopio se ubican, en su mayoría, cerca de las costas donde las personas pescadoras pueden depositar su producto de manera directa, manteniendo el pescado en mejores condiciones, disminuyendo los tiempos de entrega, además se reducen algunos de los gastos como la gasolina y por supuesto, se maximizan los beneficios y la calidad de vida de los pescadores.</w:t>
      </w:r>
    </w:p>
    <w:p w:rsidR="00F30CF1" w:rsidRDefault="00F30CF1" w:rsidP="00F30CF1">
      <w:pPr>
        <w:spacing w:line="360" w:lineRule="auto"/>
        <w:ind w:firstLine="708"/>
        <w:jc w:val="both"/>
      </w:pPr>
      <w:r>
        <w:rPr>
          <w:rFonts w:ascii="Arial" w:hAnsi="Arial" w:cs="Arial"/>
          <w:bCs/>
          <w:sz w:val="24"/>
          <w:szCs w:val="24"/>
        </w:rPr>
        <w:t xml:space="preserve">Según un diagnóstico del año 2017 para esta iniciativa local desarrollada por Morales, S. Rojas, C &amp; Solano, D. se señala que el financiamiento de este proyecto </w:t>
      </w:r>
      <w:r>
        <w:rPr>
          <w:rFonts w:ascii="Arial" w:hAnsi="Arial" w:cs="Arial"/>
          <w:bCs/>
          <w:sz w:val="24"/>
          <w:szCs w:val="24"/>
        </w:rPr>
        <w:lastRenderedPageBreak/>
        <w:t xml:space="preserve">fue por parte del Fondo para el Medio Ambiente Mundial (FMAM) por medio del Banco Interamericano de Desarrollo (BID). Desde las perspectivas teóricas, estas iniciativas presentan un esfuerzo comunal para desarrollar dichos proyectos, que se materializan gracias a financiamientos institucionales, en este caso internacionales; pero sin dejar de lado que realmente fue un esfuerzo de la localidad, que se evidencia una vez más las gestiones de gobernanza alrededor del AMPR. </w:t>
      </w:r>
    </w:p>
    <w:p w:rsidR="00F30CF1" w:rsidRDefault="00F30CF1" w:rsidP="00F30CF1">
      <w:pPr>
        <w:pStyle w:val="Prrafodelista"/>
        <w:numPr>
          <w:ilvl w:val="0"/>
          <w:numId w:val="26"/>
        </w:numPr>
        <w:tabs>
          <w:tab w:val="left" w:pos="4900"/>
        </w:tabs>
        <w:spacing w:line="360" w:lineRule="auto"/>
        <w:jc w:val="both"/>
        <w:rPr>
          <w:rFonts w:ascii="Arial" w:hAnsi="Arial" w:cs="Arial"/>
          <w:b/>
          <w:sz w:val="24"/>
          <w:szCs w:val="24"/>
        </w:rPr>
      </w:pPr>
      <w:r>
        <w:rPr>
          <w:rFonts w:ascii="Arial" w:hAnsi="Arial" w:cs="Arial"/>
          <w:b/>
          <w:sz w:val="24"/>
          <w:szCs w:val="24"/>
        </w:rPr>
        <w:t>Planta procesadora</w:t>
      </w:r>
    </w:p>
    <w:p w:rsidR="00F30CF1" w:rsidRDefault="00F30CF1" w:rsidP="00F30CF1">
      <w:pPr>
        <w:spacing w:line="360" w:lineRule="auto"/>
        <w:ind w:firstLine="708"/>
        <w:jc w:val="both"/>
        <w:rPr>
          <w:rFonts w:ascii="Arial" w:hAnsi="Arial" w:cs="Arial"/>
          <w:bCs/>
          <w:sz w:val="24"/>
          <w:szCs w:val="24"/>
        </w:rPr>
      </w:pPr>
      <w:r>
        <w:rPr>
          <w:rFonts w:ascii="Arial" w:hAnsi="Arial" w:cs="Arial"/>
          <w:bCs/>
          <w:sz w:val="24"/>
          <w:szCs w:val="24"/>
        </w:rPr>
        <w:t>Corresponde a otra acción o proyecto local desarrollado principalmente por COOPEPROMAR RL, el cual, una parte fue financiada por el Ministerio de Agricultura y Ganadería por un monto de ¢70.000.000 y, la otra, por la iniciativa y esfuerzo de la cooperativa en el año 2018.</w:t>
      </w:r>
    </w:p>
    <w:p w:rsidR="00F30CF1" w:rsidRDefault="00F30CF1" w:rsidP="00F30CF1">
      <w:pPr>
        <w:spacing w:line="360" w:lineRule="auto"/>
        <w:ind w:firstLine="708"/>
        <w:jc w:val="both"/>
      </w:pPr>
      <w:r>
        <w:rPr>
          <w:rFonts w:ascii="Arial" w:hAnsi="Arial" w:cs="Arial"/>
          <w:bCs/>
          <w:sz w:val="24"/>
          <w:szCs w:val="24"/>
        </w:rPr>
        <w:t xml:space="preserve">La naturaleza de este proyecto radica en mejorar el proceso de competitividad del pescado en esta zona, además la planta cumple con todas las regulaciones nacionales y permite un proceso del producto que es extraído del mar de manera eficiente y sostenible, el cual ofrece el producto directamente a los clientes (Ministerio de Agricultura y Ganadería, 2018). </w:t>
      </w:r>
    </w:p>
    <w:p w:rsidR="00F30CF1" w:rsidRDefault="00F30CF1" w:rsidP="00F30CF1">
      <w:pPr>
        <w:spacing w:line="360" w:lineRule="auto"/>
        <w:ind w:firstLine="708"/>
        <w:jc w:val="both"/>
      </w:pPr>
      <w:r>
        <w:rPr>
          <w:rFonts w:ascii="Arial" w:hAnsi="Arial" w:cs="Arial"/>
          <w:bCs/>
          <w:sz w:val="24"/>
          <w:szCs w:val="24"/>
        </w:rPr>
        <w:t>Por otra parte, Schutt, L. (2020) menciona algunas de las acciones y negociaciones con instituciones que sostuvo COOPEPROMAR para el desarrollo de este proyecto</w:t>
      </w:r>
    </w:p>
    <w:p w:rsidR="00F30CF1" w:rsidRDefault="00F30CF1" w:rsidP="00F30CF1">
      <w:pPr>
        <w:spacing w:before="240" w:line="360" w:lineRule="auto"/>
        <w:ind w:left="708"/>
        <w:jc w:val="both"/>
      </w:pPr>
      <w:r>
        <w:rPr>
          <w:rFonts w:ascii="Arial" w:hAnsi="Arial" w:cs="Arial"/>
          <w:sz w:val="24"/>
          <w:szCs w:val="24"/>
        </w:rPr>
        <w:t>Este proyecto inicialmente lo iba a financiar el INDER por solicitud de la administración del AMPR, el proyecto pretendía tener una infraestructura de 320 metros cuadrados con todas las condiciones y sus estándares, pensando incluso en la exportación de productos. Sin embargo, por tema de costos el INDER se alejó, ya que el monto presupuestado rondaba los $200.000. Entonces se inclinó por pedirle ayuda al MAG, el cual en esta ocasión solo financiaban el equipamiento por ¢70 millones, entonces la cooperativa hizo un gran esfuerzo para culminar lo que se tiene actualmente, el cual es una infraestructura de al menos 90 metros cuadrados, cumpliendo con los requisitos de SENASA e INCOPESCA. (Comunicación personal, 2020)</w:t>
      </w:r>
    </w:p>
    <w:p w:rsidR="00F30CF1" w:rsidRDefault="00F30CF1" w:rsidP="00F30CF1">
      <w:pPr>
        <w:spacing w:line="360" w:lineRule="auto"/>
        <w:ind w:firstLine="708"/>
        <w:jc w:val="both"/>
        <w:rPr>
          <w:rFonts w:ascii="Arial" w:hAnsi="Arial" w:cs="Arial"/>
          <w:bCs/>
          <w:sz w:val="24"/>
          <w:szCs w:val="24"/>
        </w:rPr>
      </w:pPr>
      <w:r>
        <w:rPr>
          <w:rFonts w:ascii="Arial" w:hAnsi="Arial" w:cs="Arial"/>
          <w:bCs/>
          <w:sz w:val="24"/>
          <w:szCs w:val="24"/>
        </w:rPr>
        <w:lastRenderedPageBreak/>
        <w:t xml:space="preserve">La iniciativa local siempre fue ambiciosa y/o anhelosa, incluso se pensó hasta en exportar el producto; sin embargo se toparon con los procesos burocráticos del Estado y en este caso, se ajustaron al presupuesto impuesto por el MAG y desarrollaron la planta que actualmente está en funcionamiento. </w:t>
      </w:r>
    </w:p>
    <w:p w:rsidR="00F30CF1" w:rsidRDefault="00F30CF1" w:rsidP="00F30CF1">
      <w:pPr>
        <w:spacing w:line="360" w:lineRule="auto"/>
        <w:ind w:firstLine="708"/>
        <w:jc w:val="both"/>
        <w:rPr>
          <w:rFonts w:ascii="Arial" w:hAnsi="Arial" w:cs="Arial"/>
          <w:bCs/>
          <w:sz w:val="24"/>
          <w:szCs w:val="24"/>
        </w:rPr>
      </w:pPr>
      <w:r>
        <w:rPr>
          <w:rFonts w:ascii="Arial" w:hAnsi="Arial" w:cs="Arial"/>
          <w:bCs/>
          <w:sz w:val="24"/>
          <w:szCs w:val="24"/>
        </w:rPr>
        <w:t xml:space="preserve">Según González, P. Porras, J &amp; Solís, O (2018), en un diagnóstico realizado en el marco de la práctica profesional de la EPPS en la zona de Paquera y, específicamente, en el proyecto de la planta procesadora, los principales problemas que fundamentaron la creación de este proyecto son: </w:t>
      </w:r>
    </w:p>
    <w:p w:rsidR="00F30CF1" w:rsidRDefault="00F30CF1" w:rsidP="00F30CF1">
      <w:pPr>
        <w:pStyle w:val="Prrafodelista"/>
        <w:numPr>
          <w:ilvl w:val="0"/>
          <w:numId w:val="26"/>
        </w:numPr>
        <w:tabs>
          <w:tab w:val="left" w:pos="4900"/>
        </w:tabs>
        <w:spacing w:after="158" w:line="360" w:lineRule="auto"/>
        <w:ind w:left="691"/>
        <w:jc w:val="both"/>
        <w:rPr>
          <w:rFonts w:ascii="Arial" w:hAnsi="Arial" w:cs="Arial"/>
          <w:sz w:val="24"/>
          <w:szCs w:val="24"/>
        </w:rPr>
      </w:pPr>
      <w:r>
        <w:rPr>
          <w:rFonts w:ascii="Arial" w:hAnsi="Arial" w:cs="Arial"/>
          <w:sz w:val="24"/>
          <w:szCs w:val="24"/>
        </w:rPr>
        <w:t xml:space="preserve">Pérdida constante de posibles compradores. </w:t>
      </w:r>
    </w:p>
    <w:p w:rsidR="00F30CF1" w:rsidRDefault="00F30CF1" w:rsidP="00F30CF1">
      <w:pPr>
        <w:pStyle w:val="Prrafodelista"/>
        <w:numPr>
          <w:ilvl w:val="0"/>
          <w:numId w:val="26"/>
        </w:numPr>
        <w:tabs>
          <w:tab w:val="left" w:pos="4900"/>
        </w:tabs>
        <w:spacing w:after="158" w:line="360" w:lineRule="auto"/>
        <w:ind w:left="691"/>
        <w:jc w:val="both"/>
        <w:rPr>
          <w:rFonts w:ascii="Arial" w:hAnsi="Arial" w:cs="Arial"/>
          <w:sz w:val="24"/>
          <w:szCs w:val="24"/>
        </w:rPr>
      </w:pPr>
      <w:r>
        <w:rPr>
          <w:rFonts w:ascii="Arial" w:hAnsi="Arial" w:cs="Arial"/>
          <w:sz w:val="24"/>
          <w:szCs w:val="24"/>
        </w:rPr>
        <w:t xml:space="preserve">No existe una generación de un ingreso adecuado. </w:t>
      </w:r>
    </w:p>
    <w:p w:rsidR="00F30CF1" w:rsidRDefault="00F30CF1" w:rsidP="00F30CF1">
      <w:pPr>
        <w:pStyle w:val="Prrafodelista"/>
        <w:numPr>
          <w:ilvl w:val="0"/>
          <w:numId w:val="26"/>
        </w:numPr>
        <w:tabs>
          <w:tab w:val="left" w:pos="4900"/>
        </w:tabs>
        <w:spacing w:after="158" w:line="360" w:lineRule="auto"/>
        <w:ind w:left="691"/>
        <w:jc w:val="both"/>
        <w:rPr>
          <w:rFonts w:ascii="Arial" w:hAnsi="Arial" w:cs="Arial"/>
          <w:sz w:val="24"/>
          <w:szCs w:val="24"/>
        </w:rPr>
      </w:pPr>
      <w:r>
        <w:rPr>
          <w:rFonts w:ascii="Arial" w:hAnsi="Arial" w:cs="Arial"/>
          <w:sz w:val="24"/>
          <w:szCs w:val="24"/>
        </w:rPr>
        <w:t xml:space="preserve">Perdida de productos atractivos para el mercado. </w:t>
      </w:r>
    </w:p>
    <w:p w:rsidR="00F30CF1" w:rsidRDefault="00F30CF1" w:rsidP="00F30CF1">
      <w:pPr>
        <w:pStyle w:val="Prrafodelista"/>
        <w:numPr>
          <w:ilvl w:val="0"/>
          <w:numId w:val="26"/>
        </w:numPr>
        <w:tabs>
          <w:tab w:val="left" w:pos="4900"/>
        </w:tabs>
        <w:spacing w:after="158" w:line="360" w:lineRule="auto"/>
        <w:ind w:left="691"/>
        <w:jc w:val="both"/>
        <w:rPr>
          <w:rFonts w:ascii="Arial" w:hAnsi="Arial" w:cs="Arial"/>
          <w:sz w:val="24"/>
          <w:szCs w:val="24"/>
        </w:rPr>
      </w:pPr>
      <w:r>
        <w:rPr>
          <w:rFonts w:ascii="Arial" w:hAnsi="Arial" w:cs="Arial"/>
          <w:sz w:val="24"/>
          <w:szCs w:val="24"/>
        </w:rPr>
        <w:t xml:space="preserve">Mal manejo de los recursos. </w:t>
      </w:r>
    </w:p>
    <w:p w:rsidR="00F30CF1" w:rsidRDefault="00F30CF1" w:rsidP="00F30CF1">
      <w:pPr>
        <w:pStyle w:val="Prrafodelista"/>
        <w:numPr>
          <w:ilvl w:val="0"/>
          <w:numId w:val="26"/>
        </w:numPr>
        <w:tabs>
          <w:tab w:val="left" w:pos="4900"/>
        </w:tabs>
        <w:spacing w:after="158" w:line="360" w:lineRule="auto"/>
        <w:ind w:left="691"/>
        <w:jc w:val="both"/>
        <w:rPr>
          <w:rFonts w:ascii="Arial" w:hAnsi="Arial" w:cs="Arial"/>
          <w:sz w:val="24"/>
          <w:szCs w:val="24"/>
        </w:rPr>
      </w:pPr>
      <w:r>
        <w:rPr>
          <w:rFonts w:ascii="Arial" w:hAnsi="Arial" w:cs="Arial"/>
          <w:sz w:val="24"/>
          <w:szCs w:val="24"/>
        </w:rPr>
        <w:t xml:space="preserve">Limitantes a la hora de ofrecer los productos. </w:t>
      </w:r>
    </w:p>
    <w:p w:rsidR="00F30CF1" w:rsidRDefault="00F30CF1" w:rsidP="00F30CF1">
      <w:pPr>
        <w:spacing w:line="360" w:lineRule="auto"/>
        <w:ind w:firstLine="708"/>
        <w:jc w:val="both"/>
        <w:rPr>
          <w:rFonts w:ascii="Arial" w:hAnsi="Arial" w:cs="Arial"/>
          <w:bCs/>
          <w:sz w:val="24"/>
          <w:szCs w:val="24"/>
        </w:rPr>
      </w:pPr>
      <w:r>
        <w:rPr>
          <w:rFonts w:ascii="Arial" w:hAnsi="Arial" w:cs="Arial"/>
          <w:bCs/>
          <w:sz w:val="24"/>
          <w:szCs w:val="24"/>
        </w:rPr>
        <w:t xml:space="preserve">Es destacable el accionar local en todo este proceso integral del AMPR. Como se ha subrayado en otros apartados, el objetivo inicial de la creación del Área respondía a preservar los recursos marinos de la zona; sin embargo después de gestionada esta fase del proyecto, las comunidades desarrollaron estrategias como la de la planta de procesos, que responde principalmente a la incorporación del mercado de pescado en la península de forma directa y sostenible, además de ir creando una cultura de preservación de los recursos en las personas de estas comunidades.  </w:t>
      </w:r>
    </w:p>
    <w:p w:rsidR="00F30CF1" w:rsidRDefault="00F30CF1" w:rsidP="00F30CF1">
      <w:pPr>
        <w:spacing w:line="360" w:lineRule="auto"/>
        <w:ind w:firstLine="708"/>
        <w:jc w:val="both"/>
        <w:rPr>
          <w:rFonts w:ascii="Arial" w:hAnsi="Arial" w:cs="Arial"/>
          <w:bCs/>
          <w:sz w:val="24"/>
          <w:szCs w:val="24"/>
        </w:rPr>
      </w:pPr>
      <w:r>
        <w:rPr>
          <w:rFonts w:ascii="Arial" w:hAnsi="Arial" w:cs="Arial"/>
          <w:bCs/>
          <w:sz w:val="24"/>
          <w:szCs w:val="24"/>
        </w:rPr>
        <w:t xml:space="preserve">Este llamado a entender que desde lo local se pueden abordar estrategias de desarrollo, como ha sucedido en las comunidades que componen el AMPR, responde a dejar de lado el papel centralista y conservador que muchas veces poseen las instituciones públicas a la hora de “intervenir” en el espacio local, como señala Hahbel, R (s.f.), no debe de existir una planificación autoritaria que niega a la personas de participar, sino más bien que sean las personas afectadas quienes se pronuncien directamente (p. 3-4). </w:t>
      </w:r>
    </w:p>
    <w:p w:rsidR="00F30CF1" w:rsidRPr="003116B9" w:rsidRDefault="00F30CF1" w:rsidP="00F30CF1">
      <w:pPr>
        <w:spacing w:line="360" w:lineRule="auto"/>
        <w:ind w:firstLine="708"/>
        <w:jc w:val="both"/>
        <w:rPr>
          <w:rFonts w:ascii="Calibri" w:hAnsi="Calibri" w:cs="DejaVu Sans"/>
        </w:rPr>
      </w:pPr>
    </w:p>
    <w:p w:rsidR="00F30CF1" w:rsidRDefault="00F30CF1" w:rsidP="00F30CF1">
      <w:pPr>
        <w:pStyle w:val="Prrafodelista"/>
        <w:numPr>
          <w:ilvl w:val="0"/>
          <w:numId w:val="26"/>
        </w:numPr>
        <w:tabs>
          <w:tab w:val="left" w:pos="4900"/>
        </w:tabs>
        <w:spacing w:line="360" w:lineRule="auto"/>
        <w:jc w:val="both"/>
        <w:rPr>
          <w:rFonts w:ascii="Arial" w:hAnsi="Arial" w:cs="Arial"/>
          <w:b/>
          <w:sz w:val="24"/>
          <w:szCs w:val="24"/>
        </w:rPr>
      </w:pPr>
      <w:r>
        <w:rPr>
          <w:rFonts w:ascii="Arial" w:hAnsi="Arial" w:cs="Arial"/>
          <w:b/>
          <w:sz w:val="24"/>
          <w:szCs w:val="24"/>
        </w:rPr>
        <w:lastRenderedPageBreak/>
        <w:t>Mercadito Santa Teresa</w:t>
      </w:r>
    </w:p>
    <w:p w:rsidR="00F30CF1" w:rsidRDefault="00F30CF1" w:rsidP="00F30CF1">
      <w:pPr>
        <w:spacing w:line="360" w:lineRule="auto"/>
        <w:ind w:firstLine="708"/>
        <w:jc w:val="both"/>
        <w:rPr>
          <w:rFonts w:ascii="Arial" w:hAnsi="Arial" w:cs="Arial"/>
          <w:bCs/>
          <w:sz w:val="24"/>
          <w:szCs w:val="24"/>
        </w:rPr>
      </w:pPr>
      <w:r>
        <w:rPr>
          <w:rFonts w:ascii="Arial" w:hAnsi="Arial" w:cs="Arial"/>
          <w:bCs/>
          <w:sz w:val="24"/>
          <w:szCs w:val="24"/>
        </w:rPr>
        <w:t xml:space="preserve">Este es un proyecto local que apenas se encuentra en su génesis. Su concepción nace gracias a la iniciativa del Comité Directivo del Consejo Territorial Peninsular y la gestión del AMPR. La necesidad surge a raíz de un estudio de mercado realizado por estudiantes de la Universidad Nacional. Brenes, J. Murillo J &amp; Padilla, N realizaron una propuesta de perfil del proyecto, en el cual lo definen como </w:t>
      </w:r>
    </w:p>
    <w:p w:rsidR="00F30CF1" w:rsidRDefault="00F30CF1" w:rsidP="00F30CF1">
      <w:pPr>
        <w:tabs>
          <w:tab w:val="left" w:pos="4900"/>
        </w:tabs>
        <w:spacing w:line="360" w:lineRule="auto"/>
        <w:ind w:left="708"/>
        <w:jc w:val="both"/>
      </w:pPr>
      <w:r>
        <w:rPr>
          <w:rFonts w:ascii="Arial" w:hAnsi="Arial" w:cs="Arial"/>
          <w:sz w:val="24"/>
          <w:szCs w:val="24"/>
        </w:rPr>
        <w:t>El proyecto trata sobre un Mercadito en Santa Teresa, Cóbano, que se orienta a comercializar y distribuir el producto pesquero en la Área Marina de Pesca Responsable en Paquera y en las diversas comunidades vecinas de gran atractivo turístico. (p. 2)</w:t>
      </w:r>
    </w:p>
    <w:p w:rsidR="00F30CF1" w:rsidRDefault="00F30CF1" w:rsidP="00F30CF1">
      <w:pPr>
        <w:spacing w:line="360" w:lineRule="auto"/>
        <w:ind w:firstLine="708"/>
        <w:jc w:val="both"/>
        <w:rPr>
          <w:rFonts w:ascii="Arial" w:hAnsi="Arial" w:cs="Arial"/>
          <w:bCs/>
          <w:sz w:val="24"/>
          <w:szCs w:val="24"/>
        </w:rPr>
      </w:pPr>
      <w:r>
        <w:rPr>
          <w:rFonts w:ascii="Arial" w:hAnsi="Arial" w:cs="Arial"/>
          <w:bCs/>
          <w:sz w:val="24"/>
          <w:szCs w:val="24"/>
        </w:rPr>
        <w:t xml:space="preserve">Con esta acción local, se pretende comercializar los recursos pesqueros facilitando así un punto estratégico de venta del pescado de COOPEPROMAR R.L y las distintas Asociaciones de Pescadores vinculadas al AMPR en el cantón de Cobáno, específicamente en la zona conocida como Santa Teresa. </w:t>
      </w:r>
    </w:p>
    <w:p w:rsidR="00F30CF1" w:rsidRDefault="00F30CF1" w:rsidP="00F30CF1">
      <w:pPr>
        <w:tabs>
          <w:tab w:val="left" w:pos="4900"/>
        </w:tabs>
        <w:spacing w:line="360" w:lineRule="auto"/>
        <w:ind w:left="708"/>
        <w:jc w:val="both"/>
      </w:pPr>
      <w:r>
        <w:rPr>
          <w:rFonts w:ascii="Arial" w:hAnsi="Arial" w:cs="Arial"/>
          <w:sz w:val="24"/>
          <w:szCs w:val="24"/>
        </w:rPr>
        <w:t>Desde el enfoque del turismo sostenible este proyecto en el distrito de Cóbano actualmente se dirige a beneficiar y reactivar la economía desde la actividad de pesca responsable desde una estrategia de comercialización en el mercadito de Santa Teresa, un mercado en línea y dando un valor agregado desde el Área Marina de Pesca al Responsable- AMPR al ser un producto que cumple con los lineamientos de pesca responsable. (Brenes, Murillo &amp; Padilla, s.f.)</w:t>
      </w:r>
    </w:p>
    <w:p w:rsidR="00F30CF1" w:rsidRDefault="00F30CF1" w:rsidP="00F30CF1">
      <w:pPr>
        <w:spacing w:line="360" w:lineRule="auto"/>
        <w:ind w:firstLine="708"/>
        <w:jc w:val="both"/>
      </w:pPr>
      <w:r>
        <w:rPr>
          <w:rFonts w:ascii="Arial" w:hAnsi="Arial" w:cs="Arial"/>
          <w:bCs/>
          <w:sz w:val="24"/>
          <w:szCs w:val="24"/>
        </w:rPr>
        <w:t xml:space="preserve">Este mercado ha presentado un trabajoso accionar por parte de la organización local, ya que el proceso inicial ha sido un poco difícil y de mucha negociación con la institucionalidad. Se le realizó la solicitud al INDER, ya que esta institución posee varios lotes en el sector de Cóbano. Primeramente el INDER ofreció un lote de 700 metros cuadrados, pero un inquilino local ocupo la propiedad y esto paralizó la iniciativa en ese lugar. La segunda oferta del INDER era en un lote que colinda con la Fuerza Pública de la zona, sin embargo la intendente de Cóbano </w:t>
      </w:r>
      <w:r>
        <w:rPr>
          <w:rFonts w:ascii="Arial" w:hAnsi="Arial" w:cs="Arial"/>
          <w:bCs/>
          <w:sz w:val="24"/>
          <w:szCs w:val="24"/>
        </w:rPr>
        <w:lastRenderedPageBreak/>
        <w:t xml:space="preserve">se dio cuenta de la intención y no apoyó el proyecto. Por último se está discutiendo que el INDER done 1 000 metros de un lote que posee de 11 000 metros, pero el proceso continuo en discusión (Schutt, comunicación personal, 2020). </w:t>
      </w:r>
    </w:p>
    <w:p w:rsidR="00F30CF1" w:rsidRDefault="00F30CF1" w:rsidP="00F30CF1">
      <w:pPr>
        <w:spacing w:line="360" w:lineRule="auto"/>
        <w:ind w:firstLine="708"/>
        <w:jc w:val="both"/>
        <w:rPr>
          <w:rFonts w:ascii="Arial" w:hAnsi="Arial" w:cs="Arial"/>
          <w:bCs/>
          <w:sz w:val="24"/>
          <w:szCs w:val="24"/>
        </w:rPr>
      </w:pPr>
      <w:r>
        <w:rPr>
          <w:rFonts w:ascii="Arial" w:hAnsi="Arial" w:cs="Arial"/>
          <w:bCs/>
          <w:sz w:val="24"/>
          <w:szCs w:val="24"/>
        </w:rPr>
        <w:t>Este actor local también sostiene que incluso las autoridades de la Municipalidad de Cóbano han pretendido robar la idea del proyecto, pero se teme que este quede exclusivamente para la población de Cóbano y no para todas las otras comunidades que conforman el AMPR.</w:t>
      </w:r>
    </w:p>
    <w:p w:rsidR="00F30CF1" w:rsidRDefault="00F30CF1" w:rsidP="00F30CF1">
      <w:pPr>
        <w:spacing w:line="360" w:lineRule="auto"/>
        <w:ind w:left="708"/>
        <w:jc w:val="both"/>
      </w:pPr>
      <w:r>
        <w:rPr>
          <w:rFonts w:ascii="Arial" w:hAnsi="Arial" w:cs="Arial"/>
          <w:bCs/>
          <w:sz w:val="24"/>
          <w:szCs w:val="24"/>
        </w:rPr>
        <w:t>No queremos darle el concepto de mercado municipal, ya que anteriormente la intendente no quiso, por lo que hay mucho peligro en que algún momento ese mercado sea para los de cobaneños y no para los paquereños. Estamos en negociación con el INCOP, la Municipalidad de Cóbano y el INDER, y ver que figura se le da a este proyecto. No queremos que sea un proyecto que se robe Cóbano, queremos que sea todo territorial. (Schutt, comunicación personal, 2020)</w:t>
      </w:r>
    </w:p>
    <w:p w:rsidR="00F30CF1" w:rsidRDefault="00F30CF1" w:rsidP="00F30CF1">
      <w:pPr>
        <w:spacing w:line="360" w:lineRule="auto"/>
        <w:ind w:firstLine="708"/>
        <w:jc w:val="both"/>
        <w:rPr>
          <w:rFonts w:ascii="Arial" w:hAnsi="Arial" w:cs="Arial"/>
          <w:bCs/>
          <w:sz w:val="24"/>
          <w:szCs w:val="24"/>
        </w:rPr>
      </w:pPr>
      <w:r>
        <w:rPr>
          <w:rFonts w:ascii="Arial" w:hAnsi="Arial" w:cs="Arial"/>
          <w:bCs/>
          <w:sz w:val="24"/>
          <w:szCs w:val="24"/>
        </w:rPr>
        <w:t xml:space="preserve">A partir de la revisión realizada sobre estas acciones y/o estrategias locales, se constata tal y como se plantea en las categorías de análisis teóricas sobre la acción comunitaria que </w:t>
      </w:r>
    </w:p>
    <w:p w:rsidR="00F30CF1" w:rsidRDefault="00F30CF1" w:rsidP="00F30CF1">
      <w:pPr>
        <w:tabs>
          <w:tab w:val="left" w:pos="4900"/>
        </w:tabs>
        <w:spacing w:line="360" w:lineRule="auto"/>
        <w:ind w:left="708"/>
        <w:jc w:val="both"/>
      </w:pPr>
      <w:r>
        <w:rPr>
          <w:rFonts w:ascii="Arial" w:hAnsi="Arial" w:cs="Arial"/>
          <w:sz w:val="24"/>
          <w:szCs w:val="24"/>
        </w:rPr>
        <w:t>La participación comunitaria se nutre de lo local, entendiendo lo local como el espacio esencial para desarrollar una participación integral y cumplida. Desde esta perspectiva, se toma posición en la teoría anterior, ya que en cierto modo, la participación social se debe ejecutar de abajo hacia arriba. (Guillén et al.  2009, p. 49)</w:t>
      </w:r>
    </w:p>
    <w:p w:rsidR="00F30CF1" w:rsidRDefault="00F30CF1" w:rsidP="00F30CF1">
      <w:pPr>
        <w:spacing w:line="360" w:lineRule="auto"/>
        <w:ind w:firstLine="708"/>
        <w:jc w:val="both"/>
      </w:pPr>
      <w:r>
        <w:rPr>
          <w:rFonts w:ascii="Arial" w:hAnsi="Arial" w:cs="Arial"/>
          <w:bCs/>
          <w:sz w:val="24"/>
          <w:szCs w:val="24"/>
        </w:rPr>
        <w:t>Las acciones comunitarias son procesos de transformación social, el cual supone que existe un capital o colectivo humano que posee capacidades de ser protagonista en las decisiones y acciones de su propia realidad en sociedad, puede incidir en el cambio y así mejorar la calidad de vida.</w:t>
      </w:r>
    </w:p>
    <w:p w:rsidR="00F30CF1" w:rsidRDefault="00F30CF1" w:rsidP="00F30CF1">
      <w:pPr>
        <w:spacing w:line="360" w:lineRule="auto"/>
        <w:ind w:firstLine="708"/>
        <w:jc w:val="both"/>
      </w:pPr>
      <w:r>
        <w:rPr>
          <w:rFonts w:ascii="Arial" w:hAnsi="Arial" w:cs="Arial"/>
          <w:bCs/>
          <w:sz w:val="24"/>
          <w:szCs w:val="24"/>
        </w:rPr>
        <w:t xml:space="preserve">Para que existan este tipo de acciones, debe de existir una integración compartida y una percepción de la problemática como algo común, es importante que también exista un arraigo con el territorio que se comparte (Goma, 2018, p. 2). </w:t>
      </w:r>
    </w:p>
    <w:p w:rsidR="00F30CF1" w:rsidRDefault="00F30CF1" w:rsidP="00F30CF1">
      <w:pPr>
        <w:spacing w:line="360" w:lineRule="auto"/>
        <w:ind w:firstLine="708"/>
        <w:jc w:val="both"/>
      </w:pPr>
      <w:r>
        <w:rPr>
          <w:rFonts w:ascii="Arial" w:hAnsi="Arial" w:cs="Arial"/>
          <w:bCs/>
          <w:sz w:val="24"/>
          <w:szCs w:val="24"/>
        </w:rPr>
        <w:lastRenderedPageBreak/>
        <w:t xml:space="preserve">Lo que este análisis revela es que en este proceso de acciones locales se generan relaciones, significados e identidades que potencian el empoderamiento local, proporcionando así una menor dependencia de la intervención estatal en el mejoramiento y transformación de sus realidades políticas, sociales, económicas y ambientales. </w:t>
      </w:r>
    </w:p>
    <w:p w:rsidR="00F30CF1" w:rsidRDefault="00F30CF1" w:rsidP="00F30CF1">
      <w:pPr>
        <w:spacing w:line="360" w:lineRule="auto"/>
        <w:ind w:firstLine="708"/>
        <w:jc w:val="both"/>
      </w:pPr>
      <w:r>
        <w:rPr>
          <w:rFonts w:ascii="Arial" w:hAnsi="Arial" w:cs="Arial"/>
          <w:bCs/>
          <w:sz w:val="24"/>
          <w:szCs w:val="24"/>
        </w:rPr>
        <w:t>Lo anterior no niega el poco acompañamiento de la institucionalidad pública percibido por los mismos actores locales. Con esta afirmación, se pretende ampliar la evidencia empírica sobre la relación de las estrategias institucionales y las acciones locales de planificación en el siguiente apartado.</w:t>
      </w:r>
    </w:p>
    <w:p w:rsidR="00F30CF1" w:rsidRDefault="00F30CF1" w:rsidP="00F30CF1">
      <w:pPr>
        <w:rPr>
          <w:rFonts w:ascii="Arial" w:eastAsiaTheme="majorEastAsia" w:hAnsi="Arial" w:cs="Arial"/>
          <w:b/>
          <w:color w:val="00000A"/>
          <w:sz w:val="26"/>
          <w:szCs w:val="26"/>
        </w:rPr>
      </w:pPr>
      <w:bookmarkStart w:id="75" w:name="_Toc49628462"/>
      <w:bookmarkEnd w:id="75"/>
      <w:r>
        <w:rPr>
          <w:rFonts w:ascii="Arial" w:hAnsi="Arial" w:cs="Arial"/>
          <w:b/>
          <w:color w:val="00000A"/>
        </w:rPr>
        <w:br w:type="page"/>
      </w:r>
    </w:p>
    <w:p w:rsidR="00F30CF1" w:rsidRPr="007D10D0" w:rsidRDefault="00F30CF1" w:rsidP="00F30CF1">
      <w:pPr>
        <w:pStyle w:val="Ttulo2"/>
        <w:numPr>
          <w:ilvl w:val="1"/>
          <w:numId w:val="27"/>
        </w:numPr>
        <w:spacing w:before="0" w:after="240" w:line="360" w:lineRule="auto"/>
        <w:rPr>
          <w:rFonts w:ascii="Arial" w:hAnsi="Arial" w:cs="Arial"/>
          <w:b/>
          <w:color w:val="00000A"/>
        </w:rPr>
      </w:pPr>
      <w:bookmarkStart w:id="76" w:name="_Toc50906715"/>
      <w:r w:rsidRPr="007D10D0">
        <w:rPr>
          <w:rFonts w:ascii="Arial" w:hAnsi="Arial" w:cs="Arial"/>
          <w:b/>
          <w:color w:val="00000A"/>
        </w:rPr>
        <w:lastRenderedPageBreak/>
        <w:t>Análisis del vínculo entre las estrategias institucionales de implementación y gestión con los procesos de planificación local del AMPR Paquera-Tambor</w:t>
      </w:r>
      <w:bookmarkEnd w:id="76"/>
    </w:p>
    <w:p w:rsidR="00F30CF1" w:rsidRDefault="00F30CF1" w:rsidP="00F30CF1">
      <w:pPr>
        <w:pStyle w:val="NormalWeb"/>
        <w:spacing w:before="0" w:after="200" w:line="360" w:lineRule="auto"/>
        <w:ind w:firstLine="708"/>
        <w:jc w:val="both"/>
        <w:rPr>
          <w:rFonts w:ascii="Arial" w:hAnsi="Arial" w:cs="Arial"/>
          <w:color w:val="000000"/>
        </w:rPr>
      </w:pPr>
      <w:r>
        <w:rPr>
          <w:rFonts w:ascii="Arial" w:hAnsi="Arial" w:cs="Arial"/>
          <w:color w:val="000000"/>
        </w:rPr>
        <w:t>En Costa Rica existe una estructura jurídica bastante explícita en cuanto al manejo de los recursos marítimos y pesqueros del país, además de una figura institucional que funciona como ente rector en el tema, como es el caso del INCOPESCA y todas sus políticas.</w:t>
      </w:r>
    </w:p>
    <w:p w:rsidR="00F30CF1" w:rsidRDefault="00F30CF1" w:rsidP="00F30CF1">
      <w:pPr>
        <w:spacing w:line="360" w:lineRule="auto"/>
        <w:ind w:firstLine="708"/>
        <w:jc w:val="both"/>
      </w:pPr>
      <w:r>
        <w:rPr>
          <w:rFonts w:ascii="Arial" w:eastAsia="Times New Roman" w:hAnsi="Arial" w:cs="Arial"/>
          <w:color w:val="000000"/>
          <w:sz w:val="24"/>
          <w:szCs w:val="24"/>
          <w:lang w:eastAsia="es-CR"/>
        </w:rPr>
        <w:t>El sector pesquero no ha sido una actividad tradicional en la economía del país. Según Porras, O (1993) el inicio de esta actividad como productiva se remonta a principios de 1940, época en la cual se practicaba la pesca de la corvina mediante el empleo de la línea de mano (p. 2). Claramente la pesca ha existido desde tiempos primitivos en la humanidad, pero en Costa Rica es hasta en la década de los cuarenta que se establece como una actividad productiva formal, redactándose en 1952 la primera Ley de pesca del país.</w:t>
      </w:r>
    </w:p>
    <w:p w:rsidR="00F30CF1" w:rsidRDefault="00F30CF1" w:rsidP="00F30CF1">
      <w:pPr>
        <w:spacing w:line="360" w:lineRule="auto"/>
        <w:ind w:firstLine="708"/>
        <w:jc w:val="both"/>
      </w:pPr>
      <w:r>
        <w:rPr>
          <w:rFonts w:ascii="Arial" w:eastAsia="Times New Roman" w:hAnsi="Arial" w:cs="Arial"/>
          <w:color w:val="000000"/>
          <w:sz w:val="24"/>
          <w:szCs w:val="24"/>
          <w:lang w:eastAsia="es-CR"/>
        </w:rPr>
        <w:t>Tanto a nivel nacional como internacional, el sector pesquero ha venido presentando en los últimos años una crisis relacionada principalmente con el calentamiento global, la contaminación y el gran incremento de la pesca ilegal. Los recursos de la actividad pesquera son recursos naturales, por lo que no son infinitos y si no se desarrolla la actividad de una manera racional, las consecuencias a nivel ambiental, económico y social serán aún más impactantes.</w:t>
      </w:r>
    </w:p>
    <w:p w:rsidR="00F30CF1" w:rsidRDefault="00F30CF1" w:rsidP="00F30CF1">
      <w:pPr>
        <w:spacing w:line="360" w:lineRule="auto"/>
        <w:ind w:firstLine="708"/>
        <w:jc w:val="both"/>
        <w:rPr>
          <w:rFonts w:ascii="Arial" w:eastAsia="Times New Roman" w:hAnsi="Arial" w:cs="Arial"/>
          <w:color w:val="000000"/>
          <w:sz w:val="24"/>
          <w:szCs w:val="24"/>
          <w:lang w:eastAsia="es-CR"/>
        </w:rPr>
      </w:pPr>
      <w:r>
        <w:rPr>
          <w:rFonts w:ascii="Arial" w:eastAsia="Times New Roman" w:hAnsi="Arial" w:cs="Arial"/>
          <w:color w:val="000000"/>
          <w:sz w:val="24"/>
          <w:szCs w:val="24"/>
          <w:lang w:eastAsia="es-CR"/>
        </w:rPr>
        <w:t>Esta preocupación muchas veces se traslapa a las mismas personas que habitan en estas zonas costeras y que su sobrevivencia depende exclusivamente de la actividad pesquera.</w:t>
      </w:r>
    </w:p>
    <w:p w:rsidR="00F30CF1" w:rsidRDefault="00F30CF1" w:rsidP="00F30CF1">
      <w:pPr>
        <w:spacing w:line="360" w:lineRule="auto"/>
        <w:ind w:firstLine="708"/>
        <w:jc w:val="both"/>
        <w:rPr>
          <w:rFonts w:ascii="Arial" w:eastAsia="Times New Roman" w:hAnsi="Arial" w:cs="Arial"/>
          <w:color w:val="000000"/>
          <w:sz w:val="24"/>
          <w:szCs w:val="24"/>
          <w:lang w:eastAsia="es-CR"/>
        </w:rPr>
      </w:pPr>
      <w:r>
        <w:rPr>
          <w:rFonts w:ascii="Arial" w:eastAsia="Times New Roman" w:hAnsi="Arial" w:cs="Arial"/>
          <w:color w:val="000000"/>
          <w:sz w:val="24"/>
          <w:szCs w:val="24"/>
          <w:lang w:eastAsia="es-CR"/>
        </w:rPr>
        <w:t>Lo anterior es un claro antecedente de la creación del AMPR Paquera-Tambor, ya que como se ha detallado, la iniciativa de la creación del Área surgió de la misma localidad.</w:t>
      </w:r>
    </w:p>
    <w:p w:rsidR="00F30CF1" w:rsidRDefault="00F30CF1" w:rsidP="00F30CF1">
      <w:pPr>
        <w:spacing w:line="360" w:lineRule="auto"/>
        <w:ind w:firstLine="708"/>
        <w:jc w:val="both"/>
      </w:pPr>
      <w:r>
        <w:rPr>
          <w:rFonts w:ascii="Arial" w:eastAsia="Times New Roman" w:hAnsi="Arial" w:cs="Arial"/>
          <w:color w:val="000000"/>
          <w:sz w:val="24"/>
          <w:szCs w:val="24"/>
          <w:lang w:eastAsia="es-CR"/>
        </w:rPr>
        <w:t xml:space="preserve">Según Guillen et al. (2009) muchas de estas iniciativas responden principalmente a un acto de solidaridad humano entre todas las partes, para así </w:t>
      </w:r>
      <w:r>
        <w:rPr>
          <w:rFonts w:ascii="Arial" w:eastAsia="Times New Roman" w:hAnsi="Arial" w:cs="Arial"/>
          <w:color w:val="000000"/>
          <w:sz w:val="24"/>
          <w:szCs w:val="24"/>
          <w:lang w:eastAsia="es-CR"/>
        </w:rPr>
        <w:lastRenderedPageBreak/>
        <w:t>lograr una mejor calidad de vida (p. 2). Este argumento teórico se ajusta bastante a la perspectiva ambientalista y de economía sostenible que tuvieron estos actores locales al desarrollar la idea de la creación del AMPR.</w:t>
      </w:r>
    </w:p>
    <w:p w:rsidR="00F30CF1" w:rsidRDefault="00F30CF1" w:rsidP="00F30CF1">
      <w:pPr>
        <w:spacing w:line="360" w:lineRule="auto"/>
        <w:ind w:firstLine="708"/>
        <w:jc w:val="both"/>
        <w:rPr>
          <w:rFonts w:ascii="Arial" w:eastAsia="Times New Roman" w:hAnsi="Arial" w:cs="Arial"/>
          <w:color w:val="000000"/>
          <w:sz w:val="24"/>
          <w:szCs w:val="24"/>
          <w:lang w:eastAsia="es-CR"/>
        </w:rPr>
      </w:pPr>
      <w:r>
        <w:rPr>
          <w:rFonts w:ascii="Arial" w:eastAsia="Times New Roman" w:hAnsi="Arial" w:cs="Arial"/>
          <w:color w:val="000000"/>
          <w:sz w:val="24"/>
          <w:szCs w:val="24"/>
          <w:lang w:eastAsia="es-CR"/>
        </w:rPr>
        <w:t>Estas personas están coexistiendo con las consecuencias negativas de la explotación de los recursos marinos, por lo que han desarrollado la capacidad de interpretar su propia realidad y sugerir acciones que logren mitigar estas problemáticas, como el caso de las organizaciones que formularon y de manera intensa solicitaron a la institucionalidad pública (INCOPESCA) la intervención, o mejor dicho el acompañamiento en la implementación y gestión del AMPR.</w:t>
      </w:r>
    </w:p>
    <w:p w:rsidR="00F30CF1" w:rsidRDefault="00F30CF1" w:rsidP="00F30CF1">
      <w:pPr>
        <w:spacing w:line="360" w:lineRule="auto"/>
        <w:ind w:firstLine="708"/>
        <w:jc w:val="both"/>
      </w:pPr>
      <w:r>
        <w:rPr>
          <w:rFonts w:ascii="Arial" w:eastAsia="Times New Roman" w:hAnsi="Arial" w:cs="Arial"/>
          <w:color w:val="000000"/>
          <w:sz w:val="24"/>
          <w:szCs w:val="24"/>
          <w:lang w:eastAsia="es-CR"/>
        </w:rPr>
        <w:t>Aunque esta no fue una iniciativa propiamente pública-institucional, es importante mencionar que de manera muy superficial se evidencia algún enfoque o modelo ambiental del INCOPESCA en cuanto al uso de los recursos pesqueros, como por ejemplo la implementación de las AMPR. No obstante, en el caso de Paquera-Tambor y por los relatos expuestos anteriormente, las instituciones realmente no dan un acuerpamiento complejo a estas iniciativas, y a pesar de que este tema se va a analizar más adelante, cabe resaltar que al menos de manera formal o jurídica, existe una intención por parte del Estado para mitigar la explotación de estos recursos y fomentar actividades económicas más sostenibles.</w:t>
      </w:r>
    </w:p>
    <w:p w:rsidR="00F30CF1" w:rsidRDefault="00F30CF1" w:rsidP="00F30CF1">
      <w:pPr>
        <w:spacing w:line="360" w:lineRule="auto"/>
        <w:ind w:firstLine="708"/>
        <w:jc w:val="both"/>
      </w:pPr>
      <w:r>
        <w:rPr>
          <w:rFonts w:ascii="Arial" w:eastAsia="Times New Roman" w:hAnsi="Arial" w:cs="Arial"/>
          <w:color w:val="000000"/>
          <w:sz w:val="24"/>
          <w:szCs w:val="24"/>
          <w:lang w:eastAsia="es-CR"/>
        </w:rPr>
        <w:t xml:space="preserve">Según las modalidades de participación que desarrolla Nuria Cunill (1999), que están detalladas en el marco teórico, la iniciativa de la creación del AMPR Paquera-Tambor se logra categorizar como una </w:t>
      </w:r>
      <w:r>
        <w:rPr>
          <w:rFonts w:ascii="Arial" w:eastAsia="Times New Roman" w:hAnsi="Arial" w:cs="Arial"/>
          <w:i/>
          <w:iCs/>
          <w:color w:val="000000"/>
          <w:sz w:val="24"/>
          <w:szCs w:val="24"/>
          <w:lang w:eastAsia="es-CR"/>
        </w:rPr>
        <w:t xml:space="preserve">participación comunitaria, </w:t>
      </w:r>
      <w:r>
        <w:rPr>
          <w:rFonts w:ascii="Arial" w:eastAsia="Times New Roman" w:hAnsi="Arial" w:cs="Arial"/>
          <w:color w:val="000000"/>
          <w:sz w:val="24"/>
          <w:szCs w:val="24"/>
          <w:lang w:eastAsia="es-CR"/>
        </w:rPr>
        <w:t xml:space="preserve">pues sí existe una relación con el Estado, pero en el sentido meramente de un impulso asistencial de acciones, las cuales son ejecutada por la ciudadanía y se vinculan a su vida más inmediata (p. 36). Esto a diferencia de las modalidades de </w:t>
      </w:r>
      <w:r>
        <w:rPr>
          <w:rFonts w:ascii="Arial" w:eastAsia="Times New Roman" w:hAnsi="Arial" w:cs="Arial"/>
          <w:i/>
          <w:color w:val="000000"/>
          <w:sz w:val="24"/>
          <w:szCs w:val="24"/>
          <w:lang w:eastAsia="es-CR"/>
        </w:rPr>
        <w:t>participación ciudadana y social</w:t>
      </w:r>
      <w:r>
        <w:rPr>
          <w:rFonts w:ascii="Arial" w:eastAsia="Times New Roman" w:hAnsi="Arial" w:cs="Arial"/>
          <w:color w:val="000000"/>
          <w:sz w:val="24"/>
          <w:szCs w:val="24"/>
          <w:lang w:eastAsia="es-CR"/>
        </w:rPr>
        <w:t>, que son más que todo acciones que exigen soluciones al Estado, desde una perspectiva más intervencionista.</w:t>
      </w:r>
    </w:p>
    <w:p w:rsidR="00F30CF1" w:rsidRDefault="00F30CF1" w:rsidP="00F30CF1">
      <w:pPr>
        <w:spacing w:line="360" w:lineRule="auto"/>
        <w:ind w:firstLine="708"/>
        <w:jc w:val="both"/>
      </w:pPr>
      <w:r>
        <w:rPr>
          <w:rFonts w:ascii="Arial" w:eastAsia="Times New Roman" w:hAnsi="Arial" w:cs="Arial"/>
          <w:color w:val="000000"/>
          <w:sz w:val="24"/>
          <w:szCs w:val="24"/>
          <w:lang w:eastAsia="es-CR"/>
        </w:rPr>
        <w:t xml:space="preserve">Es significativo enfatizar en que un Estado social de derecho como lo es Costa Rica, la institucionalidad pública debería de jugar un rol más protagónico en la prestación de servicios, en la formulación e implementación de proyectos que garanticen ciertos derechos a la sociedad civil. Tal como lo indica Mann (2006), el </w:t>
      </w:r>
      <w:r>
        <w:rPr>
          <w:rFonts w:ascii="Arial" w:eastAsia="Times New Roman" w:hAnsi="Arial" w:cs="Arial"/>
          <w:color w:val="000000"/>
          <w:sz w:val="24"/>
          <w:szCs w:val="24"/>
          <w:lang w:eastAsia="es-CR"/>
        </w:rPr>
        <w:lastRenderedPageBreak/>
        <w:t>Estado y sus instituciones se crean sobre la base del capital social, el cual de manera unívoca debe de regular y normalizar la dinámica social, enfatizando principalmente en cada uno de los territorios y sus localidades.</w:t>
      </w:r>
    </w:p>
    <w:p w:rsidR="00F30CF1" w:rsidRDefault="00F30CF1" w:rsidP="00F30CF1">
      <w:pPr>
        <w:spacing w:line="360" w:lineRule="auto"/>
        <w:ind w:firstLine="708"/>
        <w:jc w:val="both"/>
      </w:pPr>
      <w:r>
        <w:rPr>
          <w:rFonts w:ascii="Arial" w:eastAsia="Times New Roman" w:hAnsi="Arial" w:cs="Arial"/>
          <w:color w:val="000000"/>
          <w:sz w:val="24"/>
          <w:szCs w:val="24"/>
          <w:lang w:eastAsia="es-CR"/>
        </w:rPr>
        <w:t>En la época contemporánea, la institucionalidad ha excedido a un nivel muy alto de burocratización y homogeneización en la formulación y evaluación de políticas públicas, por lo que se llevan a cabo procesos de desarrollo desiguales en el ámbito territorial-local. El AMPR Paquera-Tambor es un claro ejemplo de este tipo de “crisis” que está experimentando el sector público, en donde por experiencia de los actores locales entrevistados, el INCOPESCA llega con una guía de implementación de las AMPR a nivel general, y las localidades se deben ajustar a esos requerimientos, donde no se consideran muchos aspectos de sus realidades. Además, se destaca el debilitamiento institucional en cuanto al acompañamiento de la gestión de la AMPR Paquera-Tambor.</w:t>
      </w:r>
    </w:p>
    <w:p w:rsidR="00F30CF1" w:rsidRDefault="00F30CF1" w:rsidP="00F30CF1">
      <w:pPr>
        <w:spacing w:line="360" w:lineRule="auto"/>
        <w:ind w:left="720"/>
        <w:jc w:val="both"/>
      </w:pPr>
      <w:r>
        <w:rPr>
          <w:rFonts w:ascii="Arial" w:eastAsia="Times New Roman" w:hAnsi="Arial" w:cs="Arial"/>
          <w:iCs/>
          <w:color w:val="000000"/>
          <w:sz w:val="24"/>
          <w:szCs w:val="24"/>
          <w:lang w:eastAsia="es-CR"/>
        </w:rPr>
        <w:t>ASPARMAR tuvo que ser en cierta manera agresivo porque se había solicitado la creación de la área marina y el INCOPESCA nunca había reaccionado, hasta un año después fue que reaccionó producto de que los compañeros se dieron cuenta que el presidente de INCOPESCA venía para la península en el ferry de las 9 entonces se fueron en el de las 5 y abordaron el ferry de las 5 de regreso y ahí entablaron conversación con ellos y fue donde José Centeno se comprometió a que él iba a dirigir la creación. (Villarreal, comunicación personal, 2019)</w:t>
      </w:r>
    </w:p>
    <w:p w:rsidR="00F30CF1" w:rsidRDefault="00F30CF1" w:rsidP="00F30CF1">
      <w:pPr>
        <w:spacing w:line="360" w:lineRule="auto"/>
        <w:ind w:firstLine="708"/>
        <w:jc w:val="both"/>
      </w:pPr>
      <w:r>
        <w:rPr>
          <w:rFonts w:ascii="Arial" w:eastAsia="Times New Roman" w:hAnsi="Arial" w:cs="Arial"/>
          <w:color w:val="000000"/>
          <w:sz w:val="24"/>
          <w:szCs w:val="24"/>
          <w:lang w:eastAsia="es-CR"/>
        </w:rPr>
        <w:t>Estas prácticas institucionales son consecuencia de la perspectiva centralizada y homogénea que muchas veces mantienen estas organizaciones, principalmente en zonas rurales y costeras. También, estas prácticas responden a un modelo de gestión globalizado y capitalista, el cual es agresivo y dominante, en donde las comunidades más vulnerables que no tienen acceso a todos los servicios del Estado serán las que se verán mayormente perjudicadas; lo que perpetúa el ciclo desigual que tanto se critica de las medidas neoliberales.</w:t>
      </w:r>
    </w:p>
    <w:p w:rsidR="00F30CF1" w:rsidRDefault="00F30CF1" w:rsidP="00F30CF1">
      <w:pPr>
        <w:spacing w:line="360" w:lineRule="auto"/>
        <w:ind w:firstLine="708"/>
        <w:jc w:val="both"/>
      </w:pPr>
      <w:r>
        <w:rPr>
          <w:rFonts w:ascii="Arial" w:eastAsia="Times New Roman" w:hAnsi="Arial" w:cs="Arial"/>
          <w:color w:val="000000"/>
          <w:sz w:val="24"/>
          <w:szCs w:val="24"/>
          <w:lang w:eastAsia="es-CR"/>
        </w:rPr>
        <w:t xml:space="preserve">En estas concepciones capitalistas/neoliberales el desarrollo económico es una herramienta exclusiva para maximizar las condiciones materiales, esa es la </w:t>
      </w:r>
      <w:r>
        <w:rPr>
          <w:rFonts w:ascii="Arial" w:eastAsia="Times New Roman" w:hAnsi="Arial" w:cs="Arial"/>
          <w:color w:val="000000"/>
          <w:sz w:val="24"/>
          <w:szCs w:val="24"/>
          <w:lang w:eastAsia="es-CR"/>
        </w:rPr>
        <w:lastRenderedPageBreak/>
        <w:t xml:space="preserve">lógica </w:t>
      </w:r>
      <w:r>
        <w:rPr>
          <w:rFonts w:ascii="Arial" w:eastAsia="Times New Roman" w:hAnsi="Arial" w:cs="Arial"/>
          <w:i/>
          <w:iCs/>
          <w:color w:val="000000"/>
          <w:sz w:val="24"/>
          <w:szCs w:val="24"/>
          <w:lang w:eastAsia="es-CR"/>
        </w:rPr>
        <w:t>per se</w:t>
      </w:r>
      <w:r>
        <w:rPr>
          <w:rFonts w:ascii="Arial" w:eastAsia="Times New Roman" w:hAnsi="Arial" w:cs="Arial"/>
          <w:color w:val="000000"/>
          <w:sz w:val="24"/>
          <w:szCs w:val="24"/>
          <w:lang w:eastAsia="es-CR"/>
        </w:rPr>
        <w:t xml:space="preserve"> del sistema hegemónico capitalista. Asimismo, se entrecruza con una institucionalidad pública homogenizada, forjando una sociedad desigual donde irónicamente la institucionalidad del Estado social de derecho responde meramente a la defensa de intereses de una élite política y económica del país.</w:t>
      </w:r>
    </w:p>
    <w:p w:rsidR="00F30CF1" w:rsidRDefault="00F30CF1" w:rsidP="00F30CF1">
      <w:pPr>
        <w:spacing w:line="360" w:lineRule="auto"/>
        <w:ind w:firstLine="708"/>
        <w:jc w:val="both"/>
      </w:pPr>
      <w:r>
        <w:rPr>
          <w:rFonts w:ascii="Arial" w:eastAsia="Times New Roman" w:hAnsi="Arial" w:cs="Arial"/>
          <w:color w:val="000000"/>
          <w:sz w:val="24"/>
          <w:szCs w:val="24"/>
          <w:lang w:eastAsia="es-CR"/>
        </w:rPr>
        <w:t xml:space="preserve">El papel que las instituciones públicas han jugado en el proyecto del AMPR Paquera-Tambor demuestra esas consecuencias de políticas homogéneas y generalizadas. Claramente es evidente con las entrevistas que el proyecto realmente funcionó y se gestionó, principalmente, por el papel de los actores locales, quienes de manera intensa se acoplaron a estas indicaciones y tomaron el liderazgo del proceso, tal como lo indica Schutts (2019) </w:t>
      </w:r>
      <w:r>
        <w:rPr>
          <w:rFonts w:ascii="Arial" w:eastAsia="Times New Roman" w:hAnsi="Arial" w:cs="Arial"/>
          <w:iCs/>
          <w:color w:val="000000"/>
          <w:sz w:val="24"/>
          <w:szCs w:val="24"/>
          <w:lang w:eastAsia="es-CR"/>
        </w:rPr>
        <w:t>“Nosotros como comunidad proponemos, INCOPESCA al final aprueba o desaprueba y no es el que ejecuta tampoco, le toca a uno ejecutar o hacer las gestiones ante otras instituciones para lograr los objetivos, que al final es lo que buscamos”</w:t>
      </w:r>
      <w:r>
        <w:rPr>
          <w:rFonts w:ascii="Arial" w:eastAsia="Times New Roman" w:hAnsi="Arial" w:cs="Arial"/>
          <w:color w:val="000000"/>
          <w:sz w:val="24"/>
          <w:szCs w:val="24"/>
          <w:lang w:eastAsia="es-CR"/>
        </w:rPr>
        <w:t xml:space="preserve"> (comunicación personal, 2019).</w:t>
      </w:r>
    </w:p>
    <w:p w:rsidR="00F30CF1" w:rsidRDefault="00F30CF1" w:rsidP="00F30CF1">
      <w:pPr>
        <w:spacing w:line="360" w:lineRule="auto"/>
        <w:ind w:firstLine="708"/>
        <w:jc w:val="both"/>
      </w:pPr>
      <w:r>
        <w:rPr>
          <w:rFonts w:ascii="Arial" w:eastAsia="Times New Roman" w:hAnsi="Arial" w:cs="Arial"/>
          <w:color w:val="000000"/>
          <w:sz w:val="24"/>
          <w:szCs w:val="24"/>
          <w:lang w:eastAsia="es-CR"/>
        </w:rPr>
        <w:t>En este estudio, el papel de la planificación y todas sus herramientas son esenciales para comprender estas dinámicas institucionales, sin embargo y como se abordó en el marco teórico de manera menos explícita, se podría categorizar la planificación del sector público como una planificación tradicional, en donde se establece un marco filosófico (misión, visión y valores), se realiza un análisis FODA, se plantean objetivos, metas, tiempos, indicadores, actividades, eso a grandes rasgos; luego se desagrega el plan estratégico en planes operativos anuales, para luego culminar con la evaluación del proceso.</w:t>
      </w:r>
    </w:p>
    <w:p w:rsidR="00F30CF1" w:rsidRDefault="00F30CF1" w:rsidP="00F30CF1">
      <w:pPr>
        <w:spacing w:line="360" w:lineRule="auto"/>
        <w:ind w:firstLine="708"/>
        <w:jc w:val="both"/>
        <w:rPr>
          <w:rFonts w:ascii="Arial" w:eastAsia="Times New Roman" w:hAnsi="Arial" w:cs="Arial"/>
          <w:color w:val="000000"/>
          <w:sz w:val="24"/>
          <w:szCs w:val="24"/>
          <w:lang w:eastAsia="es-CR"/>
        </w:rPr>
      </w:pPr>
      <w:r>
        <w:rPr>
          <w:rFonts w:ascii="Arial" w:eastAsia="Times New Roman" w:hAnsi="Arial" w:cs="Arial"/>
          <w:color w:val="000000"/>
          <w:sz w:val="24"/>
          <w:szCs w:val="24"/>
          <w:lang w:eastAsia="es-CR"/>
        </w:rPr>
        <w:t>Ante esta homogeneización de la planificación en la institucionalidad pública del país, es acertado cuestionarse si realmente ese debe de ser el modelo a seguir, claro, suponiendo que todas las instituciones poseen condiciones diferentes y velan por realidades diferentes. En ese sentido se está estirando en gran medida el instrumento estratégico de la planificación.</w:t>
      </w:r>
    </w:p>
    <w:p w:rsidR="00F30CF1" w:rsidRDefault="00F30CF1" w:rsidP="00F30CF1">
      <w:pPr>
        <w:spacing w:line="360" w:lineRule="auto"/>
        <w:ind w:firstLine="708"/>
        <w:jc w:val="both"/>
      </w:pPr>
      <w:r>
        <w:rPr>
          <w:rFonts w:ascii="Arial" w:eastAsia="Times New Roman" w:hAnsi="Arial" w:cs="Arial"/>
          <w:color w:val="000000"/>
          <w:sz w:val="24"/>
          <w:szCs w:val="24"/>
          <w:lang w:eastAsia="es-CR"/>
        </w:rPr>
        <w:t xml:space="preserve">La planificación no es un concepto o paradigma unívoco, existe una diversidad de enfoques o modelos, puede ser utilizada como herramienta que funcione realmente para lograr mayor igualdad social; sin embargo, es importante </w:t>
      </w:r>
      <w:r>
        <w:rPr>
          <w:rFonts w:ascii="Arial" w:eastAsia="Times New Roman" w:hAnsi="Arial" w:cs="Arial"/>
          <w:color w:val="000000"/>
          <w:sz w:val="24"/>
          <w:szCs w:val="24"/>
          <w:lang w:eastAsia="es-CR"/>
        </w:rPr>
        <w:lastRenderedPageBreak/>
        <w:t>reivindicar estos procesos y, lo más importante, que exista una verdadera voluntad política.</w:t>
      </w:r>
    </w:p>
    <w:p w:rsidR="00F30CF1" w:rsidRDefault="00F30CF1" w:rsidP="00F30CF1">
      <w:pPr>
        <w:spacing w:line="360" w:lineRule="auto"/>
        <w:ind w:firstLine="708"/>
        <w:jc w:val="both"/>
      </w:pPr>
      <w:r>
        <w:rPr>
          <w:rFonts w:ascii="Arial" w:eastAsia="Times New Roman" w:hAnsi="Arial" w:cs="Arial"/>
          <w:color w:val="000000"/>
          <w:sz w:val="24"/>
          <w:szCs w:val="24"/>
          <w:lang w:eastAsia="es-CR"/>
        </w:rPr>
        <w:t>Ahora bien, el estudio de caso del AMPR Paquera-Tambor logra demostrar que aunque la institucionalidad presenta crisis y que los modelos de planificación no han sido del todo efectivos por parte del sector público, los actores locales de estas comunidades han demostrado un paradigma de gestión participativo y auto gestionado de calidad, a continuación se detallan algunos otros ejemplos de acciones concretas que estos actores locales desarrollaron para gestionar de manera integral este proyecto.</w:t>
      </w:r>
    </w:p>
    <w:p w:rsidR="00F30CF1" w:rsidRDefault="00F30CF1" w:rsidP="00F30CF1">
      <w:pPr>
        <w:spacing w:line="360" w:lineRule="auto"/>
        <w:ind w:firstLine="708"/>
        <w:jc w:val="both"/>
      </w:pPr>
      <w:r>
        <w:rPr>
          <w:rFonts w:ascii="Arial" w:eastAsia="Times New Roman" w:hAnsi="Arial" w:cs="Arial"/>
          <w:color w:val="000000"/>
          <w:sz w:val="24"/>
          <w:szCs w:val="24"/>
          <w:lang w:eastAsia="es-CR"/>
        </w:rPr>
        <w:t>En primer lugar, estos actores locales toparon con uno de los problemas más imprescindibles en el tema de pesca, el cual es la ilegalidad en este tipo de actividades. Esta es una problemática que ha sido concebida incluso por la Organización de Naciones Unidas para la Agricultura y la Alimentación, quienes han manifestado una constante preocupación por la presencia de pesca ilegal a escala mundial, lo cual amenaza de manera latente contra los recursos marinos. (OSPESCA, 2018, p. 9).</w:t>
      </w:r>
    </w:p>
    <w:p w:rsidR="00F30CF1" w:rsidRDefault="00F30CF1" w:rsidP="00F30CF1">
      <w:pPr>
        <w:spacing w:line="360" w:lineRule="auto"/>
        <w:ind w:firstLine="708"/>
        <w:jc w:val="both"/>
      </w:pPr>
      <w:r>
        <w:rPr>
          <w:rFonts w:ascii="Arial" w:eastAsia="Times New Roman" w:hAnsi="Arial" w:cs="Arial"/>
          <w:color w:val="000000"/>
          <w:sz w:val="24"/>
          <w:szCs w:val="24"/>
          <w:lang w:eastAsia="es-CR"/>
        </w:rPr>
        <w:t>En el caso del AMPR Paquera-Tambor, los actores locales exponen su experiencia con la pesca ilegal y el proceso de gestión de este proyecto:</w:t>
      </w:r>
    </w:p>
    <w:p w:rsidR="00F30CF1" w:rsidRDefault="00F30CF1" w:rsidP="00F30CF1">
      <w:pPr>
        <w:spacing w:line="360" w:lineRule="auto"/>
        <w:ind w:left="720"/>
        <w:jc w:val="both"/>
      </w:pPr>
      <w:r>
        <w:rPr>
          <w:rFonts w:ascii="Arial" w:eastAsia="Times New Roman" w:hAnsi="Arial" w:cs="Arial"/>
          <w:iCs/>
          <w:color w:val="000000"/>
          <w:sz w:val="24"/>
          <w:szCs w:val="24"/>
          <w:lang w:eastAsia="es-CR"/>
        </w:rPr>
        <w:t xml:space="preserve">Tenemos siempre la amenaza muy latente de la ilegalidad, del mercado negro, de la corrupción que eso se da mucho, lamentablemente, nosotros a veces denunciamos gente que está haciendo mucho daño ambiental en el área nuestra o en las orillas y al final de cuenta por corrupción extrañamente no los sancionan, siguen haciendo su actividad, entonces es un problema que está ahí, que tenemos mucho camino que recorrer para ver si lo eliminamos, lo mejoramos, hay que llegar a madurar en algún momento. </w:t>
      </w:r>
      <w:r>
        <w:rPr>
          <w:rFonts w:ascii="Arial" w:eastAsia="Times New Roman" w:hAnsi="Arial" w:cs="Arial"/>
          <w:color w:val="000000"/>
          <w:sz w:val="24"/>
          <w:szCs w:val="24"/>
          <w:lang w:eastAsia="es-CR"/>
        </w:rPr>
        <w:t>(Schutt, comunicación personal, 2019)</w:t>
      </w:r>
    </w:p>
    <w:p w:rsidR="00F30CF1" w:rsidRDefault="00F30CF1" w:rsidP="00F30CF1">
      <w:pPr>
        <w:spacing w:line="360" w:lineRule="auto"/>
        <w:ind w:firstLine="708"/>
        <w:jc w:val="both"/>
      </w:pPr>
      <w:r>
        <w:rPr>
          <w:rFonts w:ascii="Arial" w:eastAsia="Times New Roman" w:hAnsi="Arial" w:cs="Arial"/>
          <w:color w:val="000000"/>
          <w:sz w:val="24"/>
          <w:szCs w:val="24"/>
          <w:lang w:eastAsia="es-CR"/>
        </w:rPr>
        <w:t xml:space="preserve">Este problema es multidimensional, ya que como menciona el entrevistado, por un lado se enfrentan a la amenaza de la pesca ilegal, pero por otro lado se topan con la corrupción institucional que normaliza o tapa este tipo de actividades en </w:t>
      </w:r>
      <w:r>
        <w:rPr>
          <w:rFonts w:ascii="Arial" w:eastAsia="Times New Roman" w:hAnsi="Arial" w:cs="Arial"/>
          <w:color w:val="000000"/>
          <w:sz w:val="24"/>
          <w:szCs w:val="24"/>
          <w:lang w:eastAsia="es-CR"/>
        </w:rPr>
        <w:lastRenderedPageBreak/>
        <w:t>nuestro país, lo cual es una razón más para destacar la gran iniciativa y constancia de este grupo de actores locales que lucharon con todos estos factores para llevar a cabo la gestación del proyecto.</w:t>
      </w:r>
    </w:p>
    <w:p w:rsidR="00F30CF1" w:rsidRDefault="00F30CF1" w:rsidP="00F30CF1">
      <w:pPr>
        <w:spacing w:line="360" w:lineRule="auto"/>
        <w:ind w:firstLine="708"/>
        <w:jc w:val="both"/>
      </w:pPr>
      <w:r>
        <w:rPr>
          <w:rFonts w:ascii="Arial" w:eastAsia="Times New Roman" w:hAnsi="Arial" w:cs="Arial"/>
          <w:color w:val="000000"/>
          <w:sz w:val="24"/>
          <w:szCs w:val="24"/>
          <w:lang w:eastAsia="es-CR"/>
        </w:rPr>
        <w:t>Es relevante destacar estas debilidades de las instituciones públicas en este proyecto en específico, pero también es menester mencionar el papel laborioso de los actores locales, si han existido resultados tanto en la preservación de los recursos marinos, como en la estructura organizacional de estas localidades, ya que este proyecto les ha permitido organizarse de manera autónoma y tomar decisiones importantes que han tenido resultados positivos en los 6 años que tiene el AMPR de operar.</w:t>
      </w:r>
    </w:p>
    <w:p w:rsidR="00F30CF1" w:rsidRDefault="00F30CF1" w:rsidP="00F30CF1">
      <w:pPr>
        <w:spacing w:line="360" w:lineRule="auto"/>
        <w:ind w:left="720"/>
        <w:jc w:val="both"/>
      </w:pPr>
      <w:r>
        <w:rPr>
          <w:rFonts w:ascii="Arial" w:eastAsia="Times New Roman" w:hAnsi="Arial" w:cs="Arial"/>
          <w:iCs/>
          <w:color w:val="000000"/>
          <w:sz w:val="24"/>
          <w:szCs w:val="24"/>
          <w:lang w:eastAsia="es-CR"/>
        </w:rPr>
        <w:t>Anterior al área, uno puede notar que había mucho menos vida marina, menos peces, menos vida en general, hoy en día uno puede notar, los pescadores notan que sí hay má</w:t>
      </w:r>
      <w:r>
        <w:rPr>
          <w:rFonts w:ascii="Arial" w:eastAsia="Times New Roman" w:hAnsi="Arial" w:cs="Arial"/>
          <w:i/>
          <w:iCs/>
          <w:color w:val="000000"/>
          <w:sz w:val="24"/>
          <w:szCs w:val="24"/>
          <w:lang w:eastAsia="es-CR"/>
        </w:rPr>
        <w:t>s producción, peces más grandes</w:t>
      </w:r>
      <w:r>
        <w:rPr>
          <w:rFonts w:ascii="Arial" w:eastAsia="Times New Roman" w:hAnsi="Arial" w:cs="Arial"/>
          <w:color w:val="000000"/>
          <w:sz w:val="24"/>
          <w:szCs w:val="24"/>
          <w:lang w:eastAsia="es-CR"/>
        </w:rPr>
        <w:t>. (Scutt, comunicación cprsonal, 2019).</w:t>
      </w:r>
    </w:p>
    <w:p w:rsidR="00F30CF1" w:rsidRDefault="00F30CF1" w:rsidP="00F30CF1">
      <w:pPr>
        <w:spacing w:line="360" w:lineRule="auto"/>
        <w:ind w:firstLine="708"/>
        <w:jc w:val="both"/>
      </w:pPr>
      <w:r>
        <w:rPr>
          <w:rFonts w:ascii="Arial" w:eastAsia="Times New Roman" w:hAnsi="Arial" w:cs="Arial"/>
          <w:color w:val="000000"/>
          <w:sz w:val="24"/>
          <w:szCs w:val="24"/>
          <w:lang w:eastAsia="es-CR"/>
        </w:rPr>
        <w:t>Pero estos actores locales no se conformaron únicamente con la creación del AMPR Paquera-Tambor y su aspecto de preservación de los recursos pesqueros, sino que como se mencionó con anterioridad, desarrollaron un proyecto desde la perspectiva económica, la cual es una cooperativa auto gestionada para la comercialización de los recursos que pescan en la zonificación del AMPR Paquera-Tambor. Para este proyecto también recibieron acompañamiento de la institucionalidad pública, pero principalmente con el otorgamiento de permisos e inicialmente con el financiamiento de una parte del proyecto por parte del MAG. </w:t>
      </w:r>
    </w:p>
    <w:p w:rsidR="00F30CF1" w:rsidRDefault="00F30CF1" w:rsidP="00F30CF1">
      <w:pPr>
        <w:spacing w:line="360" w:lineRule="auto"/>
        <w:ind w:firstLine="708"/>
        <w:jc w:val="both"/>
        <w:rPr>
          <w:rFonts w:ascii="Arial" w:eastAsia="Times New Roman" w:hAnsi="Arial" w:cs="Arial"/>
          <w:color w:val="000000"/>
          <w:sz w:val="24"/>
          <w:szCs w:val="24"/>
          <w:lang w:eastAsia="es-CR"/>
        </w:rPr>
      </w:pPr>
      <w:r>
        <w:rPr>
          <w:rFonts w:ascii="Arial" w:eastAsia="Times New Roman" w:hAnsi="Arial" w:cs="Arial"/>
          <w:color w:val="000000"/>
          <w:sz w:val="24"/>
          <w:szCs w:val="24"/>
          <w:lang w:eastAsia="es-CR"/>
        </w:rPr>
        <w:t>Las gestiones de la planta de procesos y la comercialización del producto de igual manera se han desarrollado, principalmente, por la iniciativa de las personas de las comunidades que se involucraron en estos proyecto, por lo que de igual manera presentan un abandono de la institucionalidad pública y otras amenazas latentes, como la comercialización ilegal del pescado, en donde otras organizaciones que no están bajo el régimen del AMPR, venden otros tipos de pescados que son ilegales a un precio menor y afecta la actividad económico de esta cooperativa.</w:t>
      </w:r>
    </w:p>
    <w:p w:rsidR="00F30CF1" w:rsidRDefault="00F30CF1" w:rsidP="00F30CF1">
      <w:pPr>
        <w:spacing w:line="360" w:lineRule="auto"/>
        <w:ind w:firstLine="708"/>
        <w:jc w:val="both"/>
      </w:pPr>
      <w:r>
        <w:rPr>
          <w:rFonts w:ascii="Arial" w:eastAsia="Times New Roman" w:hAnsi="Arial" w:cs="Arial"/>
          <w:color w:val="000000"/>
          <w:sz w:val="24"/>
          <w:szCs w:val="24"/>
          <w:lang w:eastAsia="es-CR"/>
        </w:rPr>
        <w:lastRenderedPageBreak/>
        <w:t>A pesar de las trabas, el poco acompañamiento, la burocratización y la homogeneización en las políticas públicas de la institucionalidad, este proyecto del AMPR Paquera-Tambor ha sido un verdadero ejemplo de gestión local, donde la sociedad civil ha tenido el papel principal en el desarrollo de estas. Incluso a nivel internacional esta iniciativa ha tenido impacto, como lo detalla Schutt, L a continuación:</w:t>
      </w:r>
    </w:p>
    <w:p w:rsidR="00F30CF1" w:rsidRDefault="00F30CF1" w:rsidP="00F30CF1">
      <w:pPr>
        <w:spacing w:line="360" w:lineRule="auto"/>
        <w:ind w:left="720"/>
        <w:jc w:val="both"/>
      </w:pPr>
      <w:r>
        <w:rPr>
          <w:rFonts w:ascii="Arial" w:eastAsia="Times New Roman" w:hAnsi="Arial" w:cs="Arial"/>
          <w:iCs/>
          <w:color w:val="000000"/>
          <w:sz w:val="24"/>
          <w:szCs w:val="24"/>
          <w:lang w:eastAsia="es-CR"/>
        </w:rPr>
        <w:t>[...] es un área de pesca responsable pero es un modelo de hacer prácticas responsables en el mar, este modelo ha sido seguido, copiado y hasta mejorado por estas otras instituciones y por instancias internacionales inclusive como el Banco Mundial que ha venido aquí a conocer de nosotros y a proponer este modelo en otras esferas.</w:t>
      </w:r>
      <w:r>
        <w:rPr>
          <w:rFonts w:ascii="Arial" w:eastAsia="Times New Roman" w:hAnsi="Arial" w:cs="Arial"/>
          <w:color w:val="000000"/>
          <w:sz w:val="24"/>
          <w:szCs w:val="24"/>
          <w:lang w:eastAsia="es-CR"/>
        </w:rPr>
        <w:t xml:space="preserve"> (comunicación personal, 2019)</w:t>
      </w:r>
    </w:p>
    <w:p w:rsidR="00F30CF1" w:rsidRDefault="00F30CF1" w:rsidP="00F30CF1">
      <w:pPr>
        <w:spacing w:line="360" w:lineRule="auto"/>
        <w:ind w:firstLine="708"/>
        <w:jc w:val="both"/>
      </w:pPr>
      <w:r>
        <w:rPr>
          <w:rFonts w:ascii="Arial" w:eastAsia="Times New Roman" w:hAnsi="Arial" w:cs="Arial"/>
          <w:color w:val="000000"/>
          <w:sz w:val="24"/>
          <w:szCs w:val="24"/>
          <w:lang w:eastAsia="es-CR"/>
        </w:rPr>
        <w:t>Es fundamental resaltar el sentimiento de apropiación que estos actores locales transmiten sobre este proyecto tan importante, en otras palabras, continúa existiendo un gran compromiso y un gran orgullo de parte de estos actores locales.</w:t>
      </w:r>
    </w:p>
    <w:p w:rsidR="00F30CF1" w:rsidRDefault="00F30CF1" w:rsidP="00F30CF1">
      <w:pPr>
        <w:spacing w:line="360" w:lineRule="auto"/>
        <w:ind w:left="720"/>
        <w:jc w:val="both"/>
      </w:pPr>
      <w:r>
        <w:rPr>
          <w:rFonts w:ascii="Arial" w:eastAsia="Times New Roman" w:hAnsi="Arial" w:cs="Arial"/>
          <w:iCs/>
          <w:color w:val="000000"/>
          <w:sz w:val="24"/>
          <w:szCs w:val="24"/>
          <w:lang w:eastAsia="es-CR"/>
        </w:rPr>
        <w:t>Ya hubiéramos logrado metas más importantes y más amplias, pero no podemos cambiar la forma de pensar de estos funcionarios, habría que entrar en un conflicto para lograr cambiar la forma de pensar entonces son amenazas que tenemos ahí que nos atrasan el proceso.</w:t>
      </w:r>
      <w:r>
        <w:rPr>
          <w:rFonts w:ascii="Arial" w:eastAsia="Times New Roman" w:hAnsi="Arial" w:cs="Arial"/>
          <w:color w:val="000000"/>
          <w:sz w:val="24"/>
          <w:szCs w:val="24"/>
          <w:lang w:eastAsia="es-CR"/>
        </w:rPr>
        <w:t xml:space="preserve"> (Schutt, comunicación personal, 2019)</w:t>
      </w:r>
    </w:p>
    <w:p w:rsidR="00F30CF1" w:rsidRDefault="00F30CF1" w:rsidP="00F30CF1">
      <w:pPr>
        <w:spacing w:line="360" w:lineRule="auto"/>
        <w:ind w:firstLine="708"/>
        <w:jc w:val="both"/>
        <w:rPr>
          <w:rFonts w:ascii="Arial" w:eastAsia="Times New Roman" w:hAnsi="Arial" w:cs="Arial"/>
          <w:color w:val="000000"/>
          <w:sz w:val="24"/>
          <w:szCs w:val="24"/>
          <w:lang w:eastAsia="es-CR"/>
        </w:rPr>
      </w:pPr>
      <w:r>
        <w:rPr>
          <w:rFonts w:ascii="Arial" w:eastAsia="Times New Roman" w:hAnsi="Arial" w:cs="Arial"/>
          <w:color w:val="000000"/>
          <w:sz w:val="24"/>
          <w:szCs w:val="24"/>
          <w:lang w:eastAsia="es-CR"/>
        </w:rPr>
        <w:t>Este proyecto debería de ser modelo para la ingestión institucional pública, y así apoyar de manera integral este tipo de iniciativas en otras localidades del país, en donde sea la misma sociedad civil, en condición de su propia realidad, la que tome las decisiones sobre su propia vida.</w:t>
      </w:r>
    </w:p>
    <w:p w:rsidR="00F30CF1" w:rsidRDefault="00F30CF1" w:rsidP="00F30CF1">
      <w:pPr>
        <w:rPr>
          <w:rFonts w:ascii="Arial" w:eastAsiaTheme="majorEastAsia" w:hAnsi="Arial" w:cstheme="majorBidi"/>
          <w:b/>
          <w:sz w:val="28"/>
          <w:szCs w:val="32"/>
        </w:rPr>
      </w:pPr>
      <w:bookmarkStart w:id="77" w:name="_Toc49628463"/>
      <w:r>
        <w:br w:type="page"/>
      </w:r>
    </w:p>
    <w:p w:rsidR="00F30CF1" w:rsidRDefault="00F30CF1" w:rsidP="00F30CF1">
      <w:pPr>
        <w:pStyle w:val="Ttulo1"/>
        <w:spacing w:line="480" w:lineRule="auto"/>
      </w:pPr>
      <w:bookmarkStart w:id="78" w:name="_Toc50906716"/>
      <w:r>
        <w:lastRenderedPageBreak/>
        <w:t>Capítulo V. Consideraciones finales</w:t>
      </w:r>
      <w:bookmarkEnd w:id="77"/>
      <w:bookmarkEnd w:id="78"/>
      <w:r>
        <w:t xml:space="preserve"> </w:t>
      </w:r>
    </w:p>
    <w:p w:rsidR="00F30CF1" w:rsidRDefault="00F30CF1" w:rsidP="00F30CF1">
      <w:pPr>
        <w:spacing w:line="360" w:lineRule="auto"/>
        <w:ind w:firstLine="708"/>
        <w:jc w:val="both"/>
      </w:pPr>
      <w:r>
        <w:rPr>
          <w:rFonts w:ascii="Arial" w:eastAsia="Times New Roman" w:hAnsi="Arial" w:cs="Arial"/>
          <w:color w:val="000000"/>
          <w:sz w:val="24"/>
          <w:szCs w:val="24"/>
          <w:lang w:eastAsia="es-CR"/>
        </w:rPr>
        <w:t>El presente capítulo desarrolla las principales conclusiones de esta investigación, las cuales ostentan el análisis de todos los objetivos específicos propuestos. Por tanto, las conclusiones son parte importante del resultado del análisis de la información recolectada en el trabajo de campo y su análisis, en especial con las categorías teóricas que sustentan este estudio.</w:t>
      </w:r>
    </w:p>
    <w:p w:rsidR="00F30CF1" w:rsidRDefault="00F30CF1" w:rsidP="00F30CF1">
      <w:pPr>
        <w:spacing w:line="360" w:lineRule="auto"/>
        <w:ind w:firstLine="708"/>
        <w:jc w:val="both"/>
      </w:pPr>
      <w:r>
        <w:rPr>
          <w:rFonts w:ascii="Arial" w:eastAsia="Times New Roman" w:hAnsi="Arial" w:cs="Arial"/>
          <w:color w:val="000000"/>
          <w:sz w:val="24"/>
          <w:szCs w:val="24"/>
          <w:lang w:eastAsia="es-CR"/>
        </w:rPr>
        <w:t xml:space="preserve">Conjuntamente, se presentan algunas recomendaciones tanto para la institucionalidad como para los actores locales, en relación con procesos principalmente en la gestión actual del AMPR, además también se brindan algunas otras para la academia y la importancia del desarrollo de más estudios relacionados a este tipo de temas. Estas son reflexiones, perspectivas y/o comentarios un tanto subjetivos con respecto al proyecto del AMPR Paquera – Tambor desde la experiencia de lo personal. </w:t>
      </w:r>
    </w:p>
    <w:p w:rsidR="00F30CF1" w:rsidRDefault="00F30CF1" w:rsidP="00F30CF1">
      <w:pPr>
        <w:spacing w:line="360" w:lineRule="auto"/>
        <w:ind w:firstLine="708"/>
        <w:jc w:val="both"/>
        <w:rPr>
          <w:rFonts w:ascii="Arial" w:eastAsia="Times New Roman" w:hAnsi="Arial" w:cs="Arial"/>
          <w:color w:val="000000"/>
          <w:sz w:val="24"/>
          <w:szCs w:val="24"/>
          <w:lang w:eastAsia="es-CR"/>
        </w:rPr>
      </w:pPr>
      <w:r>
        <w:rPr>
          <w:rFonts w:ascii="Arial" w:eastAsia="Times New Roman" w:hAnsi="Arial" w:cs="Arial"/>
          <w:color w:val="000000"/>
          <w:sz w:val="24"/>
          <w:szCs w:val="24"/>
          <w:lang w:eastAsia="es-CR"/>
        </w:rPr>
        <w:t xml:space="preserve">Por último, se exponen los alcances y limitaciones que se experimentaron al desarrollar esta investigación, la cual visibilizan algunas de las principales enseñanzas y experiencias que por supuesto quedarán en la posteridad.  </w:t>
      </w:r>
    </w:p>
    <w:p w:rsidR="00F30CF1" w:rsidRDefault="00F30CF1" w:rsidP="00F30CF1">
      <w:pPr>
        <w:rPr>
          <w:rFonts w:ascii="Arial" w:eastAsiaTheme="majorEastAsia" w:hAnsi="Arial" w:cs="Arial"/>
          <w:b/>
          <w:color w:val="00000A"/>
          <w:sz w:val="26"/>
          <w:szCs w:val="26"/>
        </w:rPr>
      </w:pPr>
      <w:bookmarkStart w:id="79" w:name="_Toc49628464"/>
      <w:bookmarkEnd w:id="79"/>
      <w:r>
        <w:rPr>
          <w:rFonts w:ascii="Arial" w:hAnsi="Arial" w:cs="Arial"/>
          <w:b/>
          <w:color w:val="00000A"/>
        </w:rPr>
        <w:br w:type="page"/>
      </w:r>
    </w:p>
    <w:p w:rsidR="00F30CF1" w:rsidRPr="007D10D0" w:rsidRDefault="00F30CF1" w:rsidP="00F30CF1">
      <w:pPr>
        <w:pStyle w:val="Ttulo2"/>
        <w:numPr>
          <w:ilvl w:val="1"/>
          <w:numId w:val="29"/>
        </w:numPr>
        <w:spacing w:before="200" w:line="480" w:lineRule="auto"/>
        <w:rPr>
          <w:rFonts w:ascii="Arial" w:hAnsi="Arial" w:cs="Arial"/>
          <w:b/>
          <w:color w:val="00000A"/>
        </w:rPr>
      </w:pPr>
      <w:bookmarkStart w:id="80" w:name="_Toc50906717"/>
      <w:r w:rsidRPr="007D10D0">
        <w:rPr>
          <w:rFonts w:ascii="Arial" w:hAnsi="Arial" w:cs="Arial"/>
          <w:b/>
          <w:color w:val="00000A"/>
        </w:rPr>
        <w:lastRenderedPageBreak/>
        <w:t>Conclusiones</w:t>
      </w:r>
      <w:bookmarkEnd w:id="80"/>
    </w:p>
    <w:p w:rsidR="00F30CF1" w:rsidRDefault="00F30CF1" w:rsidP="00F30CF1">
      <w:pPr>
        <w:spacing w:line="360" w:lineRule="auto"/>
        <w:ind w:firstLine="708"/>
        <w:jc w:val="both"/>
        <w:rPr>
          <w:rFonts w:ascii="Arial" w:eastAsia="Times New Roman" w:hAnsi="Arial" w:cs="Arial"/>
          <w:color w:val="000000"/>
          <w:sz w:val="24"/>
          <w:szCs w:val="24"/>
          <w:lang w:eastAsia="es-CR"/>
        </w:rPr>
      </w:pPr>
      <w:r>
        <w:rPr>
          <w:rFonts w:ascii="Arial" w:eastAsia="Times New Roman" w:hAnsi="Arial" w:cs="Arial"/>
          <w:color w:val="000000"/>
          <w:sz w:val="24"/>
          <w:szCs w:val="24"/>
          <w:lang w:eastAsia="es-CR"/>
        </w:rPr>
        <w:t xml:space="preserve">Las estrategias institucionales y las acciones locales desarrolladas alrededor del Área Marina de Pesca Responsable Paquera-Tambor son aspectos importantes para reconstruir la gestión de gobernanza de las instituciones públicas y las comunidades de este país, ya que queda demostrado en la experiencia de este proyecto, que lo que se expresa en lo formal e institucional es distinto a lo que se aplica en la realidad. </w:t>
      </w:r>
    </w:p>
    <w:p w:rsidR="00F30CF1" w:rsidRDefault="00F30CF1" w:rsidP="00F30CF1">
      <w:pPr>
        <w:spacing w:line="360" w:lineRule="auto"/>
        <w:ind w:firstLine="708"/>
        <w:jc w:val="both"/>
      </w:pPr>
      <w:r>
        <w:rPr>
          <w:rFonts w:ascii="Arial" w:eastAsia="Times New Roman" w:hAnsi="Arial" w:cs="Arial"/>
          <w:color w:val="000000"/>
          <w:sz w:val="24"/>
          <w:szCs w:val="24"/>
          <w:lang w:eastAsia="es-CR"/>
        </w:rPr>
        <w:t xml:space="preserve">A partir de esta dimensión, se han podido señalar las particularidades de este proyecto, a través del análisis de las diversas temáticas que se interrelacionan entre sí: desarrollo local, planificación, estructura normativa, gestión pública y participación social. </w:t>
      </w:r>
    </w:p>
    <w:p w:rsidR="00F30CF1" w:rsidRDefault="00F30CF1" w:rsidP="00F30CF1">
      <w:pPr>
        <w:spacing w:line="360" w:lineRule="auto"/>
        <w:ind w:firstLine="708"/>
        <w:jc w:val="both"/>
      </w:pPr>
      <w:r>
        <w:rPr>
          <w:rFonts w:ascii="Arial" w:eastAsia="Times New Roman" w:hAnsi="Arial" w:cs="Arial"/>
          <w:color w:val="000000"/>
          <w:sz w:val="24"/>
          <w:szCs w:val="24"/>
          <w:lang w:eastAsia="es-CR"/>
        </w:rPr>
        <w:t xml:space="preserve">En este proceso de análisis, se transitó por una discusión teórica sobre dichas temáticas, que se articulan luego en un esquema de entendimiento y organización de la información para comprender el caso de estudio. A continuación, se presentan las principales conclusiones relacionadas a este estudio según sus distintos puntos de análisis. </w:t>
      </w:r>
    </w:p>
    <w:p w:rsidR="00F30CF1" w:rsidRDefault="00F30CF1" w:rsidP="00F30CF1">
      <w:pPr>
        <w:spacing w:line="360" w:lineRule="auto"/>
        <w:ind w:firstLine="708"/>
        <w:jc w:val="both"/>
      </w:pPr>
      <w:r>
        <w:rPr>
          <w:rFonts w:ascii="Arial" w:eastAsia="Times New Roman" w:hAnsi="Arial" w:cs="Arial"/>
          <w:color w:val="000000"/>
          <w:sz w:val="24"/>
          <w:szCs w:val="24"/>
          <w:lang w:eastAsia="es-CR"/>
        </w:rPr>
        <w:t xml:space="preserve">En el marco general de las estructuras jurídicas e institucionales del tema de pesca en Costa Rica, se establece un sistema legal para la organización de la actividad pesquera, el cual conlleva una serie de leyes, normas, políticas públicas, instituciones y proyectos relacionados a estos procesos. Específicamente, en el tema de la normativa sobre las AMPR, es importante destacar que suponen una gobernanza compartida con las localidades, al darle un sentido de participación más amplio, pero según experiencias de actores locales, se concluye que muchas veces existe cierta confianza de las instituciones con este concepto, dejando de lado el acompañamiento permanente que por naturaleza las instituciones debería de otorgar, ya que por más participativa que sea, existen procesos burocráticos y de gestión en donde no existió, ni existe, un verdadero acompañamiento. </w:t>
      </w:r>
    </w:p>
    <w:p w:rsidR="00F30CF1" w:rsidRDefault="00F30CF1" w:rsidP="00F30CF1">
      <w:pPr>
        <w:spacing w:line="360" w:lineRule="auto"/>
        <w:ind w:firstLine="708"/>
        <w:jc w:val="both"/>
      </w:pPr>
      <w:r>
        <w:rPr>
          <w:rFonts w:ascii="Arial" w:eastAsia="Times New Roman" w:hAnsi="Arial" w:cs="Arial"/>
          <w:color w:val="000000"/>
          <w:sz w:val="24"/>
          <w:szCs w:val="24"/>
          <w:lang w:eastAsia="es-CR"/>
        </w:rPr>
        <w:t xml:space="preserve">En cuanto a las instituciones públicas vinculadas en este proceso, se rescata el papel del INCOPESCA como organización rectora en el tema de pesca. Aunque </w:t>
      </w:r>
      <w:r>
        <w:rPr>
          <w:rFonts w:ascii="Arial" w:eastAsia="Times New Roman" w:hAnsi="Arial" w:cs="Arial"/>
          <w:color w:val="000000"/>
          <w:sz w:val="24"/>
          <w:szCs w:val="24"/>
          <w:lang w:eastAsia="es-CR"/>
        </w:rPr>
        <w:lastRenderedPageBreak/>
        <w:t xml:space="preserve">la iniciativa de la creación del AMPR implicó un esfuerzo principalmente comunal, existió anuencia por parte de esta institución para apoyar la iniciativa. No obstante, se deduce que el INCOPESCA presenta debilidades a la hora de gestionar este tipo de proyectos, donde la misma se limita a procesos burocráticos. Por tanto, una conclusión válida, desde el punto de vista de la estructura institucional, es que su intervención conlleva formas de gestión incompletas de la política de pesca; incompletas porque, en conjunto con todo el demás entramado institucional relacionado a la pesca, dicha intervención está lejos de procurar un verdadero desarrollo o en este caso, mitigación de la problemática. Esto porque su aplicación en el campo es pobremente ejecutada. </w:t>
      </w:r>
    </w:p>
    <w:p w:rsidR="00F30CF1" w:rsidRDefault="00F30CF1" w:rsidP="00F30CF1">
      <w:pPr>
        <w:spacing w:line="360" w:lineRule="auto"/>
        <w:ind w:firstLine="708"/>
        <w:jc w:val="both"/>
      </w:pPr>
      <w:r>
        <w:rPr>
          <w:rFonts w:ascii="Arial" w:eastAsia="Times New Roman" w:hAnsi="Arial" w:cs="Arial"/>
          <w:color w:val="000000"/>
          <w:sz w:val="24"/>
          <w:szCs w:val="24"/>
          <w:lang w:eastAsia="es-CR"/>
        </w:rPr>
        <w:t>Desde el apartado de las estrategias institucionales en la implementación y gestión del AMPR Paquera-Tambor; se logra concluir que a pesar de que existen instituciones y normativas específicas para este tipo de proyectos, esa “intervención” estatal debe hacer un esfuerzo por comprender las formas organizativas presentes en la zona, en este caso el Comité de Gobernanza Local  es la instancia administrativa más directa en cuanto al AMPR, y dar respuesta a estas intervenciones, considerando la cotidianidad y las realidades específicas de las localidades.</w:t>
      </w:r>
    </w:p>
    <w:p w:rsidR="00F30CF1" w:rsidRDefault="00F30CF1" w:rsidP="00F30CF1">
      <w:pPr>
        <w:spacing w:line="360" w:lineRule="auto"/>
        <w:ind w:firstLine="708"/>
        <w:jc w:val="both"/>
      </w:pPr>
      <w:r>
        <w:rPr>
          <w:rFonts w:ascii="Arial" w:eastAsia="Times New Roman" w:hAnsi="Arial" w:cs="Arial"/>
          <w:color w:val="000000"/>
          <w:sz w:val="24"/>
          <w:szCs w:val="24"/>
          <w:lang w:eastAsia="es-CR"/>
        </w:rPr>
        <w:t xml:space="preserve">Siguiendo en esa línea, no se puede interpretar que el trabajo realizado para la creación del AMPR fue una imposición institucional, porque no fue de tal manera, ya que el papel de la localidad fue protagónico; pero tampoco se puede deducir que fue una estrategia autónoma o auto gestionada, ya que si existe una presencia institucional, principalmente en la perspectiva de lo formal y de lo burocrático. </w:t>
      </w:r>
    </w:p>
    <w:p w:rsidR="00F30CF1" w:rsidRDefault="00F30CF1" w:rsidP="00F30CF1">
      <w:pPr>
        <w:spacing w:line="360" w:lineRule="auto"/>
        <w:ind w:firstLine="708"/>
        <w:jc w:val="both"/>
      </w:pPr>
      <w:r>
        <w:rPr>
          <w:rFonts w:ascii="Arial" w:eastAsia="Times New Roman" w:hAnsi="Arial" w:cs="Arial"/>
          <w:color w:val="000000"/>
          <w:sz w:val="24"/>
          <w:szCs w:val="24"/>
          <w:lang w:eastAsia="es-CR"/>
        </w:rPr>
        <w:t xml:space="preserve">Ahora, desde el punto de vista de la lógica o naturaleza del Estado Social de Derecho y su intervención en los problemas sociales, se logra concluir que por parte del Estado, representado por el INCOPESCA y demás, realmente nunca existió un interés de intervenir en la problemática de estas comunidades, ya que como se ha mencionado varias veces, la idea o solicitud fue por parte de la misma comunidad, evidenciando así una debilidad más en cuanto a la capacidad de comprender los </w:t>
      </w:r>
      <w:r>
        <w:rPr>
          <w:rFonts w:ascii="Arial" w:eastAsia="Times New Roman" w:hAnsi="Arial" w:cs="Arial"/>
          <w:color w:val="000000"/>
          <w:sz w:val="24"/>
          <w:szCs w:val="24"/>
          <w:lang w:eastAsia="es-CR"/>
        </w:rPr>
        <w:lastRenderedPageBreak/>
        <w:t>problemas estructurales que enfrentan estas comunidades rurales-costeras, las cuales históricamente son las que presentan mayores desigualdades en el país.</w:t>
      </w:r>
    </w:p>
    <w:p w:rsidR="00F30CF1" w:rsidRDefault="00F30CF1" w:rsidP="00F30CF1">
      <w:pPr>
        <w:spacing w:line="360" w:lineRule="auto"/>
        <w:ind w:firstLine="708"/>
        <w:jc w:val="both"/>
        <w:rPr>
          <w:rFonts w:ascii="Arial" w:eastAsia="Times New Roman" w:hAnsi="Arial" w:cs="Arial"/>
          <w:color w:val="000000"/>
          <w:sz w:val="24"/>
          <w:szCs w:val="24"/>
          <w:lang w:eastAsia="es-CR"/>
        </w:rPr>
      </w:pPr>
      <w:r>
        <w:rPr>
          <w:rFonts w:ascii="Arial" w:eastAsia="Times New Roman" w:hAnsi="Arial" w:cs="Arial"/>
          <w:color w:val="000000"/>
          <w:sz w:val="24"/>
          <w:szCs w:val="24"/>
          <w:lang w:eastAsia="es-CR"/>
        </w:rPr>
        <w:t>Como consecuencia de esa solicitud local para desarrollar el proyecto del AMPR, lo más consistente en la práctica institucional fue dar los lineamientos y procesos para implementar el mismo, en el sentido de servir como apoyo organizativo y jurídico, es quizá esa la principal interpretación a modo de conclusión del apartado de las estrategias institucionales en el AMPR Paquera-Tambor.</w:t>
      </w:r>
    </w:p>
    <w:p w:rsidR="00F30CF1" w:rsidRDefault="00F30CF1" w:rsidP="00F30CF1">
      <w:pPr>
        <w:spacing w:line="360" w:lineRule="auto"/>
        <w:ind w:firstLine="708"/>
        <w:jc w:val="both"/>
      </w:pPr>
      <w:r>
        <w:rPr>
          <w:rFonts w:ascii="Arial" w:eastAsia="Times New Roman" w:hAnsi="Arial" w:cs="Arial"/>
          <w:color w:val="000000"/>
          <w:sz w:val="24"/>
          <w:szCs w:val="24"/>
          <w:lang w:eastAsia="es-CR"/>
        </w:rPr>
        <w:t xml:space="preserve">En otra dimensión de análisis, que se refiere a las acciones/estrategias locales de desarrollo, pone en evidencia el papel protagónico de los actores comunales en la gestión del AMPR y de su capacidad de desarrollar otros proyectos complementarios que hoy en día continúan en funcionamiento, como es el caso de los centros de acopio y la planta de procesamiento. </w:t>
      </w:r>
    </w:p>
    <w:p w:rsidR="00F30CF1" w:rsidRDefault="00F30CF1" w:rsidP="00F30CF1">
      <w:pPr>
        <w:spacing w:line="360" w:lineRule="auto"/>
        <w:ind w:firstLine="708"/>
        <w:jc w:val="both"/>
      </w:pPr>
      <w:r>
        <w:rPr>
          <w:rFonts w:ascii="Arial" w:eastAsia="Times New Roman" w:hAnsi="Arial" w:cs="Arial"/>
          <w:color w:val="000000"/>
          <w:sz w:val="24"/>
          <w:szCs w:val="24"/>
          <w:lang w:eastAsia="es-CR"/>
        </w:rPr>
        <w:t xml:space="preserve">La principal clave en este proceso local fue la visión sensible de las personas en percibir la problemática ambiental, económica y social alrededor de la pesca y su interés por intervenir de alguna u otra manera; esta acción tuvo uno de sus puntos cumbres a través de la solicitud al INCOPESCA de desarrollar el AMPR. La mencionada solicitud estuvo acompañada por otras estrategias que combinaron talleres, reuniones y capacitaciones para ponerse al tanto de la legislación y demás aspectos formales alrededor del proyecto. </w:t>
      </w:r>
    </w:p>
    <w:p w:rsidR="00F30CF1" w:rsidRDefault="00F30CF1" w:rsidP="00F30CF1">
      <w:pPr>
        <w:spacing w:line="360" w:lineRule="auto"/>
        <w:ind w:firstLine="708"/>
        <w:jc w:val="both"/>
      </w:pPr>
      <w:r>
        <w:rPr>
          <w:rFonts w:ascii="Arial" w:eastAsia="Times New Roman" w:hAnsi="Arial" w:cs="Arial"/>
          <w:color w:val="000000"/>
          <w:sz w:val="24"/>
          <w:szCs w:val="24"/>
          <w:lang w:eastAsia="es-CR"/>
        </w:rPr>
        <w:t>Estas organizaciones y actores locales durante todas las fases del AMPR han sido la pieza clave en todo este proceso; ya que para entenderlo de manera general, fue un proyecto en conjunto con la institucionalidad, pero este último funciona principalmente como un ente de legitimación institucional del proyecto, porque la mayoría del peso de decisiones y acciones recae principalmente en los actores locales.</w:t>
      </w:r>
    </w:p>
    <w:p w:rsidR="00F30CF1" w:rsidRDefault="00F30CF1" w:rsidP="00F30CF1">
      <w:pPr>
        <w:spacing w:line="360" w:lineRule="auto"/>
        <w:ind w:firstLine="708"/>
        <w:jc w:val="both"/>
      </w:pPr>
      <w:r>
        <w:rPr>
          <w:rFonts w:ascii="Arial" w:eastAsia="Times New Roman" w:hAnsi="Arial" w:cs="Arial"/>
          <w:color w:val="000000"/>
          <w:sz w:val="24"/>
          <w:szCs w:val="24"/>
          <w:lang w:eastAsia="es-CR"/>
        </w:rPr>
        <w:t xml:space="preserve">Las interpretaciones tradicionales sobre la intervención estatal en los problemas de las localidades, suelen presentarse como algo que se desarrolla de manera inevitable y/o natural, no obstante, este análisis arroja resultados que atribuyen a las comunidades el rol principal, dejando de lado ese carácter </w:t>
      </w:r>
      <w:r>
        <w:rPr>
          <w:rFonts w:ascii="Arial" w:eastAsia="Times New Roman" w:hAnsi="Arial" w:cs="Arial"/>
          <w:color w:val="000000"/>
          <w:sz w:val="24"/>
          <w:szCs w:val="24"/>
          <w:lang w:eastAsia="es-CR"/>
        </w:rPr>
        <w:lastRenderedPageBreak/>
        <w:t xml:space="preserve">conservador del Estado; lo que conlleva a otras nuevas prácticas de gobernanza desde lo local. </w:t>
      </w:r>
    </w:p>
    <w:p w:rsidR="00F30CF1" w:rsidRDefault="00F30CF1" w:rsidP="00F30CF1">
      <w:pPr>
        <w:spacing w:line="360" w:lineRule="auto"/>
        <w:ind w:firstLine="708"/>
        <w:jc w:val="both"/>
      </w:pPr>
      <w:r>
        <w:rPr>
          <w:rFonts w:ascii="Arial" w:eastAsia="Times New Roman" w:hAnsi="Arial" w:cs="Arial"/>
          <w:color w:val="000000"/>
          <w:sz w:val="24"/>
          <w:szCs w:val="24"/>
          <w:lang w:eastAsia="es-CR"/>
        </w:rPr>
        <w:t xml:space="preserve">Existen estudios de corte sociológico y de la psicología social, expuestos en el marco teórico, que indican que para que exista un verdadero desarrollo local y endógeno, es necesaria la participación activa y real de los actores locales como intérpretes de sus propias realidades; lo cual se constata y se refleja en el estudio de caso expuesto en este documento. </w:t>
      </w:r>
    </w:p>
    <w:p w:rsidR="00F30CF1" w:rsidRDefault="00F30CF1" w:rsidP="00F30CF1">
      <w:pPr>
        <w:spacing w:line="360" w:lineRule="auto"/>
        <w:ind w:firstLine="708"/>
        <w:jc w:val="both"/>
      </w:pPr>
      <w:r>
        <w:rPr>
          <w:rFonts w:ascii="Arial" w:eastAsia="Times New Roman" w:hAnsi="Arial" w:cs="Arial"/>
          <w:color w:val="000000"/>
          <w:sz w:val="24"/>
          <w:szCs w:val="24"/>
          <w:lang w:eastAsia="es-CR"/>
        </w:rPr>
        <w:t xml:space="preserve">Por consiguiente, se determina que si no hubiese sido por las acciones y decisiones de los actores locales y el proyecto hubiese quedado en manos únicamente del Estado, este hoy en día no continuaría prosperando;  ya que por los testimonios expuestos por actores claves, el acompañamiento en la labor de la gestión es casi nula por parte del INCOPESCA y, por el contrario, la comunidad ha desarrollado otras propuestas de desarrollo como la planta de procesamiento y el mercado de venta de productos en Santa Teresa. Este último se encuentra apenas en la fase de formulación, pero se percibe la iniciativa y el accionar de los actores locales por mejorar sus calidades de vida. </w:t>
      </w:r>
    </w:p>
    <w:p w:rsidR="00F30CF1" w:rsidRDefault="00F30CF1" w:rsidP="00F30CF1">
      <w:pPr>
        <w:spacing w:line="360" w:lineRule="auto"/>
        <w:ind w:firstLine="708"/>
        <w:jc w:val="both"/>
      </w:pPr>
      <w:r>
        <w:rPr>
          <w:rFonts w:ascii="Arial" w:eastAsia="Times New Roman" w:hAnsi="Arial" w:cs="Arial"/>
          <w:color w:val="000000"/>
          <w:sz w:val="24"/>
          <w:szCs w:val="24"/>
          <w:lang w:eastAsia="es-CR"/>
        </w:rPr>
        <w:t xml:space="preserve">En términos generales, se concluye que fue a través del accionar local y sus distintos niveles de articulación lo que benefició al éxito del proyecto en Paquera - Tambor; porque se coordinaron actividades de formación y organización, siempre aferrándose a la formalidad jurídica-institucional, pero manteniendo la figura protagónica y legítima. Por tanto, este estudio y esta experiencia local resultan fundamentales a la hora de entender la gobernanza y el desarrollo político, social, económico y ambiental desde la localidad. </w:t>
      </w:r>
    </w:p>
    <w:p w:rsidR="00F30CF1" w:rsidRDefault="00F30CF1" w:rsidP="00F30CF1">
      <w:pPr>
        <w:rPr>
          <w:rFonts w:ascii="Arial" w:eastAsiaTheme="majorEastAsia" w:hAnsi="Arial" w:cs="Arial"/>
          <w:b/>
          <w:color w:val="00000A"/>
          <w:sz w:val="26"/>
          <w:szCs w:val="26"/>
        </w:rPr>
      </w:pPr>
      <w:r>
        <w:rPr>
          <w:rFonts w:ascii="Arial" w:hAnsi="Arial" w:cs="Arial"/>
          <w:b/>
          <w:color w:val="00000A"/>
        </w:rPr>
        <w:br w:type="page"/>
      </w:r>
    </w:p>
    <w:p w:rsidR="00F30CF1" w:rsidRPr="00600522" w:rsidRDefault="00F30CF1" w:rsidP="00F30CF1">
      <w:pPr>
        <w:pStyle w:val="Ttulo2"/>
        <w:numPr>
          <w:ilvl w:val="1"/>
          <w:numId w:val="29"/>
        </w:numPr>
        <w:spacing w:before="200" w:line="360" w:lineRule="auto"/>
        <w:rPr>
          <w:rFonts w:ascii="Arial" w:hAnsi="Arial" w:cs="Arial"/>
          <w:b/>
          <w:color w:val="00000A"/>
        </w:rPr>
      </w:pPr>
      <w:bookmarkStart w:id="81" w:name="_Toc50906718"/>
      <w:r w:rsidRPr="00600522">
        <w:rPr>
          <w:rFonts w:ascii="Arial" w:hAnsi="Arial" w:cs="Arial"/>
          <w:b/>
          <w:color w:val="00000A"/>
        </w:rPr>
        <w:lastRenderedPageBreak/>
        <w:t>Recomendaciones</w:t>
      </w:r>
      <w:bookmarkEnd w:id="81"/>
    </w:p>
    <w:p w:rsidR="00F30CF1" w:rsidRDefault="00F30CF1" w:rsidP="00F30CF1">
      <w:pPr>
        <w:spacing w:before="240" w:line="360" w:lineRule="auto"/>
        <w:ind w:firstLine="708"/>
        <w:jc w:val="both"/>
        <w:rPr>
          <w:rFonts w:ascii="Arial" w:eastAsia="Times New Roman" w:hAnsi="Arial" w:cs="Arial"/>
          <w:color w:val="000000"/>
          <w:sz w:val="24"/>
          <w:szCs w:val="24"/>
          <w:lang w:eastAsia="es-CR"/>
        </w:rPr>
      </w:pPr>
      <w:r>
        <w:rPr>
          <w:rFonts w:ascii="Arial" w:eastAsia="Times New Roman" w:hAnsi="Arial" w:cs="Arial"/>
          <w:color w:val="000000"/>
          <w:sz w:val="24"/>
          <w:szCs w:val="24"/>
          <w:lang w:eastAsia="es-CR"/>
        </w:rPr>
        <w:t xml:space="preserve">A partir de lo difundido anteriormente, sea sugieren algunas recomendaciones particulares que pueden ser retomados en otras investigaciones, o por las mismas instituciones públicas y actores locales vinculados a este estudio, con el fin de poseer una perspectiva más amplia sobre las AMPR en el país. </w:t>
      </w:r>
    </w:p>
    <w:p w:rsidR="00F30CF1" w:rsidRDefault="00F30CF1" w:rsidP="00F30CF1">
      <w:pPr>
        <w:pStyle w:val="Prrafodelista"/>
        <w:numPr>
          <w:ilvl w:val="0"/>
          <w:numId w:val="30"/>
        </w:numPr>
        <w:spacing w:before="240" w:line="360" w:lineRule="auto"/>
        <w:jc w:val="both"/>
        <w:rPr>
          <w:rFonts w:ascii="Arial" w:eastAsia="Times New Roman" w:hAnsi="Arial" w:cs="Arial"/>
          <w:color w:val="000000"/>
          <w:sz w:val="24"/>
          <w:szCs w:val="24"/>
          <w:lang w:eastAsia="es-CR"/>
        </w:rPr>
      </w:pPr>
      <w:r>
        <w:rPr>
          <w:rFonts w:ascii="Arial" w:eastAsia="Times New Roman" w:hAnsi="Arial" w:cs="Arial"/>
          <w:color w:val="000000"/>
          <w:sz w:val="24"/>
          <w:szCs w:val="24"/>
          <w:lang w:eastAsia="es-CR"/>
        </w:rPr>
        <w:t xml:space="preserve">Motivar la investigación y la docencia sobre temáticas poco estudiadas desde la Planificación y Promoción Social en temas de políticas públicas, desarrollo local y participación social desde una perspectiva crítica y poco tradicional. </w:t>
      </w:r>
    </w:p>
    <w:p w:rsidR="00F30CF1" w:rsidRDefault="00F30CF1" w:rsidP="00F30CF1">
      <w:pPr>
        <w:pStyle w:val="Prrafodelista"/>
        <w:numPr>
          <w:ilvl w:val="0"/>
          <w:numId w:val="30"/>
        </w:numPr>
        <w:spacing w:before="240" w:line="360" w:lineRule="auto"/>
        <w:jc w:val="both"/>
      </w:pPr>
      <w:r>
        <w:rPr>
          <w:rFonts w:ascii="Arial" w:eastAsia="Times New Roman" w:hAnsi="Arial" w:cs="Arial"/>
          <w:color w:val="000000"/>
          <w:sz w:val="24"/>
          <w:szCs w:val="24"/>
          <w:lang w:eastAsia="es-CR"/>
        </w:rPr>
        <w:t xml:space="preserve">Incentivar a las comunidades que componen el Área Marina de Pesca Responsable Paquera-Tambor a continuar con su labor ardua en cuanto al desarrollo de acciones y/o estrategias locales para el mejoramiento de sus realidades. </w:t>
      </w:r>
    </w:p>
    <w:p w:rsidR="00F30CF1" w:rsidRDefault="00F30CF1" w:rsidP="00F30CF1">
      <w:pPr>
        <w:pStyle w:val="Prrafodelista"/>
        <w:numPr>
          <w:ilvl w:val="0"/>
          <w:numId w:val="30"/>
        </w:numPr>
        <w:spacing w:before="240" w:line="360" w:lineRule="auto"/>
        <w:jc w:val="both"/>
        <w:rPr>
          <w:rFonts w:ascii="Arial" w:eastAsia="Times New Roman" w:hAnsi="Arial" w:cs="Arial"/>
          <w:color w:val="000000"/>
          <w:sz w:val="24"/>
          <w:szCs w:val="24"/>
          <w:lang w:eastAsia="es-CR"/>
        </w:rPr>
      </w:pPr>
      <w:r>
        <w:rPr>
          <w:rFonts w:ascii="Arial" w:eastAsia="Times New Roman" w:hAnsi="Arial" w:cs="Arial"/>
          <w:color w:val="000000"/>
          <w:sz w:val="24"/>
          <w:szCs w:val="24"/>
          <w:lang w:eastAsia="es-CR"/>
        </w:rPr>
        <w:t>Demandar a la institucionalidad pública relacionada al tema de pesca, principalmente al INCOPESCA, a conservar procesos de desarrollo más estructurados y sistemáticos, manteniendo siempre la perspectiva de la participación y la gobernanza.</w:t>
      </w:r>
    </w:p>
    <w:p w:rsidR="00F30CF1" w:rsidRDefault="00F30CF1" w:rsidP="00F30CF1">
      <w:pPr>
        <w:pStyle w:val="Prrafodelista"/>
        <w:numPr>
          <w:ilvl w:val="0"/>
          <w:numId w:val="30"/>
        </w:numPr>
        <w:spacing w:before="240" w:line="360" w:lineRule="auto"/>
        <w:jc w:val="both"/>
        <w:rPr>
          <w:rFonts w:ascii="Arial" w:eastAsia="Times New Roman" w:hAnsi="Arial" w:cs="Arial"/>
          <w:color w:val="000000"/>
          <w:sz w:val="24"/>
          <w:szCs w:val="24"/>
          <w:lang w:eastAsia="es-CR"/>
        </w:rPr>
      </w:pPr>
      <w:r>
        <w:rPr>
          <w:rFonts w:ascii="Arial" w:eastAsia="Times New Roman" w:hAnsi="Arial" w:cs="Arial"/>
          <w:color w:val="000000"/>
          <w:sz w:val="24"/>
          <w:szCs w:val="24"/>
          <w:lang w:eastAsia="es-CR"/>
        </w:rPr>
        <w:t>Se recomienda al INCOPESCA, tener una mayor iniciativa en cuanto a ofrecer (de una manera no autoritaria) el proyecto del AMPR a otras localidades del país como una iniciativa de desarrollo local.</w:t>
      </w:r>
    </w:p>
    <w:p w:rsidR="00F30CF1" w:rsidRDefault="00F30CF1" w:rsidP="00F30CF1">
      <w:pPr>
        <w:pStyle w:val="Prrafodelista"/>
        <w:numPr>
          <w:ilvl w:val="0"/>
          <w:numId w:val="30"/>
        </w:numPr>
        <w:spacing w:before="240" w:line="360" w:lineRule="auto"/>
        <w:jc w:val="both"/>
        <w:rPr>
          <w:rFonts w:ascii="Arial" w:eastAsia="Times New Roman" w:hAnsi="Arial" w:cs="Arial"/>
          <w:color w:val="000000"/>
          <w:sz w:val="24"/>
          <w:szCs w:val="24"/>
          <w:lang w:eastAsia="es-CR"/>
        </w:rPr>
      </w:pPr>
      <w:r>
        <w:rPr>
          <w:rFonts w:ascii="Arial" w:eastAsia="Times New Roman" w:hAnsi="Arial" w:cs="Arial"/>
          <w:color w:val="000000"/>
          <w:sz w:val="24"/>
          <w:szCs w:val="24"/>
          <w:lang w:eastAsia="es-CR"/>
        </w:rPr>
        <w:t xml:space="preserve">Se torna necesario que el INCOPESCA tenga mayor presencia en cuanto a la gestión del AMPR, así como también en la implementación de mecanismos de evaluación. </w:t>
      </w:r>
    </w:p>
    <w:p w:rsidR="00F30CF1" w:rsidRDefault="00F30CF1" w:rsidP="00F30CF1">
      <w:pPr>
        <w:pStyle w:val="Prrafodelista"/>
        <w:numPr>
          <w:ilvl w:val="0"/>
          <w:numId w:val="30"/>
        </w:numPr>
        <w:spacing w:before="240" w:line="360" w:lineRule="auto"/>
        <w:jc w:val="both"/>
        <w:rPr>
          <w:rFonts w:ascii="Arial" w:eastAsia="Times New Roman" w:hAnsi="Arial" w:cs="Arial"/>
          <w:color w:val="000000"/>
          <w:sz w:val="24"/>
          <w:szCs w:val="24"/>
          <w:lang w:eastAsia="es-CR"/>
        </w:rPr>
      </w:pPr>
      <w:r>
        <w:rPr>
          <w:rFonts w:ascii="Arial" w:eastAsia="Times New Roman" w:hAnsi="Arial" w:cs="Arial"/>
          <w:color w:val="000000"/>
          <w:sz w:val="24"/>
          <w:szCs w:val="24"/>
          <w:lang w:eastAsia="es-CR"/>
        </w:rPr>
        <w:t xml:space="preserve">Se sugiere implementar por parte de la institucionalidad una guía o memorándum de la experiencia del proyecto en Paquera-Tambor, para que en futuros proyectos similares no se cuente con las deficiencias o debilidades encontradas en el proceso descrito. </w:t>
      </w:r>
    </w:p>
    <w:p w:rsidR="00F30CF1" w:rsidRPr="00600522" w:rsidRDefault="00F30CF1" w:rsidP="00F30CF1">
      <w:pPr>
        <w:pStyle w:val="Prrafodelista"/>
        <w:numPr>
          <w:ilvl w:val="0"/>
          <w:numId w:val="30"/>
        </w:numPr>
        <w:spacing w:before="240" w:line="360" w:lineRule="auto"/>
        <w:jc w:val="both"/>
      </w:pPr>
      <w:r>
        <w:rPr>
          <w:rFonts w:ascii="Arial" w:eastAsia="Times New Roman" w:hAnsi="Arial" w:cs="Arial"/>
          <w:color w:val="000000"/>
          <w:sz w:val="24"/>
          <w:szCs w:val="24"/>
          <w:lang w:eastAsia="es-CR"/>
        </w:rPr>
        <w:t>A la UNA, específicamente a los procesos de prácticas organizativas y profesionales de la EPPS en el área del AMPR, se le recomienda considerar este estudio para comprender la naturaleza jurídica, institucional y de las acciones/estrategias locales de este proyecto.</w:t>
      </w:r>
    </w:p>
    <w:p w:rsidR="00F30CF1" w:rsidRPr="00600522" w:rsidRDefault="00F30CF1" w:rsidP="00F30CF1">
      <w:pPr>
        <w:pStyle w:val="Ttulo2"/>
        <w:numPr>
          <w:ilvl w:val="1"/>
          <w:numId w:val="29"/>
        </w:numPr>
        <w:spacing w:before="200" w:line="360" w:lineRule="auto"/>
        <w:rPr>
          <w:b/>
        </w:rPr>
      </w:pPr>
      <w:bookmarkStart w:id="82" w:name="_Toc49628466"/>
      <w:bookmarkStart w:id="83" w:name="_Toc50906719"/>
      <w:r w:rsidRPr="00600522">
        <w:rPr>
          <w:rFonts w:ascii="Arial" w:hAnsi="Arial" w:cs="Arial"/>
          <w:b/>
          <w:color w:val="00000A"/>
        </w:rPr>
        <w:lastRenderedPageBreak/>
        <w:t>Alcances y limitaciones de la investigación</w:t>
      </w:r>
      <w:bookmarkEnd w:id="82"/>
      <w:bookmarkEnd w:id="83"/>
      <w:r w:rsidRPr="00600522">
        <w:rPr>
          <w:rFonts w:ascii="Arial" w:hAnsi="Arial" w:cs="Arial"/>
          <w:b/>
          <w:color w:val="00000A"/>
        </w:rPr>
        <w:t xml:space="preserve"> </w:t>
      </w:r>
    </w:p>
    <w:p w:rsidR="00F30CF1" w:rsidRDefault="00F30CF1" w:rsidP="00F30CF1">
      <w:pPr>
        <w:spacing w:before="240" w:line="360" w:lineRule="auto"/>
        <w:ind w:firstLine="708"/>
        <w:jc w:val="both"/>
        <w:rPr>
          <w:rFonts w:ascii="Arial" w:hAnsi="Arial" w:cs="Arial"/>
          <w:sz w:val="24"/>
        </w:rPr>
      </w:pPr>
      <w:r>
        <w:rPr>
          <w:rFonts w:ascii="Arial" w:hAnsi="Arial" w:cs="Arial"/>
          <w:sz w:val="24"/>
        </w:rPr>
        <w:t xml:space="preserve">Desde la experiencia de este estudio, se presentan a continuación algunas de los principales alcances y limitaciones presentados durante todo el proceso de investigación. </w:t>
      </w:r>
    </w:p>
    <w:p w:rsidR="00F30CF1" w:rsidRDefault="00F30CF1" w:rsidP="00F30CF1">
      <w:pPr>
        <w:tabs>
          <w:tab w:val="left" w:pos="1870"/>
        </w:tabs>
        <w:spacing w:before="240" w:line="360" w:lineRule="auto"/>
        <w:jc w:val="both"/>
        <w:rPr>
          <w:rFonts w:ascii="Arial" w:hAnsi="Arial" w:cs="Arial"/>
          <w:b/>
          <w:sz w:val="24"/>
        </w:rPr>
      </w:pPr>
      <w:r>
        <w:rPr>
          <w:rFonts w:ascii="Arial" w:hAnsi="Arial" w:cs="Arial"/>
          <w:b/>
          <w:sz w:val="24"/>
        </w:rPr>
        <w:t>Alcances</w:t>
      </w:r>
      <w:r>
        <w:rPr>
          <w:rFonts w:ascii="Arial" w:hAnsi="Arial" w:cs="Arial"/>
          <w:b/>
          <w:sz w:val="24"/>
        </w:rPr>
        <w:tab/>
      </w:r>
    </w:p>
    <w:p w:rsidR="00F30CF1" w:rsidRDefault="00F30CF1" w:rsidP="00F30CF1">
      <w:pPr>
        <w:pStyle w:val="Prrafodelista"/>
        <w:numPr>
          <w:ilvl w:val="0"/>
          <w:numId w:val="31"/>
        </w:numPr>
        <w:tabs>
          <w:tab w:val="left" w:pos="1870"/>
        </w:tabs>
        <w:spacing w:before="240" w:line="360" w:lineRule="auto"/>
        <w:jc w:val="both"/>
        <w:rPr>
          <w:rFonts w:ascii="Arial" w:hAnsi="Arial" w:cs="Arial"/>
          <w:sz w:val="24"/>
        </w:rPr>
      </w:pPr>
      <w:r>
        <w:rPr>
          <w:rFonts w:ascii="Arial" w:hAnsi="Arial" w:cs="Arial"/>
          <w:sz w:val="24"/>
        </w:rPr>
        <w:t xml:space="preserve">La oportunidad de desarrollar un proceso de investigación en una localidad tan particular como el Golfo de Nicoya, aportando así desde mi experiencia y conocimiento académico al entendimiento y comprensión de las dinámicas sociales, políticas, económicas y ambientales de esta localidad. </w:t>
      </w:r>
    </w:p>
    <w:p w:rsidR="00F30CF1" w:rsidRDefault="00F30CF1" w:rsidP="00F30CF1">
      <w:pPr>
        <w:pStyle w:val="Prrafodelista"/>
        <w:numPr>
          <w:ilvl w:val="0"/>
          <w:numId w:val="31"/>
        </w:numPr>
        <w:tabs>
          <w:tab w:val="left" w:pos="1870"/>
        </w:tabs>
        <w:spacing w:before="240" w:line="360" w:lineRule="auto"/>
        <w:jc w:val="both"/>
      </w:pPr>
      <w:r>
        <w:rPr>
          <w:rFonts w:ascii="Arial" w:hAnsi="Arial" w:cs="Arial"/>
          <w:sz w:val="24"/>
        </w:rPr>
        <w:t>Comprender el rol del Estado costarricense en políticas específicas en zonas costeras del país para entender sus limitaciones, debilidades y fortalezas.</w:t>
      </w:r>
    </w:p>
    <w:p w:rsidR="00F30CF1" w:rsidRDefault="00F30CF1" w:rsidP="00F30CF1">
      <w:pPr>
        <w:pStyle w:val="Prrafodelista"/>
        <w:numPr>
          <w:ilvl w:val="0"/>
          <w:numId w:val="31"/>
        </w:numPr>
        <w:tabs>
          <w:tab w:val="left" w:pos="1870"/>
        </w:tabs>
        <w:spacing w:before="240" w:line="360" w:lineRule="auto"/>
        <w:jc w:val="both"/>
        <w:rPr>
          <w:rFonts w:ascii="Arial" w:hAnsi="Arial" w:cs="Arial"/>
          <w:sz w:val="24"/>
        </w:rPr>
      </w:pPr>
      <w:r>
        <w:rPr>
          <w:rFonts w:ascii="Arial" w:hAnsi="Arial" w:cs="Arial"/>
          <w:sz w:val="24"/>
        </w:rPr>
        <w:t xml:space="preserve">El desarrollo de mis conocimientos académicos y profesionales a partir de esta experiencia tan enriquecedora. </w:t>
      </w:r>
    </w:p>
    <w:p w:rsidR="00F30CF1" w:rsidRPr="00600522" w:rsidRDefault="00F30CF1" w:rsidP="00F30CF1">
      <w:pPr>
        <w:pStyle w:val="Prrafodelista"/>
        <w:numPr>
          <w:ilvl w:val="0"/>
          <w:numId w:val="31"/>
        </w:numPr>
        <w:tabs>
          <w:tab w:val="left" w:pos="1870"/>
        </w:tabs>
        <w:spacing w:before="240" w:line="360" w:lineRule="auto"/>
        <w:jc w:val="both"/>
        <w:rPr>
          <w:rFonts w:ascii="Arial" w:hAnsi="Arial" w:cs="Arial"/>
          <w:sz w:val="24"/>
        </w:rPr>
      </w:pPr>
      <w:r>
        <w:rPr>
          <w:rFonts w:ascii="Arial" w:hAnsi="Arial" w:cs="Arial"/>
          <w:sz w:val="24"/>
        </w:rPr>
        <w:t>Vinculación y socialización con actores de la comunidad con una perspectiva de desarrollo local muy definida, la cual fue de gran provecho y quedará en la posteridad.</w:t>
      </w:r>
    </w:p>
    <w:p w:rsidR="00F30CF1" w:rsidRDefault="00F30CF1" w:rsidP="00F30CF1">
      <w:pPr>
        <w:spacing w:before="240" w:line="360" w:lineRule="auto"/>
        <w:jc w:val="both"/>
      </w:pPr>
      <w:r>
        <w:rPr>
          <w:rFonts w:ascii="Arial" w:hAnsi="Arial" w:cs="Arial"/>
          <w:b/>
          <w:sz w:val="24"/>
        </w:rPr>
        <w:t>Limitaciones</w:t>
      </w:r>
    </w:p>
    <w:p w:rsidR="00F30CF1" w:rsidRDefault="00F30CF1" w:rsidP="00F30CF1">
      <w:pPr>
        <w:pStyle w:val="Prrafodelista"/>
        <w:numPr>
          <w:ilvl w:val="0"/>
          <w:numId w:val="32"/>
        </w:numPr>
        <w:spacing w:before="240" w:line="360" w:lineRule="auto"/>
        <w:jc w:val="both"/>
        <w:rPr>
          <w:rFonts w:ascii="Arial" w:hAnsi="Arial" w:cs="Arial"/>
          <w:sz w:val="24"/>
        </w:rPr>
      </w:pPr>
      <w:r>
        <w:rPr>
          <w:rFonts w:ascii="Arial" w:hAnsi="Arial" w:cs="Arial"/>
          <w:sz w:val="24"/>
        </w:rPr>
        <w:t xml:space="preserve">Poca anuencia por parte de autoridades del sector institucional a la hora de brindar alguna información o alguna cita personal para abarcar el objeto de estudio. </w:t>
      </w:r>
    </w:p>
    <w:p w:rsidR="00F30CF1" w:rsidRPr="00F30CF1" w:rsidRDefault="00F30CF1" w:rsidP="00F30CF1">
      <w:pPr>
        <w:pStyle w:val="Prrafodelista"/>
        <w:numPr>
          <w:ilvl w:val="0"/>
          <w:numId w:val="32"/>
        </w:numPr>
        <w:spacing w:line="360" w:lineRule="auto"/>
        <w:jc w:val="both"/>
        <w:rPr>
          <w:rFonts w:ascii="Arial" w:hAnsi="Arial" w:cs="Arial"/>
          <w:bCs/>
          <w:sz w:val="24"/>
          <w:szCs w:val="24"/>
        </w:rPr>
      </w:pPr>
      <w:r w:rsidRPr="00F30CF1">
        <w:rPr>
          <w:rFonts w:ascii="Arial" w:hAnsi="Arial" w:cs="Arial"/>
          <w:sz w:val="24"/>
        </w:rPr>
        <w:t>Por la situación del COVID-19, en los últimos 4 meses, esta investigación se limitó a entrevistas vía correo electrónico o por llamadas telefónicas, por lo que no se propició un acercamiento más personal con algunos actores.</w:t>
      </w:r>
    </w:p>
    <w:p w:rsidR="00477601" w:rsidRDefault="00477601"/>
    <w:p w:rsidR="00F30CF1" w:rsidRDefault="00F30CF1"/>
    <w:p w:rsidR="00F30CF1" w:rsidRDefault="00F30CF1"/>
    <w:p w:rsidR="00F30CF1" w:rsidRDefault="00F30CF1"/>
    <w:p w:rsidR="00F30CF1" w:rsidRDefault="00F30CF1" w:rsidP="00F30CF1">
      <w:pPr>
        <w:pStyle w:val="Ttulo1"/>
        <w:spacing w:line="480" w:lineRule="auto"/>
      </w:pPr>
      <w:bookmarkStart w:id="84" w:name="_Toc50906720"/>
      <w:r>
        <w:rPr>
          <w:szCs w:val="28"/>
        </w:rPr>
        <w:lastRenderedPageBreak/>
        <w:t>Bibliografía</w:t>
      </w:r>
      <w:bookmarkEnd w:id="84"/>
    </w:p>
    <w:p w:rsidR="00F30CF1" w:rsidRDefault="00F30CF1" w:rsidP="00F30CF1">
      <w:pPr>
        <w:spacing w:before="240" w:line="360" w:lineRule="auto"/>
        <w:ind w:left="709" w:hanging="709"/>
        <w:jc w:val="both"/>
      </w:pPr>
      <w:r>
        <w:rPr>
          <w:rFonts w:ascii="Arial" w:hAnsi="Arial" w:cs="Arial"/>
          <w:sz w:val="24"/>
        </w:rPr>
        <w:t xml:space="preserve">Abarca, A. Alpízar, F. Sibaja, G. Rojas, C. (2013). </w:t>
      </w:r>
      <w:r>
        <w:rPr>
          <w:rFonts w:ascii="Arial" w:hAnsi="Arial" w:cs="Arial"/>
          <w:i/>
          <w:sz w:val="24"/>
        </w:rPr>
        <w:t>Técnicas Cualitativas de Investigación.</w:t>
      </w:r>
      <w:r>
        <w:rPr>
          <w:rFonts w:ascii="Arial" w:hAnsi="Arial" w:cs="Arial"/>
          <w:sz w:val="24"/>
        </w:rPr>
        <w:t xml:space="preserve"> Editorial UCR. San Pedro, Costa Rica.  </w:t>
      </w:r>
    </w:p>
    <w:p w:rsidR="00F30CF1" w:rsidRDefault="00F30CF1" w:rsidP="00F30CF1">
      <w:pPr>
        <w:spacing w:line="360" w:lineRule="auto"/>
        <w:ind w:left="709" w:hanging="709"/>
        <w:jc w:val="both"/>
      </w:pPr>
      <w:r>
        <w:rPr>
          <w:rFonts w:ascii="Arial" w:hAnsi="Arial" w:cs="Arial"/>
          <w:sz w:val="24"/>
        </w:rPr>
        <w:t xml:space="preserve">Aguilar, L. Zárate, R. (2016). </w:t>
      </w:r>
      <w:r>
        <w:rPr>
          <w:rFonts w:ascii="Arial" w:hAnsi="Arial" w:cs="Arial"/>
          <w:i/>
          <w:sz w:val="24"/>
        </w:rPr>
        <w:t xml:space="preserve">Diagnóstico Comunitario de Isla Caballo, Puntarenas. </w:t>
      </w:r>
      <w:r>
        <w:rPr>
          <w:rFonts w:ascii="Arial" w:hAnsi="Arial" w:cs="Arial"/>
          <w:sz w:val="24"/>
        </w:rPr>
        <w:t xml:space="preserve">EPPS, Universidad Nacional. Heredia, Costa Rica. </w:t>
      </w:r>
    </w:p>
    <w:p w:rsidR="00F30CF1" w:rsidRDefault="00F30CF1" w:rsidP="00F30CF1">
      <w:pPr>
        <w:spacing w:before="240" w:line="360" w:lineRule="auto"/>
        <w:ind w:left="709" w:hanging="709"/>
        <w:jc w:val="both"/>
      </w:pPr>
      <w:r>
        <w:rPr>
          <w:rFonts w:ascii="Arial" w:hAnsi="Arial" w:cs="Arial"/>
          <w:sz w:val="24"/>
          <w:szCs w:val="24"/>
        </w:rPr>
        <w:t xml:space="preserve">Ander-Egg. (1999). </w:t>
      </w:r>
      <w:r>
        <w:rPr>
          <w:rFonts w:ascii="Arial" w:hAnsi="Arial" w:cs="Arial"/>
          <w:i/>
          <w:sz w:val="24"/>
          <w:szCs w:val="24"/>
        </w:rPr>
        <w:t>Técnicas de Investigación Social</w:t>
      </w:r>
      <w:r>
        <w:rPr>
          <w:rFonts w:ascii="Arial" w:hAnsi="Arial" w:cs="Arial"/>
          <w:sz w:val="24"/>
          <w:szCs w:val="24"/>
        </w:rPr>
        <w:t>. 24 ediciones LUMEN. Buenos Aires, Argentina.</w:t>
      </w:r>
    </w:p>
    <w:p w:rsidR="00F30CF1" w:rsidRDefault="00F30CF1" w:rsidP="00F30CF1">
      <w:pPr>
        <w:spacing w:line="360" w:lineRule="auto"/>
        <w:ind w:left="709" w:hanging="709"/>
        <w:jc w:val="both"/>
      </w:pPr>
      <w:r>
        <w:rPr>
          <w:rFonts w:ascii="Arial" w:hAnsi="Arial" w:cs="Arial"/>
          <w:sz w:val="24"/>
          <w:szCs w:val="24"/>
        </w:rPr>
        <w:t>Anduiza, E., Crespo, I., y Méndez, M. (2009). Metodología de la ciencia política. Cuadernos metodológicos, 28. Madrid: CIS.</w:t>
      </w:r>
    </w:p>
    <w:p w:rsidR="00F30CF1" w:rsidRDefault="00F30CF1" w:rsidP="00F30CF1">
      <w:pPr>
        <w:spacing w:line="360" w:lineRule="auto"/>
        <w:ind w:left="709" w:hanging="709"/>
        <w:jc w:val="both"/>
      </w:pPr>
      <w:r>
        <w:rPr>
          <w:rFonts w:ascii="Arial" w:hAnsi="Arial" w:cs="Arial"/>
          <w:sz w:val="24"/>
          <w:szCs w:val="23"/>
        </w:rPr>
        <w:t xml:space="preserve">Arbós, S. Giner, S. (1992). La </w:t>
      </w:r>
      <w:r>
        <w:rPr>
          <w:rFonts w:ascii="Arial" w:hAnsi="Arial" w:cs="Arial"/>
          <w:i/>
          <w:sz w:val="24"/>
          <w:szCs w:val="23"/>
        </w:rPr>
        <w:t>gobernabilidad. Ciudadanía y democracia en la encrucijada mundial</w:t>
      </w:r>
      <w:r>
        <w:rPr>
          <w:rFonts w:ascii="Arial" w:hAnsi="Arial" w:cs="Arial"/>
          <w:sz w:val="24"/>
          <w:szCs w:val="23"/>
        </w:rPr>
        <w:t xml:space="preserve">. México: Siglo XXI de España Editores. Recuperado de: </w:t>
      </w:r>
      <w:r>
        <w:rPr>
          <w:rFonts w:ascii="Arial" w:hAnsi="Arial" w:cs="Arial"/>
          <w:sz w:val="24"/>
          <w:szCs w:val="23"/>
          <w:u w:val="single"/>
        </w:rPr>
        <w:t>http://www.scielo.org.mx/scielo.php?script=sci_arttext&amp;pid=S1665-05652007000100001</w:t>
      </w:r>
    </w:p>
    <w:p w:rsidR="00F30CF1" w:rsidRDefault="00F30CF1" w:rsidP="00F30CF1">
      <w:pPr>
        <w:spacing w:line="360" w:lineRule="auto"/>
        <w:ind w:left="709" w:hanging="709"/>
        <w:jc w:val="both"/>
      </w:pPr>
      <w:r>
        <w:rPr>
          <w:rFonts w:ascii="Arial" w:hAnsi="Arial" w:cs="Arial"/>
          <w:sz w:val="24"/>
          <w:szCs w:val="23"/>
        </w:rPr>
        <w:t xml:space="preserve">Arguello, Mora, Sánchez y Uzaga. (2015). </w:t>
      </w:r>
      <w:r>
        <w:rPr>
          <w:rFonts w:ascii="Arial" w:hAnsi="Arial" w:cs="Arial"/>
          <w:i/>
          <w:sz w:val="24"/>
          <w:szCs w:val="23"/>
        </w:rPr>
        <w:t xml:space="preserve">La Construcción Simbólica del territorio Local en Costa Rica: Los casos de Upala y los Chiles (2010-2014). </w:t>
      </w:r>
      <w:r>
        <w:rPr>
          <w:rFonts w:ascii="Arial" w:hAnsi="Arial" w:cs="Arial"/>
          <w:sz w:val="24"/>
          <w:szCs w:val="23"/>
        </w:rPr>
        <w:t xml:space="preserve">Universidad de costa rica. San Pedro, Costa Rica. Recuperado de: </w:t>
      </w:r>
      <w:hyperlink r:id="rId36">
        <w:r>
          <w:rPr>
            <w:rStyle w:val="InternetLink"/>
            <w:rFonts w:ascii="Arial" w:eastAsia="Times New Roman" w:hAnsi="Arial" w:cs="Arial"/>
            <w:color w:val="00000A"/>
            <w:sz w:val="24"/>
            <w:szCs w:val="24"/>
          </w:rPr>
          <w:t>http://repositorio.sibdi.ucr.ac.cr:8080/jspui/bitstream/123456789/3038/1/38884.pdf</w:t>
        </w:r>
      </w:hyperlink>
    </w:p>
    <w:p w:rsidR="00F30CF1" w:rsidRDefault="00F30CF1" w:rsidP="00F30CF1">
      <w:pPr>
        <w:spacing w:line="360" w:lineRule="auto"/>
        <w:ind w:left="709" w:hanging="709"/>
        <w:jc w:val="both"/>
      </w:pPr>
      <w:r>
        <w:rPr>
          <w:rFonts w:ascii="Arial" w:hAnsi="Arial" w:cs="Arial"/>
          <w:sz w:val="24"/>
          <w:szCs w:val="23"/>
        </w:rPr>
        <w:t xml:space="preserve">Asamblea Legislativa de la República de Costa Rica. (2005). </w:t>
      </w:r>
      <w:r>
        <w:rPr>
          <w:rFonts w:ascii="Arial" w:hAnsi="Arial" w:cs="Arial"/>
          <w:i/>
          <w:iCs/>
          <w:sz w:val="24"/>
          <w:szCs w:val="23"/>
        </w:rPr>
        <w:t>Ley de pesca y acuicultura, ley N.° 8436</w:t>
      </w:r>
      <w:r>
        <w:rPr>
          <w:rFonts w:ascii="Arial" w:hAnsi="Arial" w:cs="Arial"/>
          <w:sz w:val="24"/>
          <w:szCs w:val="23"/>
        </w:rPr>
        <w:t>. San José, Costa Rica.</w:t>
      </w:r>
    </w:p>
    <w:p w:rsidR="00F30CF1" w:rsidRDefault="00F30CF1" w:rsidP="00F30CF1">
      <w:pPr>
        <w:spacing w:line="360" w:lineRule="auto"/>
        <w:ind w:left="709" w:hanging="709"/>
        <w:jc w:val="both"/>
      </w:pPr>
      <w:r>
        <w:rPr>
          <w:rFonts w:ascii="Arial" w:hAnsi="Arial" w:cs="Arial"/>
          <w:sz w:val="24"/>
        </w:rPr>
        <w:t xml:space="preserve">Barrantes, P. Chaves, M. Salazar, M. (2017). </w:t>
      </w:r>
      <w:r>
        <w:rPr>
          <w:rFonts w:ascii="Arial" w:hAnsi="Arial" w:cs="Arial"/>
          <w:i/>
          <w:sz w:val="24"/>
        </w:rPr>
        <w:t>Proyecto de Gestión Comunitaria para el Fortalecimiento Productivo de la Áreas Marinas de Pesca Responsable del Golfo de Nicoya.</w:t>
      </w:r>
      <w:r>
        <w:rPr>
          <w:rFonts w:ascii="Arial" w:hAnsi="Arial" w:cs="Arial"/>
          <w:sz w:val="24"/>
        </w:rPr>
        <w:t xml:space="preserve"> EPPS-UNA, Heredia. </w:t>
      </w:r>
    </w:p>
    <w:p w:rsidR="00F30CF1" w:rsidRDefault="00F30CF1" w:rsidP="00F30CF1">
      <w:pPr>
        <w:spacing w:line="360" w:lineRule="auto"/>
        <w:ind w:left="709" w:hanging="709"/>
        <w:jc w:val="both"/>
      </w:pPr>
      <w:r>
        <w:rPr>
          <w:rFonts w:ascii="Arial" w:hAnsi="Arial" w:cs="Arial"/>
          <w:sz w:val="24"/>
        </w:rPr>
        <w:t xml:space="preserve">Beaumont, M (2016). </w:t>
      </w:r>
      <w:r>
        <w:rPr>
          <w:rFonts w:ascii="Arial" w:hAnsi="Arial" w:cs="Arial"/>
          <w:i/>
          <w:sz w:val="24"/>
        </w:rPr>
        <w:t xml:space="preserve">Gestión social: Estrategia y creación de valor. </w:t>
      </w:r>
      <w:r>
        <w:rPr>
          <w:rFonts w:ascii="Arial" w:hAnsi="Arial" w:cs="Arial"/>
          <w:sz w:val="24"/>
        </w:rPr>
        <w:t xml:space="preserve">Pontificia Universidad Católica del Perú - Departamento Académico de Ciencias de la Gestión. Perú. Recuperado de: </w:t>
      </w:r>
      <w:r>
        <w:rPr>
          <w:rFonts w:ascii="Arial" w:hAnsi="Arial" w:cs="Arial"/>
          <w:sz w:val="24"/>
          <w:u w:val="single"/>
        </w:rPr>
        <w:lastRenderedPageBreak/>
        <w:t>https://www.researchgate.net/publication/301800063_Gestion_social_estrategia_y_creacion_de_valor</w:t>
      </w:r>
    </w:p>
    <w:p w:rsidR="00F30CF1" w:rsidRDefault="00F30CF1" w:rsidP="00F30CF1">
      <w:pPr>
        <w:spacing w:line="360" w:lineRule="auto"/>
        <w:ind w:left="709" w:hanging="709"/>
        <w:jc w:val="both"/>
      </w:pPr>
      <w:r>
        <w:rPr>
          <w:rFonts w:ascii="Arial" w:hAnsi="Arial" w:cs="Arial"/>
          <w:sz w:val="24"/>
        </w:rPr>
        <w:t xml:space="preserve">Bernazza, Claudia y de Pascual, María Celeste (2012). </w:t>
      </w:r>
      <w:r>
        <w:rPr>
          <w:rFonts w:ascii="Arial" w:hAnsi="Arial" w:cs="Arial"/>
          <w:i/>
          <w:iCs/>
          <w:sz w:val="24"/>
        </w:rPr>
        <w:t>Continuidades y rupturas en la formación para el Gobierno y la Gestión de lo Público.</w:t>
      </w:r>
      <w:r>
        <w:rPr>
          <w:rFonts w:ascii="Arial" w:hAnsi="Arial" w:cs="Arial"/>
          <w:sz w:val="24"/>
        </w:rPr>
        <w:t xml:space="preserve"> Publicado en Revista APORTES para el Estado y la Administración Gubernamental, Asociación de Administradores Gubernamentales, Año 18 – Nº 30- Recuperado de: </w:t>
      </w:r>
      <w:r>
        <w:rPr>
          <w:rFonts w:ascii="Arial" w:hAnsi="Arial" w:cs="Arial"/>
          <w:sz w:val="24"/>
          <w:u w:val="single"/>
        </w:rPr>
        <w:t>http://www.claudiabernazza.com.ar/web/23-textos/37-documentos-politicos-y-de-gestion</w:t>
      </w:r>
    </w:p>
    <w:p w:rsidR="00F30CF1" w:rsidRDefault="00F30CF1" w:rsidP="00F30CF1">
      <w:pPr>
        <w:spacing w:line="360" w:lineRule="auto"/>
        <w:ind w:left="709" w:hanging="709"/>
        <w:jc w:val="both"/>
      </w:pPr>
      <w:r>
        <w:rPr>
          <w:rFonts w:ascii="Arial" w:hAnsi="Arial" w:cs="Arial"/>
          <w:sz w:val="24"/>
        </w:rPr>
        <w:t xml:space="preserve">Brenes, J. Murillo J &amp; Padilla, N. (s.f.) </w:t>
      </w:r>
      <w:r>
        <w:rPr>
          <w:rFonts w:ascii="Arial" w:hAnsi="Arial" w:cs="Arial"/>
          <w:i/>
          <w:sz w:val="24"/>
        </w:rPr>
        <w:t xml:space="preserve">Propuesta de Perfil de Proyecto de Inversión de Mercadito Santa Teresa. </w:t>
      </w:r>
      <w:r>
        <w:rPr>
          <w:rFonts w:ascii="Arial" w:hAnsi="Arial" w:cs="Arial"/>
          <w:sz w:val="24"/>
        </w:rPr>
        <w:t xml:space="preserve">EPPS-UNA. Heredia, Costa Rica. </w:t>
      </w:r>
    </w:p>
    <w:p w:rsidR="00F30CF1" w:rsidRDefault="00F30CF1" w:rsidP="00F30CF1">
      <w:pPr>
        <w:spacing w:line="360" w:lineRule="auto"/>
        <w:ind w:left="709" w:hanging="709"/>
        <w:jc w:val="both"/>
      </w:pPr>
      <w:r>
        <w:rPr>
          <w:rFonts w:ascii="Arial" w:hAnsi="Arial" w:cs="Arial"/>
          <w:sz w:val="24"/>
        </w:rPr>
        <w:t xml:space="preserve">Cajiado, M. (2010). </w:t>
      </w:r>
      <w:r>
        <w:rPr>
          <w:rFonts w:ascii="Arial" w:hAnsi="Arial" w:cs="Arial"/>
          <w:i/>
          <w:sz w:val="24"/>
        </w:rPr>
        <w:t xml:space="preserve">Manual de legislación marino costera y pesquera de Costa Rica. </w:t>
      </w:r>
      <w:r>
        <w:rPr>
          <w:rFonts w:ascii="Arial" w:hAnsi="Arial" w:cs="Arial"/>
          <w:sz w:val="24"/>
        </w:rPr>
        <w:t xml:space="preserve">Fundación MarViva. San José, Costa Rica. Recuperado de: </w:t>
      </w:r>
      <w:hyperlink r:id="rId37">
        <w:r>
          <w:rPr>
            <w:rStyle w:val="InternetLink"/>
            <w:rFonts w:ascii="Arial" w:eastAsia="Times New Roman" w:hAnsi="Arial" w:cs="Arial"/>
            <w:color w:val="00000A"/>
            <w:sz w:val="24"/>
            <w:szCs w:val="24"/>
          </w:rPr>
          <w:t>http://marviva.net/sites/default/files/documentos/manual_legislacion_marino_costera_y_pesquera_2010.pdf</w:t>
        </w:r>
      </w:hyperlink>
    </w:p>
    <w:p w:rsidR="00F30CF1" w:rsidRDefault="00F30CF1" w:rsidP="00F30CF1">
      <w:pPr>
        <w:spacing w:line="360" w:lineRule="auto"/>
        <w:ind w:left="709" w:hanging="709"/>
        <w:jc w:val="both"/>
      </w:pPr>
      <w:r>
        <w:rPr>
          <w:rFonts w:ascii="Arial" w:hAnsi="Arial" w:cs="Arial"/>
          <w:sz w:val="24"/>
        </w:rPr>
        <w:t xml:space="preserve">Calderón, J. (2000). </w:t>
      </w:r>
      <w:r>
        <w:rPr>
          <w:rFonts w:ascii="Arial" w:hAnsi="Arial" w:cs="Arial"/>
          <w:i/>
          <w:sz w:val="24"/>
        </w:rPr>
        <w:t>Descentralización, Gobiernos Locales, Participación Ciudadana</w:t>
      </w:r>
      <w:r>
        <w:rPr>
          <w:rFonts w:ascii="Arial" w:hAnsi="Arial" w:cs="Arial"/>
          <w:sz w:val="24"/>
        </w:rPr>
        <w:t xml:space="preserve">. UPD/OEA-FUNDACIÓN ARIAS. San José, Costa Rica. </w:t>
      </w:r>
    </w:p>
    <w:p w:rsidR="00F30CF1" w:rsidRDefault="00F30CF1" w:rsidP="00F30CF1">
      <w:pPr>
        <w:spacing w:line="360" w:lineRule="auto"/>
        <w:ind w:left="709" w:hanging="709"/>
        <w:jc w:val="both"/>
      </w:pPr>
      <w:r>
        <w:rPr>
          <w:rFonts w:ascii="Arial" w:hAnsi="Arial" w:cs="Arial"/>
          <w:sz w:val="24"/>
          <w:szCs w:val="23"/>
        </w:rPr>
        <w:t xml:space="preserve">Camou, Antonio (2001). </w:t>
      </w:r>
      <w:r>
        <w:rPr>
          <w:rFonts w:ascii="Arial" w:hAnsi="Arial" w:cs="Arial"/>
          <w:i/>
          <w:iCs/>
          <w:sz w:val="24"/>
          <w:szCs w:val="23"/>
        </w:rPr>
        <w:t>Los desafíos de la Gobernabilidad.</w:t>
      </w:r>
      <w:r>
        <w:rPr>
          <w:rFonts w:ascii="Arial" w:hAnsi="Arial" w:cs="Arial"/>
          <w:sz w:val="24"/>
          <w:szCs w:val="23"/>
        </w:rPr>
        <w:t xml:space="preserve"> (Estudio preliminar y compilación). México: Flacso/IISUNAM/Plaza y Valdés. Recuperado de: </w:t>
      </w:r>
      <w:r>
        <w:rPr>
          <w:rFonts w:ascii="Arial" w:hAnsi="Arial" w:cs="Arial"/>
          <w:sz w:val="24"/>
          <w:szCs w:val="23"/>
          <w:u w:val="single"/>
        </w:rPr>
        <w:t>http://www.institut-gouvernance.org/docs/ficha-gobernabilida.pdf</w:t>
      </w:r>
    </w:p>
    <w:p w:rsidR="00F30CF1" w:rsidRDefault="00F30CF1" w:rsidP="00F30CF1">
      <w:pPr>
        <w:spacing w:line="360" w:lineRule="auto"/>
        <w:ind w:left="709" w:hanging="709"/>
        <w:jc w:val="both"/>
      </w:pPr>
      <w:r>
        <w:rPr>
          <w:rFonts w:ascii="Arial" w:hAnsi="Arial" w:cs="Arial"/>
          <w:sz w:val="24"/>
          <w:szCs w:val="23"/>
        </w:rPr>
        <w:t xml:space="preserve">Ceciliano, J. Guillén, M. Vargas, N. (2016). </w:t>
      </w:r>
      <w:r>
        <w:rPr>
          <w:rFonts w:ascii="Arial" w:hAnsi="Arial" w:cs="Arial"/>
          <w:i/>
          <w:sz w:val="24"/>
          <w:szCs w:val="23"/>
        </w:rPr>
        <w:t xml:space="preserve">Diagnostico Organizacional APEP y ABUZPA. </w:t>
      </w:r>
      <w:r>
        <w:rPr>
          <w:rFonts w:ascii="Arial" w:hAnsi="Arial" w:cs="Arial"/>
          <w:sz w:val="24"/>
          <w:szCs w:val="23"/>
        </w:rPr>
        <w:t xml:space="preserve">EPPS, Universidad Nacional. Heredia, Costa Rica. </w:t>
      </w:r>
    </w:p>
    <w:p w:rsidR="00F30CF1" w:rsidRDefault="00F30CF1" w:rsidP="00F30CF1">
      <w:pPr>
        <w:spacing w:before="240" w:line="360" w:lineRule="auto"/>
        <w:ind w:left="709" w:hanging="709"/>
        <w:jc w:val="both"/>
      </w:pPr>
      <w:r>
        <w:rPr>
          <w:rFonts w:ascii="Arial" w:hAnsi="Arial" w:cs="Arial"/>
          <w:sz w:val="24"/>
          <w:szCs w:val="24"/>
        </w:rPr>
        <w:t xml:space="preserve">Cohen, E. (2005). </w:t>
      </w:r>
      <w:r>
        <w:rPr>
          <w:rFonts w:ascii="Arial" w:hAnsi="Arial" w:cs="Arial"/>
          <w:i/>
          <w:sz w:val="24"/>
          <w:szCs w:val="24"/>
        </w:rPr>
        <w:t xml:space="preserve">Gestión Social: Cómo lograr eficiencia e impacto en las políticas sociales. </w:t>
      </w:r>
      <w:r>
        <w:rPr>
          <w:rFonts w:ascii="Arial" w:hAnsi="Arial" w:cs="Arial"/>
          <w:sz w:val="24"/>
          <w:szCs w:val="24"/>
        </w:rPr>
        <w:t xml:space="preserve">CEPAL. Chile. Recuperado de: </w:t>
      </w:r>
      <w:hyperlink r:id="rId38">
        <w:r w:rsidRPr="003116B9">
          <w:rPr>
            <w:rStyle w:val="InternetLink"/>
            <w:rFonts w:ascii="Arial" w:hAnsi="Arial" w:cs="Arial"/>
            <w:color w:val="auto"/>
            <w:sz w:val="24"/>
          </w:rPr>
          <w:t>https://repositorio.cepal.org/bitstream/handle/11362/1863/1/S3092C678G_es.pdf</w:t>
        </w:r>
      </w:hyperlink>
    </w:p>
    <w:p w:rsidR="00F30CF1" w:rsidRDefault="00F30CF1" w:rsidP="00F30CF1">
      <w:pPr>
        <w:spacing w:before="240" w:line="360" w:lineRule="auto"/>
        <w:ind w:left="709" w:hanging="709"/>
        <w:jc w:val="both"/>
      </w:pPr>
      <w:r>
        <w:rPr>
          <w:rFonts w:ascii="Arial" w:hAnsi="Arial" w:cs="Arial"/>
          <w:sz w:val="24"/>
        </w:rPr>
        <w:t xml:space="preserve">Cordero, A. Mora, D. Ortega, J y Vega, D. (2005). </w:t>
      </w:r>
      <w:r>
        <w:rPr>
          <w:rFonts w:ascii="Arial" w:hAnsi="Arial" w:cs="Arial"/>
          <w:i/>
          <w:sz w:val="24"/>
        </w:rPr>
        <w:t xml:space="preserve">Proceso de Modernización de la Adninistración Pública en los Ministerios de vivienda y Salud. </w:t>
      </w:r>
      <w:r>
        <w:rPr>
          <w:rFonts w:ascii="Arial" w:hAnsi="Arial" w:cs="Arial"/>
          <w:sz w:val="24"/>
        </w:rPr>
        <w:t xml:space="preserve">TFG para optar </w:t>
      </w:r>
      <w:r>
        <w:rPr>
          <w:rFonts w:ascii="Arial" w:hAnsi="Arial" w:cs="Arial"/>
          <w:sz w:val="24"/>
        </w:rPr>
        <w:lastRenderedPageBreak/>
        <w:t>por el grado de Licenciatura en Administración Pública. Universidad de Costa Rica. San Pedro, Costa Rica.</w:t>
      </w:r>
    </w:p>
    <w:p w:rsidR="00F30CF1" w:rsidRDefault="00F30CF1" w:rsidP="00F30CF1">
      <w:pPr>
        <w:spacing w:line="360" w:lineRule="auto"/>
        <w:ind w:left="709" w:hanging="709"/>
        <w:jc w:val="both"/>
      </w:pPr>
      <w:r>
        <w:rPr>
          <w:rFonts w:ascii="Arial" w:hAnsi="Arial" w:cs="Arial"/>
          <w:sz w:val="24"/>
        </w:rPr>
        <w:t xml:space="preserve">Cunill, N. (1991). </w:t>
      </w:r>
      <w:r>
        <w:rPr>
          <w:rFonts w:ascii="Arial" w:hAnsi="Arial" w:cs="Arial"/>
          <w:i/>
          <w:sz w:val="24"/>
        </w:rPr>
        <w:t>Los elementos básicos del concepto de participación ciudadana</w:t>
      </w:r>
      <w:r>
        <w:rPr>
          <w:rFonts w:ascii="Arial" w:hAnsi="Arial" w:cs="Arial"/>
          <w:sz w:val="24"/>
        </w:rPr>
        <w:t xml:space="preserve">. En: Córdoba Ricardo y Quiñónez Leslie. Participación ciudadana y desarrollo local en Centro América. FUNDAUNGO. San Salvador, El Salvador. </w:t>
      </w:r>
    </w:p>
    <w:p w:rsidR="00F30CF1" w:rsidRDefault="00F30CF1" w:rsidP="00F30CF1">
      <w:pPr>
        <w:spacing w:line="331" w:lineRule="auto"/>
        <w:ind w:left="709" w:hanging="709"/>
        <w:jc w:val="both"/>
      </w:pPr>
      <w:r>
        <w:rPr>
          <w:rFonts w:ascii="Arial" w:eastAsia="Times New Roman" w:hAnsi="Arial" w:cs="Arial"/>
          <w:sz w:val="24"/>
          <w:szCs w:val="24"/>
        </w:rPr>
        <w:t xml:space="preserve">Dahl-Ostergaard, T. Moore, D. Ramírez, V. Wenner, M y Bonde, A. (2003). </w:t>
      </w:r>
      <w:r>
        <w:rPr>
          <w:rFonts w:ascii="Arial" w:eastAsia="Times New Roman" w:hAnsi="Arial" w:cs="Arial"/>
          <w:i/>
          <w:sz w:val="24"/>
          <w:szCs w:val="24"/>
        </w:rPr>
        <w:t xml:space="preserve">Desarrollo Rural de Autogestión Comunitaria. ¿Qué hemos aprendido? </w:t>
      </w:r>
      <w:r>
        <w:rPr>
          <w:rFonts w:ascii="Arial" w:eastAsia="Times New Roman" w:hAnsi="Arial" w:cs="Arial"/>
          <w:sz w:val="24"/>
          <w:szCs w:val="24"/>
        </w:rPr>
        <w:t xml:space="preserve">Banco Interamericano de Desarrollo. Washington, Estado Unidos. Recuperado de:  </w:t>
      </w:r>
      <w:hyperlink r:id="rId39">
        <w:r>
          <w:rPr>
            <w:rStyle w:val="InternetLink"/>
            <w:rFonts w:ascii="Arial" w:eastAsia="Times New Roman" w:hAnsi="Arial" w:cs="Arial"/>
            <w:color w:val="00000A"/>
            <w:sz w:val="24"/>
            <w:szCs w:val="24"/>
          </w:rPr>
          <w:t>http://www.aprchile.cl/pdfs/autogestion%20comunitaria.pdf</w:t>
        </w:r>
      </w:hyperlink>
    </w:p>
    <w:p w:rsidR="00F30CF1" w:rsidRDefault="00F30CF1" w:rsidP="00F30CF1">
      <w:pPr>
        <w:spacing w:before="240" w:line="360" w:lineRule="auto"/>
        <w:ind w:left="709" w:hanging="709"/>
        <w:jc w:val="both"/>
      </w:pPr>
      <w:r>
        <w:rPr>
          <w:rFonts w:ascii="Arial" w:hAnsi="Arial" w:cs="Arial"/>
          <w:sz w:val="24"/>
          <w:szCs w:val="24"/>
        </w:rPr>
        <w:t xml:space="preserve">Della Prta, D. Keating, M. (2013). </w:t>
      </w:r>
      <w:r>
        <w:rPr>
          <w:rFonts w:ascii="Arial" w:hAnsi="Arial" w:cs="Arial"/>
          <w:i/>
          <w:sz w:val="24"/>
          <w:szCs w:val="24"/>
        </w:rPr>
        <w:t xml:space="preserve">Enfoques y Metodologías de las Ciencias Sociales. </w:t>
      </w:r>
      <w:r>
        <w:rPr>
          <w:rFonts w:ascii="Arial" w:hAnsi="Arial" w:cs="Arial"/>
          <w:sz w:val="24"/>
          <w:szCs w:val="24"/>
        </w:rPr>
        <w:t>Akal. España, Madrid. Pp. 31-73.</w:t>
      </w:r>
    </w:p>
    <w:p w:rsidR="00F30CF1" w:rsidRDefault="00F30CF1" w:rsidP="00F30CF1">
      <w:pPr>
        <w:spacing w:before="240" w:line="360" w:lineRule="auto"/>
        <w:ind w:left="709" w:hanging="709"/>
        <w:jc w:val="both"/>
      </w:pPr>
      <w:r>
        <w:rPr>
          <w:rFonts w:ascii="Arial" w:hAnsi="Arial" w:cs="Arial"/>
          <w:sz w:val="24"/>
          <w:szCs w:val="24"/>
        </w:rPr>
        <w:t xml:space="preserve">Departamento Nacional de Planeación. (2007). </w:t>
      </w:r>
      <w:r>
        <w:rPr>
          <w:rFonts w:ascii="Arial" w:hAnsi="Arial" w:cs="Arial"/>
          <w:i/>
          <w:sz w:val="24"/>
          <w:szCs w:val="24"/>
        </w:rPr>
        <w:t>Gestión Pública local.</w:t>
      </w:r>
      <w:r>
        <w:rPr>
          <w:rFonts w:ascii="Arial" w:hAnsi="Arial" w:cs="Arial"/>
          <w:sz w:val="24"/>
          <w:szCs w:val="24"/>
        </w:rPr>
        <w:t xml:space="preserve"> Escuela Superior de Administración Pública. Medellín, Colombia. Recuperado de: </w:t>
      </w:r>
      <w:hyperlink r:id="rId40">
        <w:r>
          <w:rPr>
            <w:rStyle w:val="InternetLink"/>
            <w:rFonts w:ascii="Arial" w:hAnsi="Arial" w:cs="Arial"/>
            <w:color w:val="00000A"/>
            <w:sz w:val="24"/>
            <w:szCs w:val="24"/>
          </w:rPr>
          <w:t>http://www.ceppia.com.co/Herramientas/Herramientas/Cartilla-gestion-publica-local.pdf</w:t>
        </w:r>
      </w:hyperlink>
    </w:p>
    <w:p w:rsidR="00F30CF1" w:rsidRDefault="00F30CF1" w:rsidP="00F30CF1">
      <w:pPr>
        <w:spacing w:before="240" w:line="360" w:lineRule="auto"/>
        <w:ind w:left="709" w:hanging="709"/>
        <w:jc w:val="both"/>
      </w:pPr>
      <w:r>
        <w:rPr>
          <w:rFonts w:ascii="Arial" w:hAnsi="Arial" w:cs="Arial"/>
          <w:sz w:val="24"/>
          <w:szCs w:val="24"/>
        </w:rPr>
        <w:t xml:space="preserve">Fernández, A. (2016). </w:t>
      </w:r>
      <w:r>
        <w:rPr>
          <w:rFonts w:ascii="Arial" w:hAnsi="Arial" w:cs="Arial"/>
          <w:i/>
          <w:sz w:val="24"/>
          <w:szCs w:val="24"/>
        </w:rPr>
        <w:t xml:space="preserve">Desigualdad de ingresos en Costa Rica a la luz de las Encuestas Nacional de Ingresos y Gastos de los hogares 2004 y 2013. </w:t>
      </w:r>
      <w:r>
        <w:rPr>
          <w:rFonts w:ascii="Arial" w:hAnsi="Arial" w:cs="Arial"/>
          <w:sz w:val="24"/>
          <w:szCs w:val="24"/>
        </w:rPr>
        <w:t xml:space="preserve">Revista CEPAL 119. Universidad de Costa Rica. San José, Costa Rica. Recuperado de: </w:t>
      </w:r>
      <w:hyperlink r:id="rId41">
        <w:r>
          <w:rPr>
            <w:rStyle w:val="InternetLink"/>
            <w:rFonts w:ascii="Arial" w:hAnsi="Arial" w:cs="Arial"/>
            <w:color w:val="00000A"/>
            <w:sz w:val="24"/>
            <w:szCs w:val="24"/>
          </w:rPr>
          <w:t>https://repositorio.cepal.org/bitstream/handle/11362/40398/1/RVE119_Fernandez.pdf</w:t>
        </w:r>
      </w:hyperlink>
    </w:p>
    <w:p w:rsidR="00F30CF1" w:rsidRDefault="00F30CF1" w:rsidP="00F30CF1">
      <w:pPr>
        <w:spacing w:before="240" w:line="360" w:lineRule="auto"/>
        <w:ind w:left="709" w:hanging="709"/>
        <w:jc w:val="both"/>
      </w:pPr>
      <w:r>
        <w:rPr>
          <w:rFonts w:ascii="Arial" w:hAnsi="Arial" w:cs="Arial"/>
          <w:sz w:val="24"/>
          <w:szCs w:val="24"/>
        </w:rPr>
        <w:t xml:space="preserve">Gallardo, H. (1988). </w:t>
      </w:r>
      <w:r>
        <w:rPr>
          <w:rFonts w:ascii="Arial" w:hAnsi="Arial" w:cs="Arial"/>
          <w:i/>
          <w:sz w:val="24"/>
          <w:szCs w:val="24"/>
        </w:rPr>
        <w:t>Fundamentos de formación política. Análisis de coyuntura.</w:t>
      </w:r>
      <w:r>
        <w:rPr>
          <w:rFonts w:ascii="Arial" w:hAnsi="Arial" w:cs="Arial"/>
          <w:sz w:val="24"/>
          <w:szCs w:val="24"/>
        </w:rPr>
        <w:t xml:space="preserve"> Departamento Ecuménico de Investigaciones. San José, Costa Rica.</w:t>
      </w:r>
    </w:p>
    <w:p w:rsidR="00F30CF1" w:rsidRDefault="00F30CF1" w:rsidP="00F30CF1">
      <w:pPr>
        <w:spacing w:line="360" w:lineRule="auto"/>
        <w:ind w:left="709" w:hanging="709"/>
        <w:jc w:val="both"/>
      </w:pPr>
      <w:r>
        <w:rPr>
          <w:rFonts w:ascii="Arial" w:hAnsi="Arial" w:cs="Arial"/>
          <w:sz w:val="24"/>
          <w:szCs w:val="24"/>
        </w:rPr>
        <w:t xml:space="preserve">Gallego, S. (2011). </w:t>
      </w:r>
      <w:r>
        <w:rPr>
          <w:rFonts w:ascii="Arial" w:hAnsi="Arial" w:cs="Arial"/>
          <w:i/>
          <w:sz w:val="24"/>
          <w:szCs w:val="24"/>
        </w:rPr>
        <w:t xml:space="preserve">Redes sociales y desarrollo humano. </w:t>
      </w:r>
      <w:r>
        <w:rPr>
          <w:rFonts w:ascii="Arial" w:hAnsi="Arial" w:cs="Arial"/>
          <w:sz w:val="24"/>
          <w:szCs w:val="24"/>
        </w:rPr>
        <w:t xml:space="preserve">Revista Castellano-Manchega de Ciencias Sociales, Nº12. (1575-0820). P. 113-121. </w:t>
      </w:r>
    </w:p>
    <w:p w:rsidR="00F30CF1" w:rsidRDefault="00F30CF1" w:rsidP="00F30CF1">
      <w:pPr>
        <w:keepNext/>
        <w:spacing w:after="120" w:line="360" w:lineRule="auto"/>
        <w:ind w:left="709" w:hanging="709"/>
        <w:jc w:val="both"/>
      </w:pPr>
      <w:r>
        <w:rPr>
          <w:rFonts w:ascii="Arial" w:hAnsi="Arial" w:cs="Arial"/>
          <w:sz w:val="24"/>
        </w:rPr>
        <w:t xml:space="preserve">Gamboa, M. (2015). </w:t>
      </w:r>
      <w:r>
        <w:rPr>
          <w:rFonts w:ascii="Arial" w:hAnsi="Arial" w:cs="Arial"/>
          <w:i/>
          <w:sz w:val="24"/>
        </w:rPr>
        <w:t xml:space="preserve">Promoción de herramientas organizativas, de planificación y fomento del capital social para el desarrollo comunal: en el caso de la comunidad del El Jardín, Páramo, Pérez Zeledón. </w:t>
      </w:r>
      <w:r>
        <w:rPr>
          <w:rFonts w:ascii="Arial" w:hAnsi="Arial" w:cs="Arial"/>
          <w:sz w:val="24"/>
        </w:rPr>
        <w:t xml:space="preserve">Proyecto de Graduación </w:t>
      </w:r>
      <w:r>
        <w:rPr>
          <w:rFonts w:ascii="Arial" w:hAnsi="Arial" w:cs="Arial"/>
          <w:sz w:val="24"/>
        </w:rPr>
        <w:lastRenderedPageBreak/>
        <w:t xml:space="preserve">para optar por la Licenciatura de Ciencias Políticas. Universidad de Costa Rica. San Pedro, Costa Rica. </w:t>
      </w:r>
    </w:p>
    <w:p w:rsidR="00F30CF1" w:rsidRDefault="00F30CF1" w:rsidP="00F30CF1">
      <w:pPr>
        <w:spacing w:line="360" w:lineRule="auto"/>
        <w:ind w:left="709" w:hanging="709"/>
        <w:jc w:val="both"/>
      </w:pPr>
      <w:r>
        <w:rPr>
          <w:rFonts w:ascii="Arial" w:hAnsi="Arial" w:cs="Arial"/>
          <w:sz w:val="24"/>
        </w:rPr>
        <w:t xml:space="preserve">Gamboa, Y. Rojas, I. (2016). </w:t>
      </w:r>
      <w:r>
        <w:rPr>
          <w:rFonts w:ascii="Arial" w:hAnsi="Arial" w:cs="Arial"/>
          <w:i/>
          <w:sz w:val="24"/>
        </w:rPr>
        <w:t xml:space="preserve">Diagnóstico sobre el Área de Pesca Responsable en Playa Tambor, Puntarenas. </w:t>
      </w:r>
      <w:r>
        <w:rPr>
          <w:rFonts w:ascii="Arial" w:hAnsi="Arial" w:cs="Arial"/>
          <w:sz w:val="24"/>
        </w:rPr>
        <w:t xml:space="preserve">EPPS, Universidad Nacional. Heredia, Costa Rica. </w:t>
      </w:r>
    </w:p>
    <w:p w:rsidR="00F30CF1" w:rsidRDefault="00F30CF1" w:rsidP="00F30CF1">
      <w:pPr>
        <w:keepNext/>
        <w:spacing w:after="120" w:line="360" w:lineRule="auto"/>
        <w:ind w:left="709" w:hanging="709"/>
        <w:jc w:val="both"/>
      </w:pPr>
      <w:r>
        <w:rPr>
          <w:rFonts w:ascii="Arial" w:hAnsi="Arial" w:cs="Arial"/>
          <w:sz w:val="24"/>
        </w:rPr>
        <w:t xml:space="preserve">Granados, L. (2009). </w:t>
      </w:r>
      <w:r>
        <w:rPr>
          <w:rFonts w:ascii="Arial" w:hAnsi="Arial" w:cs="Arial"/>
          <w:i/>
          <w:sz w:val="24"/>
        </w:rPr>
        <w:t xml:space="preserve">Participación social en el desarrollo local, dentro de la reforma estatal costarricense. </w:t>
      </w:r>
      <w:r>
        <w:rPr>
          <w:rFonts w:ascii="Arial" w:hAnsi="Arial" w:cs="Arial"/>
          <w:sz w:val="24"/>
        </w:rPr>
        <w:t xml:space="preserve">Tesis de Graduación para optar por la Licenciatura de </w:t>
      </w:r>
    </w:p>
    <w:p w:rsidR="00F30CF1" w:rsidRPr="003116B9" w:rsidRDefault="00F30CF1" w:rsidP="00F30CF1">
      <w:pPr>
        <w:spacing w:before="240" w:line="360" w:lineRule="auto"/>
        <w:ind w:left="709" w:hanging="709"/>
        <w:jc w:val="both"/>
      </w:pPr>
      <w:r>
        <w:rPr>
          <w:rFonts w:ascii="Arial" w:hAnsi="Arial" w:cs="Arial"/>
          <w:sz w:val="24"/>
          <w:szCs w:val="24"/>
        </w:rPr>
        <w:t xml:space="preserve">Girón, Y. (2006). </w:t>
      </w:r>
      <w:r>
        <w:rPr>
          <w:rFonts w:ascii="Arial" w:hAnsi="Arial" w:cs="Arial"/>
          <w:i/>
          <w:sz w:val="24"/>
          <w:szCs w:val="24"/>
        </w:rPr>
        <w:t xml:space="preserve">La gestión social y el trabajo social. </w:t>
      </w:r>
      <w:r>
        <w:rPr>
          <w:rFonts w:ascii="Arial" w:hAnsi="Arial" w:cs="Arial"/>
          <w:sz w:val="24"/>
          <w:szCs w:val="24"/>
        </w:rPr>
        <w:t xml:space="preserve">Universidad de San Carlos de Guatemala. Guatemala. Recuperado de: </w:t>
      </w:r>
      <w:hyperlink r:id="rId42">
        <w:r w:rsidRPr="003116B9">
          <w:rPr>
            <w:rStyle w:val="InternetLink"/>
            <w:rFonts w:ascii="Arial" w:hAnsi="Arial" w:cs="Arial"/>
            <w:color w:val="auto"/>
            <w:sz w:val="24"/>
          </w:rPr>
          <w:t>http://www.repositorio.usac.edu.gt/4192/1/15_1330.pdf</w:t>
        </w:r>
      </w:hyperlink>
    </w:p>
    <w:p w:rsidR="00F30CF1" w:rsidRPr="003116B9" w:rsidRDefault="00F30CF1" w:rsidP="00F30CF1">
      <w:pPr>
        <w:keepNext/>
        <w:spacing w:after="120" w:line="360" w:lineRule="auto"/>
        <w:ind w:left="709" w:hanging="709"/>
        <w:jc w:val="both"/>
      </w:pPr>
      <w:r w:rsidRPr="003116B9">
        <w:rPr>
          <w:rFonts w:ascii="Arial" w:eastAsia="Times New Roman" w:hAnsi="Arial" w:cs="Arial"/>
          <w:sz w:val="24"/>
          <w:szCs w:val="24"/>
          <w:lang w:eastAsia="es-CR"/>
        </w:rPr>
        <w:t xml:space="preserve">Guillen A, Saenz K, Badii, M y Castillo, J (2009). Origen, espacio y niveles de participación ciudadana. Daena. México. Recuperado de: </w:t>
      </w:r>
      <w:hyperlink r:id="rId43">
        <w:r w:rsidRPr="003116B9">
          <w:rPr>
            <w:rStyle w:val="InternetLink"/>
            <w:rFonts w:ascii="Arial" w:hAnsi="Arial" w:cs="Arial"/>
            <w:color w:val="auto"/>
            <w:sz w:val="24"/>
          </w:rPr>
          <w:t>http://www.spentamexico.org/v4-n1/4(1)%20179-193.pdf</w:t>
        </w:r>
      </w:hyperlink>
    </w:p>
    <w:p w:rsidR="00F30CF1" w:rsidRDefault="00F30CF1" w:rsidP="00F30CF1">
      <w:pPr>
        <w:keepNext/>
        <w:spacing w:after="120" w:line="360" w:lineRule="auto"/>
        <w:ind w:left="709" w:hanging="709"/>
        <w:jc w:val="both"/>
      </w:pPr>
      <w:r>
        <w:rPr>
          <w:rFonts w:ascii="Arial" w:hAnsi="Arial" w:cs="Arial"/>
          <w:sz w:val="24"/>
        </w:rPr>
        <w:t xml:space="preserve">Hahnel, R. (2010). </w:t>
      </w:r>
      <w:r>
        <w:rPr>
          <w:rFonts w:ascii="Arial" w:hAnsi="Arial" w:cs="Arial"/>
          <w:i/>
          <w:sz w:val="24"/>
        </w:rPr>
        <w:t xml:space="preserve">Planificación Anarquista para las economías del siglo XXI: Una propuesta. </w:t>
      </w:r>
      <w:r>
        <w:rPr>
          <w:rFonts w:ascii="Arial" w:hAnsi="Arial" w:cs="Arial"/>
          <w:sz w:val="24"/>
        </w:rPr>
        <w:t xml:space="preserve">Estudios sobre autogestión y modelos de socialismos y comunismo libertario. España. Recuperado de: </w:t>
      </w:r>
      <w:hyperlink r:id="rId44">
        <w:r>
          <w:rPr>
            <w:rStyle w:val="InternetLink"/>
            <w:rFonts w:ascii="Arial" w:hAnsi="Arial" w:cs="Arial"/>
            <w:color w:val="00000A"/>
            <w:sz w:val="24"/>
          </w:rPr>
          <w:t>https://llrodriguezalgans.blogspot.com/2010/04/planificacion-anarquista-para-las.html</w:t>
        </w:r>
      </w:hyperlink>
    </w:p>
    <w:p w:rsidR="00F30CF1" w:rsidRPr="003116B9" w:rsidRDefault="00F30CF1" w:rsidP="00F30CF1">
      <w:pPr>
        <w:spacing w:before="240" w:line="360" w:lineRule="auto"/>
        <w:ind w:left="709" w:hanging="709"/>
        <w:jc w:val="both"/>
      </w:pPr>
      <w:r>
        <w:rPr>
          <w:rFonts w:ascii="Arial" w:hAnsi="Arial" w:cs="Arial"/>
          <w:sz w:val="24"/>
          <w:szCs w:val="24"/>
        </w:rPr>
        <w:t xml:space="preserve">Heredia, R. (2002). </w:t>
      </w:r>
      <w:r>
        <w:rPr>
          <w:rFonts w:ascii="Arial" w:hAnsi="Arial" w:cs="Arial"/>
          <w:i/>
          <w:sz w:val="24"/>
          <w:szCs w:val="24"/>
        </w:rPr>
        <w:t xml:space="preserve">Gobernabilidad: una aproximación teórica. </w:t>
      </w:r>
      <w:r>
        <w:rPr>
          <w:rFonts w:ascii="Arial" w:hAnsi="Arial" w:cs="Arial"/>
          <w:sz w:val="24"/>
          <w:szCs w:val="24"/>
        </w:rPr>
        <w:t>VII Congreso Internacional del CLAD sobre la reforma del Estado. Lisboa, Portugal. Recuperado de:</w:t>
      </w:r>
      <w:r>
        <w:rPr>
          <w:rFonts w:ascii="Arial" w:hAnsi="Arial" w:cs="Arial"/>
          <w:sz w:val="24"/>
        </w:rPr>
        <w:t xml:space="preserve"> </w:t>
      </w:r>
      <w:hyperlink r:id="rId45">
        <w:r w:rsidRPr="003116B9">
          <w:rPr>
            <w:rStyle w:val="InternetLink"/>
            <w:rFonts w:ascii="Arial" w:hAnsi="Arial" w:cs="Arial"/>
            <w:color w:val="auto"/>
            <w:sz w:val="24"/>
          </w:rPr>
          <w:t>http://unpan1.un.org/intradoc/groups/public/documents/CLAD/clad0043429.pdf</w:t>
        </w:r>
      </w:hyperlink>
    </w:p>
    <w:p w:rsidR="00F30CF1" w:rsidRPr="003116B9" w:rsidRDefault="00F30CF1" w:rsidP="00F30CF1">
      <w:pPr>
        <w:spacing w:before="240" w:line="360" w:lineRule="auto"/>
        <w:ind w:left="709" w:hanging="709"/>
        <w:jc w:val="both"/>
      </w:pPr>
      <w:r w:rsidRPr="003116B9">
        <w:rPr>
          <w:rFonts w:ascii="Arial" w:hAnsi="Arial" w:cs="Arial"/>
          <w:sz w:val="24"/>
        </w:rPr>
        <w:t xml:space="preserve">Huaylupo, J. 2011. </w:t>
      </w:r>
      <w:r w:rsidRPr="003116B9">
        <w:rPr>
          <w:rFonts w:ascii="Arial" w:hAnsi="Arial" w:cs="Arial"/>
          <w:i/>
          <w:sz w:val="24"/>
        </w:rPr>
        <w:t xml:space="preserve">La Burocracia y sus Críticos en la Desregulación del Quehacer Estatal. </w:t>
      </w:r>
      <w:r w:rsidRPr="003116B9">
        <w:rPr>
          <w:rFonts w:ascii="Arial" w:hAnsi="Arial" w:cs="Arial"/>
          <w:sz w:val="24"/>
        </w:rPr>
        <w:t xml:space="preserve">Facultad de Ciencias Económicas, Universidad de Costa Rica. San Pedro, Costa Rica. Recuperado de: </w:t>
      </w:r>
      <w:hyperlink r:id="rId46">
        <w:r w:rsidRPr="003116B9">
          <w:rPr>
            <w:rStyle w:val="InternetLink"/>
            <w:rFonts w:ascii="Arial" w:hAnsi="Arial" w:cs="Arial"/>
            <w:color w:val="auto"/>
            <w:sz w:val="24"/>
          </w:rPr>
          <w:t>file:///C:/Users/user/Downloads/7025-Texto%20del%20art%C3%ADculo-9625-1-10-20130128.pdf</w:t>
        </w:r>
      </w:hyperlink>
    </w:p>
    <w:p w:rsidR="00F30CF1" w:rsidRDefault="00F30CF1" w:rsidP="00F30CF1">
      <w:pPr>
        <w:spacing w:line="331" w:lineRule="auto"/>
        <w:ind w:left="709" w:hanging="709"/>
        <w:jc w:val="both"/>
      </w:pPr>
      <w:r>
        <w:rPr>
          <w:rFonts w:ascii="Arial" w:eastAsia="Times New Roman" w:hAnsi="Arial" w:cs="Arial"/>
          <w:sz w:val="24"/>
          <w:szCs w:val="24"/>
        </w:rPr>
        <w:lastRenderedPageBreak/>
        <w:t xml:space="preserve">Portelli, H. (1973). </w:t>
      </w:r>
      <w:r>
        <w:rPr>
          <w:rFonts w:ascii="Arial" w:eastAsia="Times New Roman" w:hAnsi="Arial" w:cs="Arial"/>
          <w:i/>
          <w:iCs/>
          <w:sz w:val="24"/>
          <w:szCs w:val="24"/>
        </w:rPr>
        <w:t>Gramsci y E</w:t>
      </w:r>
      <w:r>
        <w:rPr>
          <w:rFonts w:ascii="Arial" w:eastAsia="Times New Roman" w:hAnsi="Arial" w:cs="Arial"/>
          <w:i/>
          <w:sz w:val="24"/>
          <w:szCs w:val="24"/>
        </w:rPr>
        <w:t>l Bloque Historico</w:t>
      </w:r>
      <w:r>
        <w:rPr>
          <w:rFonts w:ascii="Arial" w:eastAsia="Times New Roman" w:hAnsi="Arial" w:cs="Arial"/>
          <w:sz w:val="24"/>
          <w:szCs w:val="24"/>
        </w:rPr>
        <w:t xml:space="preserve">.  Siglo XXI. Mexico.  Recuperado de: </w:t>
      </w:r>
      <w:r>
        <w:rPr>
          <w:rFonts w:ascii="Arial" w:eastAsia="Times New Roman" w:hAnsi="Arial" w:cs="Arial"/>
          <w:sz w:val="24"/>
          <w:szCs w:val="24"/>
          <w:u w:val="single"/>
        </w:rPr>
        <w:t>https://periferiaactiva.files.wordpress.com/2018/06/portelli-gramsci-y-el-bloque-histc3b3rico.pdf</w:t>
      </w:r>
    </w:p>
    <w:p w:rsidR="00F30CF1" w:rsidRDefault="00F30CF1" w:rsidP="00F30CF1">
      <w:pPr>
        <w:spacing w:line="331" w:lineRule="auto"/>
        <w:ind w:left="709" w:hanging="709"/>
        <w:jc w:val="both"/>
      </w:pPr>
      <w:r>
        <w:rPr>
          <w:rFonts w:ascii="Arial" w:eastAsia="Times New Roman" w:hAnsi="Arial" w:cs="Arial"/>
          <w:sz w:val="24"/>
          <w:szCs w:val="24"/>
        </w:rPr>
        <w:t xml:space="preserve">Guillén, A. Sáenz, K. Badii, M, Castillo, J. (2009). </w:t>
      </w:r>
      <w:r>
        <w:rPr>
          <w:rFonts w:ascii="Arial" w:eastAsia="Times New Roman" w:hAnsi="Arial" w:cs="Arial"/>
          <w:i/>
          <w:sz w:val="24"/>
          <w:szCs w:val="24"/>
        </w:rPr>
        <w:t xml:space="preserve">Origen espacio y niveles de participación ciudadana. </w:t>
      </w:r>
      <w:r>
        <w:rPr>
          <w:rFonts w:ascii="Arial" w:eastAsia="Times New Roman" w:hAnsi="Arial" w:cs="Arial"/>
          <w:sz w:val="24"/>
          <w:szCs w:val="24"/>
        </w:rPr>
        <w:t xml:space="preserve">DAENA Journal. México. Recuperado de: </w:t>
      </w:r>
      <w:hyperlink r:id="rId47">
        <w:r>
          <w:rPr>
            <w:rStyle w:val="InternetLink"/>
            <w:rFonts w:ascii="Arial" w:eastAsia="Times New Roman" w:hAnsi="Arial" w:cs="Arial"/>
            <w:color w:val="00000A"/>
            <w:sz w:val="24"/>
            <w:szCs w:val="24"/>
          </w:rPr>
          <w:t>http://www.spentamexico.org/v4-n1/4(1)%20179-193.pdf</w:t>
        </w:r>
      </w:hyperlink>
    </w:p>
    <w:p w:rsidR="00F30CF1" w:rsidRDefault="00F30CF1" w:rsidP="00F30CF1">
      <w:pPr>
        <w:spacing w:line="360" w:lineRule="auto"/>
        <w:ind w:left="709" w:hanging="709"/>
      </w:pPr>
      <w:r>
        <w:rPr>
          <w:rFonts w:ascii="Arial" w:hAnsi="Arial" w:cs="Arial"/>
          <w:sz w:val="24"/>
          <w:szCs w:val="24"/>
        </w:rPr>
        <w:t xml:space="preserve">Hernández, C. (2000). </w:t>
      </w:r>
      <w:r>
        <w:rPr>
          <w:rFonts w:ascii="Arial" w:hAnsi="Arial" w:cs="Arial"/>
          <w:i/>
          <w:sz w:val="24"/>
          <w:szCs w:val="24"/>
        </w:rPr>
        <w:t xml:space="preserve">Planificación y Programación. </w:t>
      </w:r>
      <w:r>
        <w:rPr>
          <w:rFonts w:ascii="Arial" w:hAnsi="Arial" w:cs="Arial"/>
          <w:sz w:val="24"/>
          <w:szCs w:val="24"/>
        </w:rPr>
        <w:t xml:space="preserve">San José, Costa Rica. EUNED. </w:t>
      </w:r>
    </w:p>
    <w:p w:rsidR="00F30CF1" w:rsidRDefault="00F30CF1" w:rsidP="00F30CF1">
      <w:pPr>
        <w:pStyle w:val="NormalWeb"/>
        <w:shd w:val="clear" w:color="auto" w:fill="FFFFFF"/>
        <w:spacing w:before="240" w:after="324" w:line="360" w:lineRule="auto"/>
        <w:ind w:left="709" w:hanging="709"/>
        <w:jc w:val="both"/>
      </w:pPr>
      <w:r>
        <w:rPr>
          <w:rFonts w:ascii="Arial" w:hAnsi="Arial" w:cs="Arial"/>
        </w:rPr>
        <w:t xml:space="preserve">Hernández Sampieri, R. Fernández C. y Baptista, L. (2006). </w:t>
      </w:r>
      <w:r>
        <w:rPr>
          <w:rFonts w:ascii="Arial" w:hAnsi="Arial" w:cs="Arial"/>
          <w:i/>
          <w:iCs/>
        </w:rPr>
        <w:t>Metodología de la</w:t>
      </w:r>
      <w:r>
        <w:rPr>
          <w:rStyle w:val="apple-converted-space"/>
          <w:rFonts w:ascii="Arial" w:hAnsi="Arial" w:cs="Arial"/>
          <w:i/>
          <w:iCs/>
        </w:rPr>
        <w:t xml:space="preserve"> </w:t>
      </w:r>
      <w:r>
        <w:rPr>
          <w:rFonts w:ascii="Arial" w:hAnsi="Arial" w:cs="Arial"/>
          <w:i/>
          <w:iCs/>
        </w:rPr>
        <w:t>Investigación.</w:t>
      </w:r>
      <w:r>
        <w:rPr>
          <w:rStyle w:val="apple-converted-space"/>
          <w:rFonts w:ascii="Arial" w:hAnsi="Arial" w:cs="Arial"/>
          <w:i/>
          <w:iCs/>
        </w:rPr>
        <w:t xml:space="preserve"> </w:t>
      </w:r>
      <w:r>
        <w:rPr>
          <w:rFonts w:ascii="Arial" w:hAnsi="Arial" w:cs="Arial"/>
        </w:rPr>
        <w:t>Editorial McGraw Hill. México.</w:t>
      </w:r>
    </w:p>
    <w:p w:rsidR="00F30CF1" w:rsidRDefault="00F30CF1" w:rsidP="00F30CF1">
      <w:pPr>
        <w:spacing w:line="360" w:lineRule="auto"/>
        <w:ind w:left="709" w:hanging="709"/>
        <w:jc w:val="both"/>
      </w:pPr>
      <w:r>
        <w:rPr>
          <w:rFonts w:ascii="Arial" w:hAnsi="Arial" w:cs="Arial"/>
          <w:sz w:val="24"/>
          <w:szCs w:val="23"/>
        </w:rPr>
        <w:t xml:space="preserve">Instituto Costarricense de Pesca y Acuicultura, Acuerdo 099. (2014). </w:t>
      </w:r>
      <w:r>
        <w:rPr>
          <w:rFonts w:ascii="Arial" w:hAnsi="Arial" w:cs="Arial"/>
          <w:i/>
          <w:iCs/>
          <w:sz w:val="24"/>
          <w:szCs w:val="23"/>
        </w:rPr>
        <w:t>Creación del Área Marina de Pesca Responsable Distrito Paquera-Tambor y su Plan de Ordenación</w:t>
      </w:r>
      <w:r>
        <w:rPr>
          <w:rFonts w:ascii="Arial" w:hAnsi="Arial" w:cs="Arial"/>
          <w:sz w:val="24"/>
          <w:szCs w:val="23"/>
        </w:rPr>
        <w:t>. Puntarenas, Costa Rica.</w:t>
      </w:r>
    </w:p>
    <w:p w:rsidR="00F30CF1" w:rsidRDefault="00F30CF1" w:rsidP="00F30CF1">
      <w:pPr>
        <w:spacing w:before="240" w:line="360" w:lineRule="auto"/>
        <w:ind w:left="709" w:hanging="709"/>
        <w:jc w:val="both"/>
      </w:pPr>
      <w:r>
        <w:rPr>
          <w:rFonts w:ascii="Arial" w:hAnsi="Arial" w:cs="Arial"/>
          <w:sz w:val="24"/>
          <w:szCs w:val="23"/>
        </w:rPr>
        <w:t xml:space="preserve">Instituto Nacional de Estadísticas y Censos. (2011). </w:t>
      </w:r>
      <w:r>
        <w:rPr>
          <w:rFonts w:ascii="Arial" w:hAnsi="Arial" w:cs="Arial"/>
          <w:i/>
          <w:sz w:val="24"/>
          <w:szCs w:val="23"/>
        </w:rPr>
        <w:t>CO1 Costa Rica indicadores demográficos según cantón y distrito</w:t>
      </w:r>
      <w:r>
        <w:rPr>
          <w:rFonts w:ascii="Arial" w:hAnsi="Arial" w:cs="Arial"/>
          <w:sz w:val="24"/>
          <w:szCs w:val="23"/>
        </w:rPr>
        <w:t xml:space="preserve">. San José, Costa Rica. Recuperado de: </w:t>
      </w:r>
      <w:r>
        <w:rPr>
          <w:rFonts w:ascii="Arial" w:hAnsi="Arial" w:cs="Arial"/>
          <w:sz w:val="24"/>
          <w:szCs w:val="24"/>
          <w:u w:val="single"/>
        </w:rPr>
        <w:t>http://www.inec.go.cr/Web/Home/GeneradorPagina.aspx</w:t>
      </w:r>
    </w:p>
    <w:p w:rsidR="00F30CF1" w:rsidRPr="003116B9" w:rsidRDefault="00F30CF1" w:rsidP="00F30CF1">
      <w:pPr>
        <w:spacing w:before="240" w:line="360" w:lineRule="auto"/>
        <w:ind w:left="709" w:hanging="709"/>
        <w:jc w:val="both"/>
      </w:pPr>
      <w:r>
        <w:rPr>
          <w:rFonts w:ascii="Arial" w:hAnsi="Arial" w:cs="Arial"/>
          <w:sz w:val="24"/>
          <w:szCs w:val="24"/>
        </w:rPr>
        <w:t xml:space="preserve">Landau, M. (1996). </w:t>
      </w:r>
      <w:r>
        <w:rPr>
          <w:rFonts w:ascii="Arial" w:hAnsi="Arial" w:cs="Arial"/>
          <w:i/>
          <w:sz w:val="24"/>
          <w:szCs w:val="24"/>
        </w:rPr>
        <w:t>El ámbito propio del análisis de políticas</w:t>
      </w:r>
      <w:r>
        <w:rPr>
          <w:rFonts w:ascii="Arial" w:hAnsi="Arial" w:cs="Arial"/>
          <w:sz w:val="24"/>
          <w:szCs w:val="24"/>
        </w:rPr>
        <w:t xml:space="preserve">. En Aguilar Villanueva, Luis F. (estudio introductorio y edición). </w:t>
      </w:r>
      <w:r>
        <w:rPr>
          <w:rFonts w:ascii="Arial" w:hAnsi="Arial" w:cs="Arial"/>
          <w:bCs/>
          <w:sz w:val="24"/>
          <w:szCs w:val="24"/>
        </w:rPr>
        <w:t>El estudio de las Políticas Públic</w:t>
      </w:r>
      <w:r w:rsidRPr="003116B9">
        <w:rPr>
          <w:rFonts w:ascii="Arial" w:hAnsi="Arial" w:cs="Arial"/>
          <w:bCs/>
          <w:sz w:val="24"/>
          <w:szCs w:val="24"/>
        </w:rPr>
        <w:t xml:space="preserve">as (pp. 275-280). </w:t>
      </w:r>
      <w:r w:rsidRPr="003116B9">
        <w:rPr>
          <w:rFonts w:ascii="Arial" w:hAnsi="Arial" w:cs="Arial"/>
          <w:sz w:val="24"/>
          <w:szCs w:val="24"/>
        </w:rPr>
        <w:t xml:space="preserve"> Segunda edición. México: Porrúa.</w:t>
      </w:r>
    </w:p>
    <w:p w:rsidR="00F30CF1" w:rsidRPr="003116B9" w:rsidRDefault="00F30CF1" w:rsidP="00F30CF1">
      <w:pPr>
        <w:spacing w:before="240" w:line="360" w:lineRule="auto"/>
        <w:ind w:left="709" w:hanging="709"/>
        <w:jc w:val="both"/>
      </w:pPr>
      <w:r w:rsidRPr="003116B9">
        <w:rPr>
          <w:rFonts w:ascii="Arial" w:hAnsi="Arial" w:cs="Arial"/>
          <w:sz w:val="24"/>
          <w:szCs w:val="24"/>
        </w:rPr>
        <w:t xml:space="preserve">Lahera, E. (2004). </w:t>
      </w:r>
      <w:r w:rsidRPr="003116B9">
        <w:rPr>
          <w:rFonts w:ascii="Arial" w:hAnsi="Arial" w:cs="Arial"/>
          <w:i/>
          <w:sz w:val="24"/>
          <w:szCs w:val="24"/>
        </w:rPr>
        <w:t>Política y Políticas Públicas</w:t>
      </w:r>
      <w:r w:rsidRPr="003116B9">
        <w:rPr>
          <w:rFonts w:ascii="Arial" w:hAnsi="Arial" w:cs="Arial"/>
          <w:sz w:val="24"/>
          <w:szCs w:val="24"/>
        </w:rPr>
        <w:t xml:space="preserve">. CEPAL – Series Políticas Sociales. Santiago de Chile. Recuperado de: </w:t>
      </w:r>
      <w:hyperlink r:id="rId48">
        <w:r w:rsidRPr="003116B9">
          <w:rPr>
            <w:rStyle w:val="InternetLink"/>
            <w:rFonts w:ascii="Arial" w:hAnsi="Arial" w:cs="Arial"/>
            <w:color w:val="auto"/>
            <w:sz w:val="24"/>
          </w:rPr>
          <w:t>http://repositorio.cepal.org/bitstream/handle/11362/6085/S047600_es.pdf</w:t>
        </w:r>
      </w:hyperlink>
    </w:p>
    <w:p w:rsidR="00F30CF1" w:rsidRDefault="00F30CF1" w:rsidP="00F30CF1">
      <w:pPr>
        <w:spacing w:line="360" w:lineRule="auto"/>
        <w:ind w:left="709" w:hanging="709"/>
        <w:jc w:val="both"/>
      </w:pPr>
      <w:r>
        <w:rPr>
          <w:rFonts w:ascii="Arial" w:eastAsia="Times New Roman" w:hAnsi="Arial" w:cs="Arial"/>
          <w:sz w:val="24"/>
          <w:szCs w:val="24"/>
        </w:rPr>
        <w:t xml:space="preserve">Llaguno, José Julián. (2009). </w:t>
      </w:r>
      <w:r>
        <w:rPr>
          <w:rFonts w:ascii="Arial" w:eastAsia="Times New Roman" w:hAnsi="Arial" w:cs="Arial"/>
          <w:i/>
          <w:sz w:val="24"/>
          <w:szCs w:val="24"/>
        </w:rPr>
        <w:t>Anarquismo, sociabilidad obrera y redes intelectuales en Costa Rica</w:t>
      </w:r>
      <w:r>
        <w:rPr>
          <w:rFonts w:ascii="Arial" w:eastAsia="Times New Roman" w:hAnsi="Arial" w:cs="Arial"/>
          <w:sz w:val="24"/>
          <w:szCs w:val="24"/>
        </w:rPr>
        <w:t>. Tesis-UCR.</w:t>
      </w:r>
    </w:p>
    <w:p w:rsidR="00F30CF1" w:rsidRDefault="00F30CF1" w:rsidP="00F30CF1">
      <w:pPr>
        <w:spacing w:line="360" w:lineRule="auto"/>
        <w:ind w:left="709" w:hanging="709"/>
        <w:jc w:val="both"/>
      </w:pPr>
      <w:r>
        <w:rPr>
          <w:rFonts w:ascii="Arial" w:hAnsi="Arial" w:cs="Arial"/>
          <w:sz w:val="24"/>
        </w:rPr>
        <w:t xml:space="preserve">León, D. Mata, G. (2017). </w:t>
      </w:r>
      <w:r>
        <w:rPr>
          <w:rFonts w:ascii="Arial" w:hAnsi="Arial" w:cs="Arial"/>
          <w:i/>
          <w:sz w:val="24"/>
        </w:rPr>
        <w:t xml:space="preserve">Contribuciones al debate sobre el desarrollo en Costa Rica. La desigualdad en Costa Rica y el cumplimiento de la agenda 2030 para el desarrollo sostenible. </w:t>
      </w:r>
      <w:r>
        <w:rPr>
          <w:rFonts w:ascii="Arial" w:hAnsi="Arial" w:cs="Arial"/>
          <w:sz w:val="24"/>
        </w:rPr>
        <w:t xml:space="preserve">PNUD-FLACSO. San José, Costa Rica. </w:t>
      </w:r>
      <w:r>
        <w:rPr>
          <w:rFonts w:ascii="Arial" w:hAnsi="Arial" w:cs="Arial"/>
          <w:sz w:val="24"/>
        </w:rPr>
        <w:lastRenderedPageBreak/>
        <w:t xml:space="preserve">Recuperado de: </w:t>
      </w:r>
      <w:hyperlink r:id="rId49">
        <w:r>
          <w:rPr>
            <w:rStyle w:val="InternetLink"/>
            <w:rFonts w:ascii="Arial" w:hAnsi="Arial" w:cs="Arial"/>
            <w:color w:val="00000A"/>
            <w:sz w:val="24"/>
          </w:rPr>
          <w:t>http://www.cr.undp.org/content/dam/costa_rica/docs/undp_cr_contribucion_debate_cr.pdf</w:t>
        </w:r>
      </w:hyperlink>
    </w:p>
    <w:p w:rsidR="00F30CF1" w:rsidRDefault="00F30CF1" w:rsidP="00F30CF1">
      <w:pPr>
        <w:spacing w:before="240" w:line="360" w:lineRule="auto"/>
        <w:ind w:left="709" w:hanging="709"/>
        <w:jc w:val="both"/>
      </w:pPr>
      <w:r>
        <w:rPr>
          <w:rFonts w:ascii="Arial" w:hAnsi="Arial" w:cs="Arial"/>
          <w:sz w:val="24"/>
          <w:szCs w:val="24"/>
        </w:rPr>
        <w:t xml:space="preserve">Lindblom, C. (1991). </w:t>
      </w:r>
      <w:r>
        <w:rPr>
          <w:rFonts w:ascii="Arial" w:hAnsi="Arial" w:cs="Arial"/>
          <w:bCs/>
          <w:i/>
          <w:sz w:val="24"/>
          <w:szCs w:val="24"/>
        </w:rPr>
        <w:t>El proceso de elaboración de las políticas públicas</w:t>
      </w:r>
      <w:r>
        <w:rPr>
          <w:rFonts w:ascii="Arial" w:hAnsi="Arial" w:cs="Arial"/>
          <w:bCs/>
          <w:sz w:val="24"/>
          <w:szCs w:val="24"/>
        </w:rPr>
        <w:t>.</w:t>
      </w:r>
      <w:r>
        <w:rPr>
          <w:rFonts w:ascii="Arial" w:hAnsi="Arial" w:cs="Arial"/>
          <w:sz w:val="24"/>
          <w:szCs w:val="24"/>
        </w:rPr>
        <w:t xml:space="preserve"> España: Instituto Nacional de Administración Pública.</w:t>
      </w:r>
    </w:p>
    <w:p w:rsidR="00F30CF1" w:rsidRDefault="00F30CF1" w:rsidP="00F30CF1">
      <w:pPr>
        <w:keepNext/>
        <w:spacing w:after="120" w:line="360" w:lineRule="auto"/>
        <w:ind w:left="709" w:hanging="709"/>
        <w:jc w:val="both"/>
      </w:pPr>
      <w:r>
        <w:rPr>
          <w:rFonts w:ascii="Arial" w:hAnsi="Arial" w:cs="Arial"/>
          <w:sz w:val="24"/>
        </w:rPr>
        <w:t xml:space="preserve">Lobo, A. Ovares, C. (2012). </w:t>
      </w:r>
      <w:r>
        <w:rPr>
          <w:rFonts w:ascii="Arial" w:hAnsi="Arial" w:cs="Arial"/>
          <w:i/>
          <w:sz w:val="24"/>
        </w:rPr>
        <w:t xml:space="preserve">Derechos de uso exclusivo localizado como forma de ordenamiento de la actividad pesquera en los espacios marinos. </w:t>
      </w:r>
      <w:r>
        <w:rPr>
          <w:rFonts w:ascii="Arial" w:hAnsi="Arial" w:cs="Arial"/>
          <w:sz w:val="24"/>
        </w:rPr>
        <w:t xml:space="preserve">Tesis para optar por el grado de Licenciatura en Derecho. Universidad de Costa Rica. San Pedro, Costa Rica. </w:t>
      </w:r>
    </w:p>
    <w:p w:rsidR="00F30CF1" w:rsidRDefault="00F30CF1" w:rsidP="00F30CF1">
      <w:pPr>
        <w:keepNext/>
        <w:spacing w:after="120" w:line="360" w:lineRule="auto"/>
        <w:ind w:left="709" w:hanging="709"/>
        <w:jc w:val="both"/>
        <w:rPr>
          <w:rFonts w:ascii="Arial" w:hAnsi="Arial" w:cs="Arial"/>
          <w:sz w:val="24"/>
        </w:rPr>
      </w:pPr>
      <w:r>
        <w:rPr>
          <w:rFonts w:ascii="Arial" w:hAnsi="Arial" w:cs="Arial"/>
          <w:sz w:val="24"/>
        </w:rPr>
        <w:t>Mann, Michael. (2006). El poder autónomo del Estado: sus orígenes, mecanismos y resultados. En: Revista Académica de Relaciones Internacionales, Núm. 5 noviembre. UAM-AEDRI.</w:t>
      </w:r>
    </w:p>
    <w:p w:rsidR="00F30CF1" w:rsidRDefault="00F30CF1" w:rsidP="00F30CF1">
      <w:pPr>
        <w:spacing w:before="280" w:after="280" w:line="360" w:lineRule="auto"/>
        <w:ind w:left="709" w:hanging="709"/>
        <w:jc w:val="both"/>
      </w:pPr>
      <w:r>
        <w:rPr>
          <w:rFonts w:ascii="Arial" w:hAnsi="Arial" w:cs="Arial"/>
          <w:sz w:val="24"/>
        </w:rPr>
        <w:t xml:space="preserve">Martner, G. (2004). </w:t>
      </w:r>
      <w:r>
        <w:rPr>
          <w:rFonts w:ascii="Arial" w:hAnsi="Arial" w:cs="Arial"/>
          <w:i/>
          <w:sz w:val="24"/>
        </w:rPr>
        <w:t>Planificación y presupuesto por programas.</w:t>
      </w:r>
      <w:r>
        <w:rPr>
          <w:rFonts w:ascii="Arial" w:hAnsi="Arial" w:cs="Arial"/>
          <w:sz w:val="24"/>
        </w:rPr>
        <w:t xml:space="preserve"> Editorial Siglo XXI. México. Recuperado de: </w:t>
      </w:r>
      <w:r>
        <w:rPr>
          <w:rFonts w:ascii="Arial" w:hAnsi="Arial" w:cs="Arial"/>
          <w:sz w:val="24"/>
          <w:u w:val="single"/>
        </w:rPr>
        <w:t>https://docplayer.es/8758208-Universidad-tecnica-de-ambato.html</w:t>
      </w:r>
    </w:p>
    <w:p w:rsidR="00F30CF1" w:rsidRDefault="00F30CF1" w:rsidP="00F30CF1">
      <w:pPr>
        <w:spacing w:before="280" w:after="280" w:line="360" w:lineRule="auto"/>
        <w:ind w:left="709" w:hanging="709"/>
        <w:jc w:val="both"/>
      </w:pPr>
      <w:r>
        <w:rPr>
          <w:rFonts w:ascii="Arial" w:hAnsi="Arial" w:cs="Arial"/>
          <w:sz w:val="24"/>
        </w:rPr>
        <w:t xml:space="preserve">Martinelli, A. (2004). </w:t>
      </w:r>
      <w:r>
        <w:rPr>
          <w:rFonts w:ascii="Arial" w:hAnsi="Arial" w:cs="Arial"/>
          <w:i/>
          <w:sz w:val="24"/>
        </w:rPr>
        <w:t>Mercados, gobiernos, comunidades y gobernanza global. Sistema</w:t>
      </w:r>
      <w:r>
        <w:rPr>
          <w:rFonts w:ascii="Arial" w:hAnsi="Arial" w:cs="Arial"/>
          <w:sz w:val="24"/>
        </w:rPr>
        <w:t xml:space="preserve">. Nº 181, p. 3-31. Recuperado de: </w:t>
      </w:r>
      <w:hyperlink r:id="rId50">
        <w:r>
          <w:rPr>
            <w:rStyle w:val="InternetLink"/>
            <w:rFonts w:ascii="Arial" w:hAnsi="Arial" w:cs="Arial"/>
            <w:color w:val="00000A"/>
            <w:sz w:val="24"/>
          </w:rPr>
          <w:t>http://www.ub.edu/geocrit/sn/sn-278.htm</w:t>
        </w:r>
      </w:hyperlink>
    </w:p>
    <w:p w:rsidR="00F30CF1" w:rsidRDefault="00F30CF1" w:rsidP="00F30CF1">
      <w:pPr>
        <w:spacing w:before="200" w:line="360" w:lineRule="auto"/>
        <w:ind w:left="709" w:hanging="709"/>
        <w:jc w:val="both"/>
      </w:pPr>
      <w:r>
        <w:rPr>
          <w:rFonts w:ascii="Arial" w:hAnsi="Arial" w:cs="Arial"/>
          <w:sz w:val="24"/>
        </w:rPr>
        <w:t xml:space="preserve">Meny &amp; Thoening (1992). </w:t>
      </w:r>
      <w:r>
        <w:rPr>
          <w:rFonts w:ascii="Arial" w:hAnsi="Arial" w:cs="Arial"/>
          <w:i/>
          <w:sz w:val="24"/>
        </w:rPr>
        <w:t>Las políticas públicas</w:t>
      </w:r>
      <w:r>
        <w:rPr>
          <w:rFonts w:ascii="Arial" w:hAnsi="Arial" w:cs="Arial"/>
          <w:sz w:val="24"/>
        </w:rPr>
        <w:t xml:space="preserve">. Cuadernos del Cendes, ISSN 1012-2508, Nº. 96. México. Recuperado de: </w:t>
      </w:r>
      <w:r>
        <w:rPr>
          <w:rFonts w:ascii="Arial" w:hAnsi="Arial" w:cs="Arial"/>
          <w:sz w:val="24"/>
          <w:u w:val="single"/>
        </w:rPr>
        <w:t>https://dialnet.unirioja.es/servlet/articulo?codigo=6528809</w:t>
      </w:r>
    </w:p>
    <w:p w:rsidR="00F30CF1" w:rsidRDefault="00F30CF1" w:rsidP="00F30CF1">
      <w:pPr>
        <w:spacing w:before="200" w:line="360" w:lineRule="auto"/>
        <w:ind w:left="709" w:hanging="709"/>
        <w:jc w:val="both"/>
      </w:pPr>
      <w:r>
        <w:rPr>
          <w:rFonts w:ascii="Arial" w:eastAsia="Times New Roman" w:hAnsi="Arial" w:cs="Arial"/>
          <w:sz w:val="24"/>
          <w:szCs w:val="24"/>
        </w:rPr>
        <w:t xml:space="preserve">Ministerio de Planificación Nacional y Política Económica. (2017). </w:t>
      </w:r>
      <w:r>
        <w:rPr>
          <w:rFonts w:ascii="Arial" w:eastAsia="Times New Roman" w:hAnsi="Arial" w:cs="Arial"/>
          <w:i/>
          <w:sz w:val="24"/>
          <w:szCs w:val="24"/>
        </w:rPr>
        <w:t>Costa Rica Índice de Desarrollo Social 2013</w:t>
      </w:r>
      <w:r>
        <w:rPr>
          <w:rFonts w:ascii="Arial" w:eastAsia="Times New Roman" w:hAnsi="Arial" w:cs="Arial"/>
          <w:sz w:val="24"/>
          <w:szCs w:val="24"/>
        </w:rPr>
        <w:t xml:space="preserve">. San José, Costa Rica. Recuperado de: </w:t>
      </w:r>
      <w:r>
        <w:rPr>
          <w:rFonts w:ascii="Arial" w:eastAsia="Times New Roman" w:hAnsi="Arial" w:cs="Arial"/>
          <w:i/>
          <w:sz w:val="24"/>
          <w:szCs w:val="24"/>
          <w:u w:val="single"/>
        </w:rPr>
        <w:t>http://www.conicit.go.cr/servicios/listadocs/Indice-Desarrollo-Social-2017.pdf</w:t>
      </w:r>
    </w:p>
    <w:p w:rsidR="00F30CF1" w:rsidRDefault="00F30CF1" w:rsidP="00F30CF1">
      <w:pPr>
        <w:spacing w:before="200" w:line="360" w:lineRule="auto"/>
        <w:ind w:left="709" w:hanging="709"/>
        <w:jc w:val="both"/>
      </w:pPr>
      <w:r>
        <w:rPr>
          <w:rFonts w:ascii="Arial" w:eastAsia="Times New Roman" w:hAnsi="Arial" w:cs="Arial"/>
          <w:sz w:val="24"/>
          <w:szCs w:val="24"/>
        </w:rPr>
        <w:t xml:space="preserve">Montero, F. (2016). </w:t>
      </w:r>
      <w:r>
        <w:rPr>
          <w:rFonts w:ascii="Arial" w:eastAsia="Times New Roman" w:hAnsi="Arial" w:cs="Arial"/>
          <w:i/>
          <w:sz w:val="24"/>
          <w:szCs w:val="24"/>
        </w:rPr>
        <w:t xml:space="preserve">La brecha social en Costa Rica: Un tema de definición económica, política y social. </w:t>
      </w:r>
      <w:r>
        <w:rPr>
          <w:rFonts w:ascii="Arial" w:eastAsia="Times New Roman" w:hAnsi="Arial" w:cs="Arial"/>
          <w:sz w:val="24"/>
          <w:szCs w:val="24"/>
        </w:rPr>
        <w:t>Revista Latinoamericana de Derechos Humanos, volumen 27. Heredia: UNA.</w:t>
      </w:r>
    </w:p>
    <w:p w:rsidR="00F30CF1" w:rsidRDefault="00F30CF1" w:rsidP="00F30CF1">
      <w:pPr>
        <w:spacing w:before="200" w:line="360" w:lineRule="auto"/>
        <w:ind w:left="709" w:hanging="709"/>
        <w:jc w:val="both"/>
      </w:pPr>
      <w:r>
        <w:rPr>
          <w:rFonts w:ascii="Arial" w:eastAsia="Times New Roman" w:hAnsi="Arial" w:cs="Arial"/>
          <w:sz w:val="24"/>
          <w:szCs w:val="24"/>
        </w:rPr>
        <w:lastRenderedPageBreak/>
        <w:t xml:space="preserve">Morales, S. Rojas, C &amp; Solano, D. (2019) </w:t>
      </w:r>
      <w:r>
        <w:rPr>
          <w:rFonts w:ascii="Arial" w:eastAsia="Times New Roman" w:hAnsi="Arial" w:cs="Arial"/>
          <w:i/>
          <w:sz w:val="24"/>
          <w:szCs w:val="24"/>
        </w:rPr>
        <w:t xml:space="preserve">Proyecto: Centros de Acopio en Paquera, Tambor y Playa Blanca. </w:t>
      </w:r>
      <w:r>
        <w:rPr>
          <w:rFonts w:ascii="Arial" w:eastAsia="Times New Roman" w:hAnsi="Arial" w:cs="Arial"/>
          <w:sz w:val="24"/>
          <w:szCs w:val="24"/>
        </w:rPr>
        <w:t xml:space="preserve">EPPS-UNA. Heredia, Costa Rica. </w:t>
      </w:r>
    </w:p>
    <w:p w:rsidR="00F30CF1" w:rsidRDefault="00F30CF1" w:rsidP="00F30CF1">
      <w:pPr>
        <w:spacing w:before="200" w:line="360" w:lineRule="auto"/>
        <w:ind w:left="709" w:hanging="709"/>
        <w:jc w:val="both"/>
      </w:pPr>
      <w:r>
        <w:rPr>
          <w:rFonts w:ascii="Arial" w:eastAsia="Times New Roman" w:hAnsi="Arial" w:cs="Arial"/>
          <w:sz w:val="24"/>
          <w:szCs w:val="24"/>
        </w:rPr>
        <w:t xml:space="preserve">O´Donnell, G. (1993). </w:t>
      </w:r>
      <w:r>
        <w:rPr>
          <w:rFonts w:ascii="Arial" w:eastAsia="Times New Roman" w:hAnsi="Arial" w:cs="Arial"/>
          <w:i/>
          <w:sz w:val="24"/>
          <w:szCs w:val="24"/>
        </w:rPr>
        <w:t>Estado, democratización y ciudadanía.</w:t>
      </w:r>
      <w:r>
        <w:rPr>
          <w:rFonts w:ascii="Arial" w:eastAsia="Times New Roman" w:hAnsi="Arial" w:cs="Arial"/>
          <w:sz w:val="24"/>
          <w:szCs w:val="24"/>
        </w:rPr>
        <w:t xml:space="preserve"> Revista Nueva Sociedad, N° 128. Caracas, Venezuela. Recuperado de http://www.fcpolit.unr.edu.ar/teoriapolitica/files/2014/03/ODonnell.Estado-democratizaci%C3%B3n-y-ciudadan%C3%ADa.pdf</w:t>
      </w:r>
    </w:p>
    <w:p w:rsidR="00F30CF1" w:rsidRDefault="00F30CF1" w:rsidP="00F30CF1">
      <w:pPr>
        <w:spacing w:line="360" w:lineRule="auto"/>
        <w:ind w:left="709" w:hanging="709"/>
        <w:jc w:val="both"/>
      </w:pPr>
      <w:r>
        <w:rPr>
          <w:rFonts w:ascii="Arial" w:hAnsi="Arial" w:cs="Arial"/>
          <w:sz w:val="24"/>
          <w:szCs w:val="24"/>
        </w:rPr>
        <w:t xml:space="preserve">Oficina Subregional Paquera. (2014). </w:t>
      </w:r>
      <w:r>
        <w:rPr>
          <w:rFonts w:ascii="Arial" w:hAnsi="Arial" w:cs="Arial"/>
          <w:i/>
          <w:sz w:val="24"/>
          <w:szCs w:val="24"/>
        </w:rPr>
        <w:t xml:space="preserve">Caracterización Básica Territorio Paquera-Cóbano-Lepanto-Chira. </w:t>
      </w:r>
      <w:r>
        <w:rPr>
          <w:rFonts w:ascii="Arial" w:hAnsi="Arial" w:cs="Arial"/>
          <w:sz w:val="24"/>
          <w:szCs w:val="24"/>
        </w:rPr>
        <w:t xml:space="preserve">Dirección Pacífico Central. Instituto de Desarrollo Rural. Puntarenas, Costa Rica. Recuperado de: </w:t>
      </w:r>
      <w:hyperlink r:id="rId51">
        <w:r>
          <w:rPr>
            <w:rStyle w:val="InternetLink"/>
            <w:rFonts w:ascii="Arial" w:hAnsi="Arial" w:cs="Arial"/>
            <w:color w:val="00000A"/>
            <w:sz w:val="24"/>
          </w:rPr>
          <w:t>https://www.inder.go.cr/territorio-peninsular/Caracterizacion-Paquera-Cobano-Lepanto-Chira.pdf</w:t>
        </w:r>
      </w:hyperlink>
    </w:p>
    <w:p w:rsidR="00F30CF1" w:rsidRDefault="00F30CF1" w:rsidP="00F30CF1">
      <w:pPr>
        <w:spacing w:line="360" w:lineRule="auto"/>
        <w:ind w:left="709" w:hanging="709"/>
        <w:jc w:val="both"/>
      </w:pPr>
      <w:r>
        <w:rPr>
          <w:rFonts w:ascii="Arial" w:hAnsi="Arial" w:cs="Arial"/>
          <w:sz w:val="24"/>
          <w:szCs w:val="24"/>
        </w:rPr>
        <w:t xml:space="preserve">Ortega y Gasset. (s.f.). </w:t>
      </w:r>
      <w:r>
        <w:rPr>
          <w:rFonts w:ascii="Arial" w:hAnsi="Arial" w:cs="Arial"/>
          <w:i/>
          <w:sz w:val="24"/>
          <w:szCs w:val="24"/>
        </w:rPr>
        <w:t xml:space="preserve">Capacidades, instituciones y gobernanza democrática local. </w:t>
      </w:r>
      <w:r>
        <w:rPr>
          <w:rFonts w:ascii="Arial" w:hAnsi="Arial" w:cs="Arial"/>
          <w:sz w:val="24"/>
          <w:szCs w:val="24"/>
        </w:rPr>
        <w:t xml:space="preserve">Fundación José Ortega y Gasset. España. Recuperado de: </w:t>
      </w:r>
      <w:hyperlink r:id="rId52">
        <w:r>
          <w:rPr>
            <w:rStyle w:val="InternetLink"/>
            <w:rFonts w:ascii="Arial" w:hAnsi="Arial" w:cs="Arial"/>
            <w:color w:val="00000A"/>
            <w:sz w:val="24"/>
          </w:rPr>
          <w:t>http://ortegaygasset.edu/fog/ver/1205/circunstancia/ano-ix---n--26---septiembre-2011/articulos/capacidades--instituciones-y-gobernanza-democratica-local--elementos-para-el-estudio-de-los-gobiernos-locales-en-america-latina%C2%B4</w:t>
        </w:r>
      </w:hyperlink>
    </w:p>
    <w:p w:rsidR="00F30CF1" w:rsidRDefault="00F30CF1" w:rsidP="00F30CF1">
      <w:pPr>
        <w:spacing w:before="240" w:line="360" w:lineRule="auto"/>
        <w:ind w:left="709" w:hanging="709"/>
        <w:jc w:val="both"/>
      </w:pPr>
      <w:r>
        <w:rPr>
          <w:rFonts w:ascii="Arial" w:hAnsi="Arial" w:cs="Arial"/>
          <w:sz w:val="24"/>
          <w:szCs w:val="24"/>
        </w:rPr>
        <w:t xml:space="preserve">Ortegón, E. Pacheco, J y Prieto, A. (2005). </w:t>
      </w:r>
      <w:r>
        <w:rPr>
          <w:rFonts w:ascii="Arial" w:hAnsi="Arial" w:cs="Arial"/>
          <w:bCs/>
          <w:i/>
          <w:sz w:val="24"/>
          <w:szCs w:val="24"/>
        </w:rPr>
        <w:t>Metodología del marco lógico para la planificación, el seguimiento y la evaluación de proyectos y programas</w:t>
      </w:r>
      <w:r>
        <w:rPr>
          <w:rFonts w:ascii="Arial" w:hAnsi="Arial" w:cs="Arial"/>
          <w:sz w:val="24"/>
          <w:szCs w:val="24"/>
        </w:rPr>
        <w:t>. Serie Manuales Nº 42. Santiago de Chile: ILPES, CEPAL.</w:t>
      </w:r>
    </w:p>
    <w:p w:rsidR="00F30CF1" w:rsidRDefault="00F30CF1" w:rsidP="00F30CF1">
      <w:pPr>
        <w:spacing w:before="240" w:line="360" w:lineRule="auto"/>
        <w:ind w:left="709" w:hanging="709"/>
        <w:jc w:val="both"/>
      </w:pPr>
      <w:r>
        <w:rPr>
          <w:rFonts w:ascii="Arial" w:hAnsi="Arial" w:cs="Arial"/>
          <w:sz w:val="24"/>
          <w:szCs w:val="24"/>
        </w:rPr>
        <w:t xml:space="preserve">Organización de las Naciones Unidas. (1982). </w:t>
      </w:r>
      <w:r>
        <w:rPr>
          <w:rFonts w:ascii="Arial" w:hAnsi="Arial" w:cs="Arial"/>
          <w:i/>
          <w:sz w:val="24"/>
          <w:szCs w:val="24"/>
        </w:rPr>
        <w:t xml:space="preserve">Convención de las Naciones Unidas Sobre el Derecho del Mar. </w:t>
      </w:r>
      <w:r>
        <w:rPr>
          <w:rFonts w:ascii="Arial" w:hAnsi="Arial" w:cs="Arial"/>
          <w:sz w:val="24"/>
          <w:szCs w:val="24"/>
        </w:rPr>
        <w:t xml:space="preserve">ONU. </w:t>
      </w:r>
    </w:p>
    <w:p w:rsidR="00F30CF1" w:rsidRDefault="00F30CF1" w:rsidP="00F30CF1">
      <w:pPr>
        <w:spacing w:line="360" w:lineRule="auto"/>
        <w:ind w:left="709" w:hanging="709"/>
        <w:jc w:val="both"/>
      </w:pPr>
      <w:r>
        <w:rPr>
          <w:rFonts w:ascii="Arial" w:hAnsi="Arial" w:cs="Arial"/>
          <w:sz w:val="24"/>
          <w:szCs w:val="24"/>
        </w:rPr>
        <w:t xml:space="preserve">Parsons, W. (1997). </w:t>
      </w:r>
      <w:r>
        <w:rPr>
          <w:rFonts w:ascii="Arial" w:hAnsi="Arial" w:cs="Arial"/>
          <w:i/>
          <w:sz w:val="24"/>
          <w:szCs w:val="24"/>
        </w:rPr>
        <w:t>Políticas Públicas. Una introducción a la teoría y las prácticas de análisis de políticas públicas</w:t>
      </w:r>
      <w:r>
        <w:rPr>
          <w:rFonts w:ascii="Arial" w:hAnsi="Arial" w:cs="Arial"/>
          <w:sz w:val="24"/>
          <w:szCs w:val="24"/>
        </w:rPr>
        <w:t xml:space="preserve">. FLACSO, Sede Académica de México. México. </w:t>
      </w:r>
    </w:p>
    <w:p w:rsidR="00F30CF1" w:rsidRDefault="00F30CF1" w:rsidP="00F30CF1">
      <w:pPr>
        <w:spacing w:line="360" w:lineRule="auto"/>
        <w:ind w:left="709" w:hanging="709"/>
        <w:jc w:val="both"/>
      </w:pPr>
      <w:r>
        <w:rPr>
          <w:rFonts w:ascii="Arial" w:hAnsi="Arial" w:cs="Arial"/>
          <w:sz w:val="24"/>
          <w:szCs w:val="24"/>
        </w:rPr>
        <w:t xml:space="preserve">Perero, E. (2010). </w:t>
      </w:r>
      <w:r>
        <w:rPr>
          <w:rFonts w:ascii="Arial" w:hAnsi="Arial" w:cs="Arial"/>
          <w:i/>
          <w:sz w:val="24"/>
          <w:szCs w:val="24"/>
        </w:rPr>
        <w:t xml:space="preserve">Participación Ciudadana. </w:t>
      </w:r>
      <w:r>
        <w:rPr>
          <w:rFonts w:ascii="Arial" w:hAnsi="Arial" w:cs="Arial"/>
          <w:sz w:val="24"/>
          <w:szCs w:val="24"/>
        </w:rPr>
        <w:t>Editorial</w:t>
      </w:r>
      <w:r>
        <w:rPr>
          <w:rFonts w:ascii="Arial" w:hAnsi="Arial" w:cs="Arial"/>
          <w:i/>
          <w:sz w:val="24"/>
          <w:szCs w:val="24"/>
        </w:rPr>
        <w:t xml:space="preserve"> </w:t>
      </w:r>
      <w:r>
        <w:rPr>
          <w:rFonts w:ascii="Arial" w:hAnsi="Arial" w:cs="Arial"/>
          <w:sz w:val="24"/>
          <w:szCs w:val="24"/>
        </w:rPr>
        <w:t xml:space="preserve">Green Cross. España. </w:t>
      </w:r>
    </w:p>
    <w:p w:rsidR="00F30CF1" w:rsidRDefault="00F30CF1" w:rsidP="00F30CF1">
      <w:pPr>
        <w:spacing w:line="360" w:lineRule="auto"/>
        <w:ind w:left="709" w:hanging="709"/>
        <w:jc w:val="both"/>
      </w:pPr>
      <w:r>
        <w:rPr>
          <w:rFonts w:ascii="Arial" w:hAnsi="Arial" w:cs="Arial"/>
          <w:sz w:val="24"/>
        </w:rPr>
        <w:t xml:space="preserve">Rentería, C. Henríquez, H. (2007). </w:t>
      </w:r>
      <w:r>
        <w:rPr>
          <w:rFonts w:ascii="Arial" w:hAnsi="Arial" w:cs="Arial"/>
          <w:i/>
          <w:sz w:val="24"/>
        </w:rPr>
        <w:t xml:space="preserve">Gestión Pública Local. </w:t>
      </w:r>
      <w:r>
        <w:rPr>
          <w:rFonts w:ascii="Arial" w:hAnsi="Arial" w:cs="Arial"/>
          <w:sz w:val="24"/>
        </w:rPr>
        <w:t xml:space="preserve">Departamento Nacional de Planeación. Escuela Superior de Administración Pública. Bógota, </w:t>
      </w:r>
      <w:r>
        <w:rPr>
          <w:rFonts w:ascii="Arial" w:hAnsi="Arial" w:cs="Arial"/>
          <w:sz w:val="24"/>
        </w:rPr>
        <w:lastRenderedPageBreak/>
        <w:t xml:space="preserve">Colombia. Recuperado de: </w:t>
      </w:r>
      <w:r>
        <w:rPr>
          <w:rFonts w:ascii="Arial" w:hAnsi="Arial" w:cs="Arial"/>
          <w:sz w:val="24"/>
          <w:u w:val="single"/>
        </w:rPr>
        <w:t>https://es.slideshare.net/bolivarzuiga/cartilla-gestion-municipal</w:t>
      </w:r>
    </w:p>
    <w:p w:rsidR="00F30CF1" w:rsidRDefault="00F30CF1" w:rsidP="00F30CF1">
      <w:pPr>
        <w:spacing w:line="360" w:lineRule="auto"/>
        <w:ind w:left="709" w:hanging="709"/>
        <w:jc w:val="both"/>
      </w:pPr>
      <w:r>
        <w:rPr>
          <w:rFonts w:ascii="Arial" w:hAnsi="Arial" w:cs="Arial"/>
          <w:sz w:val="24"/>
        </w:rPr>
        <w:t xml:space="preserve">Rivera, R. (2003). </w:t>
      </w:r>
      <w:r>
        <w:rPr>
          <w:rFonts w:ascii="Arial" w:hAnsi="Arial" w:cs="Arial"/>
          <w:i/>
          <w:sz w:val="24"/>
        </w:rPr>
        <w:t xml:space="preserve">Dimensión Político Institucional del Desarrollo en Costa Rica. </w:t>
      </w:r>
      <w:r>
        <w:rPr>
          <w:rFonts w:ascii="Arial" w:hAnsi="Arial" w:cs="Arial"/>
          <w:sz w:val="24"/>
        </w:rPr>
        <w:t xml:space="preserve">Nowalski Jorge (Ed.). Asimetrías Económicas, Sociales y Políticas en Costa Rica: Hacia una Calidad de Vida Digna. Lara Segura y Asoc. Editores. San José, Costa Rica. </w:t>
      </w:r>
    </w:p>
    <w:p w:rsidR="00F30CF1" w:rsidRDefault="00F30CF1" w:rsidP="00F30CF1">
      <w:pPr>
        <w:spacing w:before="240" w:line="360" w:lineRule="auto"/>
        <w:ind w:left="709" w:hanging="709"/>
        <w:jc w:val="both"/>
      </w:pPr>
      <w:r>
        <w:rPr>
          <w:rFonts w:ascii="Arial" w:hAnsi="Arial" w:cs="Arial"/>
          <w:sz w:val="24"/>
          <w:szCs w:val="24"/>
        </w:rPr>
        <w:t xml:space="preserve">Rhodes, R. (1995). En D. Marsh, &amp; G. Stoker, </w:t>
      </w:r>
      <w:r>
        <w:rPr>
          <w:rFonts w:ascii="Arial" w:hAnsi="Arial" w:cs="Arial"/>
          <w:i/>
          <w:sz w:val="24"/>
          <w:szCs w:val="24"/>
        </w:rPr>
        <w:t>Teoría y métodos de la Ciencia Política</w:t>
      </w:r>
      <w:r>
        <w:rPr>
          <w:rFonts w:ascii="Arial" w:hAnsi="Arial" w:cs="Arial"/>
          <w:sz w:val="24"/>
          <w:szCs w:val="24"/>
        </w:rPr>
        <w:t xml:space="preserve">. Madrid: Alianza. España. Recuperado de: </w:t>
      </w:r>
      <w:r>
        <w:rPr>
          <w:rFonts w:ascii="Arial" w:hAnsi="Arial" w:cs="Arial"/>
          <w:sz w:val="24"/>
          <w:szCs w:val="24"/>
          <w:u w:val="single"/>
        </w:rPr>
        <w:t>http://www.scielo.org.co/pdf/just/n30/n30a08.pdf</w:t>
      </w:r>
    </w:p>
    <w:p w:rsidR="00F30CF1" w:rsidRDefault="00F30CF1" w:rsidP="00F30CF1">
      <w:pPr>
        <w:spacing w:before="240" w:line="360" w:lineRule="auto"/>
        <w:ind w:left="709" w:hanging="709"/>
        <w:jc w:val="both"/>
      </w:pPr>
      <w:r>
        <w:rPr>
          <w:rFonts w:ascii="Arial" w:hAnsi="Arial" w:cs="Arial"/>
          <w:sz w:val="24"/>
          <w:szCs w:val="24"/>
        </w:rPr>
        <w:t xml:space="preserve">Rodríguez, T. (2015). </w:t>
      </w:r>
      <w:r>
        <w:rPr>
          <w:rFonts w:ascii="Arial" w:hAnsi="Arial" w:cs="Arial"/>
          <w:i/>
          <w:sz w:val="24"/>
          <w:szCs w:val="24"/>
        </w:rPr>
        <w:t xml:space="preserve">Informe anual de labores de las Contralorías de Servicios. </w:t>
      </w:r>
      <w:r>
        <w:rPr>
          <w:rFonts w:ascii="Arial" w:hAnsi="Arial" w:cs="Arial"/>
          <w:sz w:val="24"/>
          <w:szCs w:val="24"/>
        </w:rPr>
        <w:t xml:space="preserve">Instituto Costarricense de Pesca y Acuicultura – INCOPESCA. Costa Rica. Recuperado de: </w:t>
      </w:r>
      <w:hyperlink r:id="rId53">
        <w:r>
          <w:rPr>
            <w:rStyle w:val="InternetLink"/>
            <w:rFonts w:ascii="Arial" w:hAnsi="Arial" w:cs="Arial"/>
            <w:color w:val="00000A"/>
            <w:sz w:val="24"/>
          </w:rPr>
          <w:t>https://www.incopesca.go.cr/acerca_incopesca/transparencia_institucional/participacion_ciudadana/seg_gestion_contraloria_servicios/seguimiento_gestion_ciudadana_2014.pdf</w:t>
        </w:r>
      </w:hyperlink>
    </w:p>
    <w:p w:rsidR="00F30CF1" w:rsidRDefault="00F30CF1" w:rsidP="00F30CF1">
      <w:pPr>
        <w:spacing w:before="240" w:line="360" w:lineRule="auto"/>
        <w:ind w:left="709" w:hanging="709"/>
        <w:jc w:val="both"/>
      </w:pPr>
      <w:r>
        <w:rPr>
          <w:rFonts w:ascii="Arial" w:hAnsi="Arial" w:cs="Arial"/>
          <w:sz w:val="24"/>
          <w:szCs w:val="24"/>
        </w:rPr>
        <w:t xml:space="preserve">Roth Deubel, André-Noël. (2014). </w:t>
      </w:r>
      <w:r>
        <w:rPr>
          <w:rFonts w:ascii="Arial" w:hAnsi="Arial" w:cs="Arial"/>
          <w:bCs/>
          <w:sz w:val="24"/>
          <w:szCs w:val="24"/>
        </w:rPr>
        <w:t>Polí</w:t>
      </w:r>
      <w:r>
        <w:rPr>
          <w:rFonts w:ascii="Arial" w:hAnsi="Arial" w:cs="Arial"/>
          <w:bCs/>
          <w:i/>
          <w:sz w:val="24"/>
          <w:szCs w:val="24"/>
        </w:rPr>
        <w:t>ticas Públicas. Formulación, implementación y evaluación</w:t>
      </w:r>
      <w:r>
        <w:rPr>
          <w:rFonts w:ascii="Arial" w:hAnsi="Arial" w:cs="Arial"/>
          <w:i/>
          <w:sz w:val="24"/>
          <w:szCs w:val="24"/>
        </w:rPr>
        <w:t xml:space="preserve">. </w:t>
      </w:r>
      <w:r>
        <w:rPr>
          <w:rFonts w:ascii="Arial" w:hAnsi="Arial" w:cs="Arial"/>
          <w:sz w:val="24"/>
          <w:szCs w:val="24"/>
        </w:rPr>
        <w:t>Colombia: Ediciones Aurora.</w:t>
      </w:r>
    </w:p>
    <w:p w:rsidR="00F30CF1" w:rsidRDefault="00F30CF1" w:rsidP="00F30CF1">
      <w:pPr>
        <w:spacing w:before="240" w:line="360" w:lineRule="auto"/>
        <w:ind w:left="709" w:hanging="709"/>
        <w:jc w:val="both"/>
      </w:pPr>
      <w:r>
        <w:rPr>
          <w:rFonts w:ascii="Arial" w:hAnsi="Arial" w:cs="Arial"/>
          <w:sz w:val="24"/>
          <w:szCs w:val="24"/>
        </w:rPr>
        <w:t xml:space="preserve">Ruiz Sánchez, Carlos. (2002). </w:t>
      </w:r>
      <w:r>
        <w:rPr>
          <w:rFonts w:ascii="Arial" w:hAnsi="Arial" w:cs="Arial"/>
          <w:bCs/>
          <w:i/>
          <w:sz w:val="24"/>
          <w:szCs w:val="24"/>
        </w:rPr>
        <w:t>Manual para la elaboración de políticas públicas</w:t>
      </w:r>
      <w:r>
        <w:rPr>
          <w:rFonts w:ascii="Arial" w:hAnsi="Arial" w:cs="Arial"/>
          <w:sz w:val="24"/>
          <w:szCs w:val="24"/>
        </w:rPr>
        <w:t>. Reimpresión de la primera edición. México: UIA &amp; Plaza y Valdes Editores.</w:t>
      </w:r>
    </w:p>
    <w:p w:rsidR="00F30CF1" w:rsidRDefault="00F30CF1" w:rsidP="00F30CF1">
      <w:pPr>
        <w:spacing w:before="240" w:line="360" w:lineRule="auto"/>
        <w:ind w:left="709" w:hanging="709"/>
        <w:jc w:val="both"/>
      </w:pPr>
      <w:r>
        <w:rPr>
          <w:rFonts w:ascii="Arial" w:hAnsi="Arial" w:cs="Arial"/>
          <w:sz w:val="24"/>
          <w:szCs w:val="24"/>
        </w:rPr>
        <w:t xml:space="preserve">Ruiz, J. (1989). </w:t>
      </w:r>
      <w:r>
        <w:rPr>
          <w:rFonts w:ascii="Arial" w:hAnsi="Arial" w:cs="Arial"/>
          <w:i/>
          <w:sz w:val="24"/>
          <w:szCs w:val="24"/>
        </w:rPr>
        <w:t>La decodificación de la vida cotidiana. Métodos de investigación cualitativa</w:t>
      </w:r>
      <w:r>
        <w:rPr>
          <w:rFonts w:ascii="Arial" w:hAnsi="Arial" w:cs="Arial"/>
          <w:sz w:val="24"/>
          <w:szCs w:val="24"/>
        </w:rPr>
        <w:t xml:space="preserve">. Bilbao: Universidad de Deusto. </w:t>
      </w:r>
    </w:p>
    <w:p w:rsidR="00F30CF1" w:rsidRDefault="00F30CF1" w:rsidP="00F30CF1">
      <w:pPr>
        <w:pStyle w:val="NormalWeb"/>
        <w:shd w:val="clear" w:color="auto" w:fill="FFFFFF"/>
        <w:spacing w:before="240" w:after="324" w:line="360" w:lineRule="auto"/>
        <w:ind w:left="709" w:hanging="709"/>
        <w:jc w:val="both"/>
      </w:pPr>
      <w:r>
        <w:rPr>
          <w:rFonts w:ascii="Arial" w:hAnsi="Arial" w:cs="Arial"/>
        </w:rPr>
        <w:t xml:space="preserve">Ruiz, J. (1999). </w:t>
      </w:r>
      <w:r>
        <w:rPr>
          <w:rFonts w:ascii="Arial" w:hAnsi="Arial" w:cs="Arial"/>
          <w:i/>
        </w:rPr>
        <w:t xml:space="preserve">Metodología de la Investigación Cualitativa”. </w:t>
      </w:r>
      <w:r>
        <w:rPr>
          <w:rFonts w:ascii="Arial" w:hAnsi="Arial" w:cs="Arial"/>
        </w:rPr>
        <w:t xml:space="preserve">Bilbao. Universidad de Quito. Ecuador. </w:t>
      </w:r>
    </w:p>
    <w:p w:rsidR="00F30CF1" w:rsidRDefault="00F30CF1" w:rsidP="00F30CF1">
      <w:pPr>
        <w:spacing w:before="240" w:after="240" w:line="360" w:lineRule="auto"/>
        <w:ind w:left="709" w:hanging="709"/>
        <w:jc w:val="both"/>
      </w:pPr>
      <w:r>
        <w:rPr>
          <w:rFonts w:ascii="Arial" w:hAnsi="Arial" w:cs="Arial"/>
          <w:sz w:val="24"/>
          <w:szCs w:val="24"/>
        </w:rPr>
        <w:t xml:space="preserve">Ruiz O, Ispizua J y M. A. (1989). </w:t>
      </w:r>
      <w:r>
        <w:rPr>
          <w:rFonts w:ascii="Arial" w:hAnsi="Arial" w:cs="Arial"/>
          <w:i/>
          <w:sz w:val="24"/>
          <w:szCs w:val="24"/>
        </w:rPr>
        <w:t>La descodificación de la vida cotidiana. Métodos de investigación cualitativa.</w:t>
      </w:r>
      <w:r>
        <w:rPr>
          <w:rFonts w:ascii="Arial" w:hAnsi="Arial" w:cs="Arial"/>
          <w:sz w:val="24"/>
          <w:szCs w:val="24"/>
        </w:rPr>
        <w:t xml:space="preserve"> Universidad de Deusto: Bilbao.</w:t>
      </w:r>
    </w:p>
    <w:p w:rsidR="00F30CF1" w:rsidRDefault="00F30CF1" w:rsidP="00F30CF1">
      <w:pPr>
        <w:spacing w:line="360" w:lineRule="auto"/>
        <w:ind w:left="709" w:hanging="709"/>
        <w:jc w:val="both"/>
        <w:rPr>
          <w:rFonts w:ascii="Arial" w:eastAsia="Times New Roman" w:hAnsi="Arial" w:cs="Arial"/>
          <w:sz w:val="24"/>
        </w:rPr>
      </w:pPr>
      <w:r>
        <w:rPr>
          <w:rFonts w:ascii="Arial" w:eastAsia="Times New Roman" w:hAnsi="Arial" w:cs="Arial"/>
          <w:sz w:val="24"/>
        </w:rPr>
        <w:lastRenderedPageBreak/>
        <w:t xml:space="preserve">Salom, A. (2011). Ideario sobre la Descentralización en Costa Rica. Instituto de Formación y Capacitación Municipal y Desarrollo Local. Costa Rica. </w:t>
      </w:r>
    </w:p>
    <w:p w:rsidR="00F30CF1" w:rsidRPr="005010C2" w:rsidRDefault="00F30CF1" w:rsidP="00F30CF1">
      <w:pPr>
        <w:spacing w:before="240" w:line="360" w:lineRule="auto"/>
        <w:ind w:left="709" w:hanging="709"/>
        <w:jc w:val="both"/>
      </w:pPr>
      <w:r>
        <w:rPr>
          <w:rFonts w:ascii="Arial" w:hAnsi="Arial" w:cs="Arial"/>
          <w:sz w:val="24"/>
        </w:rPr>
        <w:t xml:space="preserve">Schröder, P. (s.f.). </w:t>
      </w:r>
      <w:r>
        <w:rPr>
          <w:rFonts w:ascii="Arial" w:hAnsi="Arial" w:cs="Arial"/>
          <w:i/>
          <w:sz w:val="24"/>
        </w:rPr>
        <w:t xml:space="preserve">Nueva Gestión Pública: Aportes para el buen gobierno. </w:t>
      </w:r>
      <w:r>
        <w:rPr>
          <w:rFonts w:ascii="Arial" w:hAnsi="Arial" w:cs="Arial"/>
          <w:sz w:val="24"/>
        </w:rPr>
        <w:t xml:space="preserve">Fundación Friedrich Naumann. México, D.F. Recuperado de: </w:t>
      </w:r>
      <w:hyperlink r:id="rId54">
        <w:r w:rsidRPr="005010C2">
          <w:rPr>
            <w:rStyle w:val="InternetLink"/>
            <w:rFonts w:ascii="Arial" w:hAnsi="Arial" w:cs="Arial"/>
            <w:color w:val="auto"/>
            <w:sz w:val="24"/>
          </w:rPr>
          <w:t>http://relial.org/uploads/biblioteca/44dbee76837e79a6c07bb8219d021843.pdf</w:t>
        </w:r>
      </w:hyperlink>
    </w:p>
    <w:p w:rsidR="00F30CF1" w:rsidRPr="005010C2" w:rsidRDefault="00F30CF1" w:rsidP="00F30CF1">
      <w:pPr>
        <w:spacing w:before="240" w:after="17" w:line="360" w:lineRule="auto"/>
        <w:ind w:left="709" w:hanging="709"/>
        <w:jc w:val="both"/>
        <w:rPr>
          <w:rFonts w:ascii="Arial" w:hAnsi="Arial" w:cs="Arial"/>
          <w:iCs/>
          <w:sz w:val="24"/>
          <w:szCs w:val="24"/>
        </w:rPr>
      </w:pPr>
      <w:r w:rsidRPr="005010C2">
        <w:rPr>
          <w:rFonts w:ascii="Arial" w:hAnsi="Arial" w:cs="Arial"/>
          <w:iCs/>
          <w:sz w:val="24"/>
          <w:szCs w:val="24"/>
        </w:rPr>
        <w:t xml:space="preserve">Schutt, L. (2019-2020). Comunicación personal. Paquera, Tambor. </w:t>
      </w:r>
    </w:p>
    <w:p w:rsidR="00F30CF1" w:rsidRPr="005010C2" w:rsidRDefault="00F30CF1" w:rsidP="00F30CF1">
      <w:pPr>
        <w:spacing w:before="240" w:after="17" w:line="360" w:lineRule="auto"/>
        <w:ind w:left="709" w:hanging="709"/>
        <w:jc w:val="both"/>
      </w:pPr>
      <w:r w:rsidRPr="005010C2">
        <w:rPr>
          <w:rFonts w:ascii="Arial" w:hAnsi="Arial" w:cs="Arial"/>
          <w:iCs/>
          <w:sz w:val="24"/>
          <w:szCs w:val="24"/>
        </w:rPr>
        <w:t xml:space="preserve">Souza, Celina. (2006). </w:t>
      </w:r>
      <w:r w:rsidRPr="005010C2">
        <w:rPr>
          <w:rFonts w:ascii="Arial" w:hAnsi="Arial" w:cs="Arial"/>
          <w:bCs/>
          <w:i/>
          <w:iCs/>
          <w:sz w:val="24"/>
          <w:szCs w:val="24"/>
        </w:rPr>
        <w:t>Políticas Públicas: uma revisao da literatura</w:t>
      </w:r>
      <w:r w:rsidRPr="005010C2">
        <w:rPr>
          <w:rFonts w:ascii="Arial" w:hAnsi="Arial" w:cs="Arial"/>
          <w:iCs/>
          <w:sz w:val="24"/>
          <w:szCs w:val="24"/>
        </w:rPr>
        <w:t xml:space="preserve">. En: Sociologías, Porto Alegre. Vol.8, no.16, p.20-45. Recuperado de: </w:t>
      </w:r>
      <w:hyperlink r:id="rId55">
        <w:r w:rsidRPr="005010C2">
          <w:rPr>
            <w:rStyle w:val="InternetLink"/>
            <w:rFonts w:ascii="Arial" w:hAnsi="Arial" w:cs="Arial"/>
            <w:color w:val="auto"/>
            <w:sz w:val="24"/>
          </w:rPr>
          <w:t>http://www.scielo.br/pdf/soc/n16/a03n16</w:t>
        </w:r>
      </w:hyperlink>
    </w:p>
    <w:p w:rsidR="00F30CF1" w:rsidRPr="005010C2" w:rsidRDefault="00F30CF1" w:rsidP="00F30CF1">
      <w:pPr>
        <w:spacing w:before="200" w:line="360" w:lineRule="auto"/>
        <w:ind w:left="709" w:hanging="709"/>
        <w:jc w:val="both"/>
      </w:pPr>
      <w:r>
        <w:rPr>
          <w:rFonts w:ascii="Arial" w:eastAsia="Times New Roman" w:hAnsi="Arial" w:cs="Arial"/>
          <w:sz w:val="24"/>
          <w:szCs w:val="24"/>
        </w:rPr>
        <w:t xml:space="preserve">Spencer. H. (1966). </w:t>
      </w:r>
      <w:r>
        <w:rPr>
          <w:rFonts w:ascii="Arial" w:eastAsia="Times New Roman" w:hAnsi="Arial" w:cs="Arial"/>
          <w:i/>
          <w:sz w:val="24"/>
          <w:szCs w:val="24"/>
        </w:rPr>
        <w:t>¿Qué es una Sociedad? Una Sociedad es un Organismo.</w:t>
      </w:r>
      <w:r>
        <w:rPr>
          <w:rFonts w:ascii="Arial" w:eastAsia="Times New Roman" w:hAnsi="Arial" w:cs="Arial"/>
          <w:sz w:val="24"/>
          <w:szCs w:val="24"/>
        </w:rPr>
        <w:t xml:space="preserve"> Revista Española de Investigaciones Sociológicas. España. Recuperado de: http</w:t>
      </w:r>
      <w:r w:rsidRPr="005010C2">
        <w:rPr>
          <w:rFonts w:ascii="Arial" w:eastAsia="Times New Roman" w:hAnsi="Arial" w:cs="Arial"/>
          <w:sz w:val="24"/>
          <w:szCs w:val="24"/>
        </w:rPr>
        <w:t>://www.redalyc.org/articulo.oa?id=99717665010</w:t>
      </w:r>
    </w:p>
    <w:p w:rsidR="00F30CF1" w:rsidRPr="005010C2" w:rsidRDefault="00F30CF1" w:rsidP="00F30CF1">
      <w:pPr>
        <w:spacing w:line="360" w:lineRule="auto"/>
        <w:ind w:left="709" w:hanging="709"/>
        <w:jc w:val="both"/>
      </w:pPr>
      <w:r w:rsidRPr="005010C2">
        <w:rPr>
          <w:rFonts w:ascii="Arial" w:hAnsi="Arial" w:cs="Arial"/>
          <w:sz w:val="24"/>
        </w:rPr>
        <w:t xml:space="preserve">Suárez, J. Rodríguez, J. Florido, D. (2017). </w:t>
      </w:r>
      <w:r w:rsidRPr="005010C2">
        <w:rPr>
          <w:rFonts w:ascii="Arial" w:hAnsi="Arial" w:cs="Arial"/>
          <w:i/>
          <w:sz w:val="24"/>
        </w:rPr>
        <w:t xml:space="preserve">La gestión pesquera y el paradigma de la gobernanza. </w:t>
      </w:r>
      <w:r w:rsidRPr="005010C2">
        <w:rPr>
          <w:rFonts w:ascii="Arial" w:hAnsi="Arial" w:cs="Arial"/>
          <w:sz w:val="24"/>
        </w:rPr>
        <w:t xml:space="preserve">Universidad de Sevilla. España. </w:t>
      </w:r>
    </w:p>
    <w:p w:rsidR="00F30CF1" w:rsidRPr="005010C2" w:rsidRDefault="00F30CF1" w:rsidP="00F30CF1">
      <w:pPr>
        <w:spacing w:before="240" w:line="360" w:lineRule="auto"/>
        <w:ind w:left="709" w:hanging="709"/>
        <w:jc w:val="both"/>
      </w:pPr>
      <w:r w:rsidRPr="005010C2">
        <w:rPr>
          <w:rFonts w:ascii="Arial" w:hAnsi="Arial" w:cs="Arial"/>
          <w:sz w:val="24"/>
          <w:szCs w:val="24"/>
        </w:rPr>
        <w:t xml:space="preserve">Subirats, Knoepfel, Larrue y Varonne. (2008). </w:t>
      </w:r>
      <w:r w:rsidRPr="005010C2">
        <w:rPr>
          <w:rFonts w:ascii="Arial" w:hAnsi="Arial" w:cs="Arial"/>
          <w:i/>
          <w:sz w:val="24"/>
          <w:szCs w:val="24"/>
        </w:rPr>
        <w:t>Análisis y Gestión de Políticas Públicas</w:t>
      </w:r>
      <w:r w:rsidRPr="005010C2">
        <w:rPr>
          <w:rFonts w:ascii="Arial" w:hAnsi="Arial" w:cs="Arial"/>
          <w:sz w:val="24"/>
          <w:szCs w:val="24"/>
        </w:rPr>
        <w:t>. Editorial Ariel S.A. Barcelona, España.</w:t>
      </w:r>
    </w:p>
    <w:p w:rsidR="00F30CF1" w:rsidRPr="005010C2" w:rsidRDefault="00F30CF1" w:rsidP="00F30CF1">
      <w:pPr>
        <w:spacing w:before="240" w:line="360" w:lineRule="auto"/>
        <w:ind w:left="709" w:hanging="709"/>
        <w:jc w:val="both"/>
        <w:rPr>
          <w:rFonts w:ascii="Arial" w:hAnsi="Arial" w:cs="Arial"/>
          <w:sz w:val="24"/>
          <w:szCs w:val="24"/>
        </w:rPr>
      </w:pPr>
      <w:r w:rsidRPr="005010C2">
        <w:rPr>
          <w:rFonts w:ascii="Arial" w:hAnsi="Arial" w:cs="Arial"/>
          <w:sz w:val="24"/>
          <w:szCs w:val="24"/>
        </w:rPr>
        <w:t xml:space="preserve">Subirats, J &amp; otros. (2008). </w:t>
      </w:r>
      <w:r w:rsidRPr="005010C2">
        <w:rPr>
          <w:rFonts w:ascii="Arial" w:hAnsi="Arial" w:cs="Arial"/>
          <w:i/>
          <w:sz w:val="24"/>
          <w:szCs w:val="24"/>
        </w:rPr>
        <w:t>Análisis y gestión de políticas públicas</w:t>
      </w:r>
      <w:r w:rsidRPr="005010C2">
        <w:rPr>
          <w:rFonts w:ascii="Arial" w:hAnsi="Arial" w:cs="Arial"/>
          <w:sz w:val="24"/>
          <w:szCs w:val="24"/>
        </w:rPr>
        <w:t xml:space="preserve">. Barcelona: Ariel. Recupedo de: </w:t>
      </w:r>
      <w:hyperlink r:id="rId56" w:history="1">
        <w:r w:rsidRPr="005010C2">
          <w:rPr>
            <w:rStyle w:val="Hipervnculo"/>
            <w:rFonts w:ascii="Arial" w:hAnsi="Arial" w:cs="Arial"/>
            <w:color w:val="auto"/>
            <w:sz w:val="24"/>
            <w:szCs w:val="24"/>
          </w:rPr>
          <w:t>http://www.scielo.org.mx/scielo.php?script=sci_arttext&amp;pid=S1405-10792009000200007</w:t>
        </w:r>
      </w:hyperlink>
    </w:p>
    <w:p w:rsidR="00F30CF1" w:rsidRPr="005010C2" w:rsidRDefault="00F30CF1" w:rsidP="00F30CF1">
      <w:pPr>
        <w:widowControl w:val="0"/>
        <w:spacing w:before="240" w:line="360" w:lineRule="auto"/>
        <w:ind w:left="709" w:hanging="709"/>
        <w:jc w:val="both"/>
      </w:pPr>
      <w:r w:rsidRPr="005010C2">
        <w:rPr>
          <w:rFonts w:ascii="Arial" w:hAnsi="Arial" w:cs="Arial"/>
          <w:sz w:val="24"/>
          <w:szCs w:val="24"/>
        </w:rPr>
        <w:t xml:space="preserve">Tomassini, L. (2017). </w:t>
      </w:r>
      <w:r w:rsidRPr="005010C2">
        <w:rPr>
          <w:rFonts w:ascii="Arial" w:hAnsi="Arial" w:cs="Arial"/>
          <w:i/>
          <w:sz w:val="24"/>
          <w:szCs w:val="24"/>
        </w:rPr>
        <w:t>Estado, sociedad y desarrollo. Temas De Nuestra América.</w:t>
      </w:r>
      <w:r w:rsidRPr="005010C2">
        <w:rPr>
          <w:rFonts w:ascii="Arial" w:hAnsi="Arial" w:cs="Arial"/>
          <w:sz w:val="24"/>
          <w:szCs w:val="24"/>
        </w:rPr>
        <w:t xml:space="preserve"> Revista De Estudios Latinoamericanos. Universidad Nacional. Heredia, Costa Rica. </w:t>
      </w:r>
    </w:p>
    <w:p w:rsidR="00F30CF1" w:rsidRPr="005010C2" w:rsidRDefault="00F30CF1" w:rsidP="00F30CF1">
      <w:pPr>
        <w:widowControl w:val="0"/>
        <w:spacing w:before="240" w:line="360" w:lineRule="auto"/>
        <w:ind w:left="709" w:hanging="709"/>
        <w:jc w:val="both"/>
      </w:pPr>
      <w:r w:rsidRPr="005010C2">
        <w:rPr>
          <w:rFonts w:ascii="Arial" w:hAnsi="Arial" w:cs="Arial"/>
          <w:sz w:val="24"/>
          <w:szCs w:val="24"/>
        </w:rPr>
        <w:t xml:space="preserve">Torres, J. Santander, J. (2013). </w:t>
      </w:r>
      <w:r w:rsidRPr="005010C2">
        <w:rPr>
          <w:rFonts w:ascii="Arial" w:hAnsi="Arial" w:cs="Arial"/>
          <w:i/>
          <w:sz w:val="24"/>
          <w:szCs w:val="24"/>
        </w:rPr>
        <w:t>Introducción a las Políticas Públicas</w:t>
      </w:r>
      <w:r w:rsidRPr="005010C2">
        <w:rPr>
          <w:rFonts w:ascii="Arial" w:hAnsi="Arial" w:cs="Arial"/>
          <w:sz w:val="24"/>
          <w:szCs w:val="24"/>
        </w:rPr>
        <w:t xml:space="preserve">. IEMP Ediciones. Bogotá, Colombia. Recuperado de: </w:t>
      </w:r>
      <w:hyperlink r:id="rId57">
        <w:r w:rsidRPr="005010C2">
          <w:rPr>
            <w:rStyle w:val="InternetLink"/>
            <w:rFonts w:ascii="Arial" w:hAnsi="Arial" w:cs="Arial"/>
            <w:color w:val="auto"/>
            <w:sz w:val="24"/>
          </w:rPr>
          <w:t>http://www.funcionpublica.gov.co/eva/admon/files/empresas/ZW1wcmVzYV83Ng==/imgproductos/1450056996_ce38e6d218235ac89d6c8a14907a5a9c.pdf</w:t>
        </w:r>
      </w:hyperlink>
    </w:p>
    <w:p w:rsidR="00F30CF1" w:rsidRPr="005010C2" w:rsidRDefault="00F30CF1" w:rsidP="00F30CF1">
      <w:pPr>
        <w:widowControl w:val="0"/>
        <w:spacing w:before="240" w:line="360" w:lineRule="auto"/>
        <w:ind w:left="709" w:hanging="709"/>
        <w:jc w:val="both"/>
      </w:pPr>
      <w:r w:rsidRPr="005010C2">
        <w:rPr>
          <w:rFonts w:ascii="Arial" w:hAnsi="Arial" w:cs="Arial"/>
          <w:sz w:val="24"/>
          <w:szCs w:val="24"/>
        </w:rPr>
        <w:t xml:space="preserve">Touraine, A. (1987). </w:t>
      </w:r>
      <w:r w:rsidRPr="005010C2">
        <w:rPr>
          <w:rFonts w:ascii="Arial" w:hAnsi="Arial" w:cs="Arial"/>
          <w:i/>
          <w:sz w:val="24"/>
          <w:szCs w:val="24"/>
        </w:rPr>
        <w:t>Actores sociales y sistemas políticos en América Latina</w:t>
      </w:r>
      <w:r w:rsidRPr="005010C2">
        <w:rPr>
          <w:rFonts w:ascii="Arial" w:hAnsi="Arial" w:cs="Arial"/>
          <w:sz w:val="24"/>
          <w:szCs w:val="24"/>
        </w:rPr>
        <w:t>. Primera edición. Editorial PREALC. Santiago, Chile.</w:t>
      </w:r>
    </w:p>
    <w:p w:rsidR="00F30CF1" w:rsidRDefault="00F30CF1" w:rsidP="00F30CF1">
      <w:pPr>
        <w:spacing w:line="360" w:lineRule="auto"/>
        <w:ind w:left="709" w:hanging="709"/>
        <w:jc w:val="both"/>
      </w:pPr>
      <w:r w:rsidRPr="005010C2">
        <w:rPr>
          <w:rFonts w:ascii="Arial" w:hAnsi="Arial" w:cs="Arial"/>
          <w:sz w:val="24"/>
        </w:rPr>
        <w:t xml:space="preserve">Valverde, J. (2000). </w:t>
      </w:r>
      <w:r w:rsidRPr="005010C2">
        <w:rPr>
          <w:rFonts w:ascii="Arial" w:hAnsi="Arial" w:cs="Arial"/>
          <w:i/>
          <w:sz w:val="24"/>
        </w:rPr>
        <w:t>Globalización y Desarrollo Local. En: Participación para el Desarrollo Local I.</w:t>
      </w:r>
      <w:r w:rsidRPr="005010C2">
        <w:rPr>
          <w:rFonts w:ascii="Arial" w:hAnsi="Arial" w:cs="Arial"/>
          <w:sz w:val="24"/>
        </w:rPr>
        <w:t xml:space="preserve"> Sede Académica Costa Rica, FLACSO. San José, Costa Rica. Recuperado</w:t>
      </w:r>
      <w:r>
        <w:rPr>
          <w:rFonts w:ascii="Arial" w:hAnsi="Arial" w:cs="Arial"/>
          <w:sz w:val="24"/>
        </w:rPr>
        <w:t xml:space="preserve"> de: </w:t>
      </w:r>
      <w:hyperlink r:id="rId58">
        <w:r>
          <w:rPr>
            <w:rStyle w:val="InternetLink"/>
            <w:rFonts w:ascii="Arial" w:hAnsi="Arial" w:cs="Arial"/>
            <w:color w:val="00000A"/>
            <w:sz w:val="24"/>
          </w:rPr>
          <w:t>http://www.edeca.una.ac.cr/files/EDECA/Gestion%20desarrollo%20local/FLACSO-Descentralizacion_y_desarrollo_local.pdf</w:t>
        </w:r>
      </w:hyperlink>
    </w:p>
    <w:p w:rsidR="00F30CF1" w:rsidRPr="005010C2" w:rsidRDefault="00F30CF1" w:rsidP="00F30CF1">
      <w:pPr>
        <w:spacing w:line="360" w:lineRule="auto"/>
        <w:ind w:left="709" w:hanging="709"/>
        <w:jc w:val="both"/>
      </w:pPr>
      <w:r>
        <w:rPr>
          <w:rFonts w:ascii="Arial" w:eastAsia="Times New Roman" w:hAnsi="Arial" w:cs="Arial"/>
          <w:sz w:val="24"/>
          <w:szCs w:val="24"/>
        </w:rPr>
        <w:t xml:space="preserve">Vargas-Cullell, J., &amp; Rosero-Bixby, L. (2006). </w:t>
      </w:r>
      <w:r>
        <w:rPr>
          <w:rFonts w:ascii="Arial" w:eastAsia="Times New Roman" w:hAnsi="Arial" w:cs="Arial"/>
          <w:i/>
          <w:sz w:val="24"/>
          <w:szCs w:val="24"/>
        </w:rPr>
        <w:t xml:space="preserve">Cultura política de la democracia en Costa Rica. </w:t>
      </w:r>
      <w:r>
        <w:rPr>
          <w:rFonts w:ascii="Arial" w:eastAsia="Times New Roman" w:hAnsi="Arial" w:cs="Arial"/>
          <w:sz w:val="24"/>
          <w:szCs w:val="24"/>
        </w:rPr>
        <w:t xml:space="preserve">Centro Centroamerica de Población. Universidad de Costa. San José, Costa Rica. </w:t>
      </w:r>
    </w:p>
    <w:p w:rsidR="00F30CF1" w:rsidRDefault="00F30CF1" w:rsidP="00F30CF1">
      <w:pPr>
        <w:spacing w:line="360" w:lineRule="auto"/>
        <w:ind w:left="709" w:hanging="709"/>
        <w:jc w:val="both"/>
        <w:rPr>
          <w:rFonts w:ascii="Arial" w:eastAsia="Times New Roman" w:hAnsi="Arial" w:cs="Arial"/>
          <w:sz w:val="24"/>
          <w:szCs w:val="24"/>
        </w:rPr>
      </w:pPr>
      <w:r>
        <w:rPr>
          <w:rFonts w:ascii="Arial" w:eastAsia="Times New Roman" w:hAnsi="Arial" w:cs="Arial"/>
          <w:sz w:val="24"/>
          <w:szCs w:val="24"/>
        </w:rPr>
        <w:t xml:space="preserve">Villareal, A. (2019-2020). Comunicación personal. Paquera, Costa Rica. </w:t>
      </w:r>
    </w:p>
    <w:p w:rsidR="00F30CF1" w:rsidRDefault="00F30CF1" w:rsidP="00F30CF1">
      <w:pPr>
        <w:spacing w:line="360" w:lineRule="auto"/>
        <w:ind w:left="709" w:hanging="709"/>
        <w:jc w:val="both"/>
      </w:pPr>
      <w:r>
        <w:rPr>
          <w:rFonts w:ascii="Arial" w:eastAsia="Times New Roman" w:hAnsi="Arial" w:cs="Arial"/>
          <w:sz w:val="24"/>
          <w:szCs w:val="24"/>
        </w:rPr>
        <w:t xml:space="preserve">Villoria, M. (2019). Gestión Pública. Revista en Cultura de la Legalidad, ISSN-e 2253-6655, Nº. 16, (pp. 158-172). España. Recuperado de: </w:t>
      </w:r>
      <w:r>
        <w:rPr>
          <w:rFonts w:ascii="Arial" w:eastAsia="Times New Roman" w:hAnsi="Arial" w:cs="Arial"/>
          <w:sz w:val="24"/>
          <w:szCs w:val="24"/>
          <w:u w:val="single"/>
        </w:rPr>
        <w:t>https://dialnet.unirioja.es/servlet/articulo?codigo=6876352</w:t>
      </w:r>
    </w:p>
    <w:p w:rsidR="00F30CF1" w:rsidRDefault="00F30CF1" w:rsidP="00F30CF1">
      <w:pPr>
        <w:spacing w:line="360" w:lineRule="auto"/>
        <w:ind w:left="709" w:hanging="709"/>
        <w:jc w:val="both"/>
      </w:pPr>
      <w:r>
        <w:rPr>
          <w:rFonts w:ascii="Arial" w:eastAsia="Times New Roman" w:hAnsi="Arial" w:cs="Arial"/>
          <w:sz w:val="24"/>
          <w:szCs w:val="24"/>
        </w:rPr>
        <w:t xml:space="preserve">Ziccardi, A. (2001). </w:t>
      </w:r>
      <w:r>
        <w:rPr>
          <w:rFonts w:ascii="Arial" w:eastAsia="Times New Roman" w:hAnsi="Arial" w:cs="Arial"/>
          <w:i/>
          <w:sz w:val="24"/>
          <w:szCs w:val="24"/>
        </w:rPr>
        <w:t xml:space="preserve">Pobreza, Desigualdad Social y Ciudadanía. Los Límites de las Políticas Sociales en América Latina. </w:t>
      </w:r>
      <w:r>
        <w:rPr>
          <w:rFonts w:ascii="Arial" w:eastAsia="Times New Roman" w:hAnsi="Arial" w:cs="Arial"/>
          <w:sz w:val="24"/>
          <w:szCs w:val="24"/>
        </w:rPr>
        <w:t>Primera edición. CLACSO. Argentina. Recuperado de:</w:t>
      </w:r>
      <w:r>
        <w:t xml:space="preserve"> </w:t>
      </w:r>
      <w:hyperlink r:id="rId59">
        <w:r>
          <w:rPr>
            <w:rStyle w:val="InternetLink"/>
            <w:rFonts w:ascii="Arial" w:hAnsi="Arial" w:cs="Arial"/>
            <w:color w:val="00000A"/>
            <w:sz w:val="24"/>
          </w:rPr>
          <w:t>http://biblioteca.clacso.edu.ar/clacso/gt/20101029062411/ziccardi.pdf</w:t>
        </w:r>
      </w:hyperlink>
    </w:p>
    <w:p w:rsidR="00F30CF1" w:rsidRDefault="00F30CF1">
      <w:pPr>
        <w:rPr>
          <w:rFonts w:eastAsia="Times New Roman"/>
        </w:rPr>
      </w:pPr>
    </w:p>
    <w:p w:rsidR="00F30CF1" w:rsidRDefault="00F30CF1" w:rsidP="00F30CF1">
      <w:pPr>
        <w:tabs>
          <w:tab w:val="left" w:pos="1305"/>
        </w:tabs>
        <w:spacing w:line="360" w:lineRule="auto"/>
        <w:jc w:val="both"/>
        <w:rPr>
          <w:rFonts w:ascii="Arial" w:hAnsi="Arial" w:cs="Arial"/>
          <w:b/>
          <w:sz w:val="24"/>
          <w:szCs w:val="24"/>
        </w:rPr>
        <w:sectPr w:rsidR="00F30CF1" w:rsidSect="00424427">
          <w:footerReference w:type="first" r:id="rId60"/>
          <w:pgSz w:w="12240" w:h="15840"/>
          <w:pgMar w:top="1418" w:right="1701" w:bottom="1418" w:left="1701" w:header="709" w:footer="709" w:gutter="0"/>
          <w:cols w:space="708"/>
          <w:titlePg/>
          <w:docGrid w:linePitch="360"/>
        </w:sectPr>
      </w:pPr>
    </w:p>
    <w:p w:rsidR="00F30CF1" w:rsidRPr="00F30CF1" w:rsidRDefault="00F30CF1" w:rsidP="00F30CF1">
      <w:pPr>
        <w:pStyle w:val="Ttulo1"/>
        <w:spacing w:line="480" w:lineRule="auto"/>
        <w:rPr>
          <w:rFonts w:eastAsia="Times New Roman"/>
        </w:rPr>
      </w:pPr>
      <w:bookmarkStart w:id="85" w:name="_Toc50906721"/>
      <w:bookmarkStart w:id="86" w:name="_GoBack"/>
      <w:bookmarkEnd w:id="86"/>
      <w:r w:rsidRPr="00F30CF1">
        <w:rPr>
          <w:rFonts w:eastAsia="Times New Roman"/>
        </w:rPr>
        <w:lastRenderedPageBreak/>
        <w:t>Anexos</w:t>
      </w:r>
      <w:bookmarkEnd w:id="85"/>
    </w:p>
    <w:p w:rsidR="00F30CF1" w:rsidRDefault="00F30CF1" w:rsidP="00F30CF1">
      <w:pPr>
        <w:widowControl w:val="0"/>
        <w:spacing w:line="240" w:lineRule="auto"/>
        <w:rPr>
          <w:rFonts w:ascii="Arial" w:hAnsi="Arial" w:cs="Arial"/>
          <w:b/>
          <w:sz w:val="24"/>
          <w:szCs w:val="24"/>
        </w:rPr>
      </w:pPr>
      <w:r>
        <w:rPr>
          <w:rFonts w:ascii="Arial" w:hAnsi="Arial" w:cs="Arial"/>
          <w:b/>
          <w:sz w:val="24"/>
          <w:szCs w:val="24"/>
        </w:rPr>
        <w:t>Anexo 1. Tabla de Matriz Metodológica</w:t>
      </w:r>
    </w:p>
    <w:p w:rsidR="00F30CF1" w:rsidRPr="00600522" w:rsidRDefault="00F30CF1" w:rsidP="00F30CF1">
      <w:pPr>
        <w:widowControl w:val="0"/>
        <w:spacing w:line="240" w:lineRule="auto"/>
        <w:rPr>
          <w:rFonts w:ascii="Arial" w:hAnsi="Arial" w:cs="Arial"/>
          <w:sz w:val="24"/>
          <w:szCs w:val="24"/>
        </w:rPr>
      </w:pPr>
      <w:r>
        <w:rPr>
          <w:rFonts w:ascii="Arial" w:hAnsi="Arial" w:cs="Arial"/>
          <w:sz w:val="24"/>
          <w:szCs w:val="24"/>
        </w:rPr>
        <w:t>Tabla N° 9</w:t>
      </w:r>
      <w:r w:rsidRPr="00600522">
        <w:rPr>
          <w:rFonts w:ascii="Arial" w:hAnsi="Arial" w:cs="Arial"/>
          <w:sz w:val="24"/>
          <w:szCs w:val="24"/>
        </w:rPr>
        <w:t xml:space="preserve"> </w:t>
      </w:r>
      <w:r w:rsidRPr="00600522">
        <w:rPr>
          <w:rFonts w:ascii="Arial" w:hAnsi="Arial" w:cs="Arial"/>
        </w:rPr>
        <w:t>Matriz Metodológica</w:t>
      </w:r>
    </w:p>
    <w:tbl>
      <w:tblPr>
        <w:tblStyle w:val="Tablaconcuadrcula"/>
        <w:tblW w:w="0" w:type="auto"/>
        <w:jc w:val="center"/>
        <w:tblLayout w:type="fixed"/>
        <w:tblLook w:val="04A0" w:firstRow="1" w:lastRow="0" w:firstColumn="1" w:lastColumn="0" w:noHBand="0" w:noVBand="1"/>
      </w:tblPr>
      <w:tblGrid>
        <w:gridCol w:w="2875"/>
        <w:gridCol w:w="2082"/>
        <w:gridCol w:w="3827"/>
        <w:gridCol w:w="1942"/>
        <w:gridCol w:w="7"/>
        <w:gridCol w:w="2065"/>
      </w:tblGrid>
      <w:tr w:rsidR="00F30CF1" w:rsidRPr="002A5159" w:rsidTr="00424427">
        <w:trPr>
          <w:trHeight w:val="674"/>
          <w:jc w:val="center"/>
        </w:trPr>
        <w:tc>
          <w:tcPr>
            <w:tcW w:w="2875" w:type="dxa"/>
            <w:shd w:val="clear" w:color="auto" w:fill="DBDBDB" w:themeFill="accent3" w:themeFillTint="66"/>
            <w:vAlign w:val="center"/>
          </w:tcPr>
          <w:p w:rsidR="00F30CF1" w:rsidRPr="00600522" w:rsidRDefault="00F30CF1" w:rsidP="00424427">
            <w:pPr>
              <w:widowControl w:val="0"/>
              <w:spacing w:after="200" w:line="360" w:lineRule="auto"/>
              <w:jc w:val="center"/>
              <w:rPr>
                <w:rFonts w:ascii="Arial" w:hAnsi="Arial" w:cs="Arial"/>
                <w:b/>
              </w:rPr>
            </w:pPr>
            <w:r w:rsidRPr="00600522">
              <w:rPr>
                <w:rFonts w:ascii="Arial" w:hAnsi="Arial" w:cs="Arial"/>
                <w:b/>
              </w:rPr>
              <w:t>Objetivos Específicos</w:t>
            </w:r>
          </w:p>
        </w:tc>
        <w:tc>
          <w:tcPr>
            <w:tcW w:w="2082" w:type="dxa"/>
            <w:shd w:val="clear" w:color="auto" w:fill="DBDBDB" w:themeFill="accent3" w:themeFillTint="66"/>
            <w:vAlign w:val="center"/>
          </w:tcPr>
          <w:p w:rsidR="00F30CF1" w:rsidRPr="00600522" w:rsidRDefault="00F30CF1" w:rsidP="00424427">
            <w:pPr>
              <w:widowControl w:val="0"/>
              <w:spacing w:after="200" w:line="360" w:lineRule="auto"/>
              <w:jc w:val="center"/>
              <w:rPr>
                <w:rFonts w:ascii="Arial" w:hAnsi="Arial" w:cs="Arial"/>
                <w:b/>
              </w:rPr>
            </w:pPr>
            <w:r w:rsidRPr="00600522">
              <w:rPr>
                <w:rFonts w:ascii="Arial" w:hAnsi="Arial" w:cs="Arial"/>
                <w:b/>
              </w:rPr>
              <w:t xml:space="preserve">Dimensiones empíricas </w:t>
            </w:r>
          </w:p>
        </w:tc>
        <w:tc>
          <w:tcPr>
            <w:tcW w:w="3827" w:type="dxa"/>
            <w:shd w:val="clear" w:color="auto" w:fill="DBDBDB" w:themeFill="accent3" w:themeFillTint="66"/>
            <w:vAlign w:val="center"/>
          </w:tcPr>
          <w:p w:rsidR="00F30CF1" w:rsidRPr="00600522" w:rsidRDefault="00F30CF1" w:rsidP="00424427">
            <w:pPr>
              <w:widowControl w:val="0"/>
              <w:spacing w:after="200" w:line="360" w:lineRule="auto"/>
              <w:jc w:val="center"/>
              <w:rPr>
                <w:rFonts w:ascii="Arial" w:hAnsi="Arial" w:cs="Arial"/>
                <w:b/>
              </w:rPr>
            </w:pPr>
            <w:r w:rsidRPr="00600522">
              <w:rPr>
                <w:rFonts w:ascii="Arial" w:hAnsi="Arial" w:cs="Arial"/>
                <w:b/>
              </w:rPr>
              <w:t>Categorías de análisis</w:t>
            </w:r>
          </w:p>
        </w:tc>
        <w:tc>
          <w:tcPr>
            <w:tcW w:w="1949" w:type="dxa"/>
            <w:gridSpan w:val="2"/>
            <w:shd w:val="clear" w:color="auto" w:fill="DBDBDB" w:themeFill="accent3" w:themeFillTint="66"/>
            <w:vAlign w:val="center"/>
          </w:tcPr>
          <w:p w:rsidR="00F30CF1" w:rsidRPr="00600522" w:rsidRDefault="00F30CF1" w:rsidP="00424427">
            <w:pPr>
              <w:widowControl w:val="0"/>
              <w:spacing w:after="200" w:line="360" w:lineRule="auto"/>
              <w:jc w:val="center"/>
              <w:rPr>
                <w:rFonts w:ascii="Arial" w:hAnsi="Arial" w:cs="Arial"/>
                <w:b/>
              </w:rPr>
            </w:pPr>
            <w:r w:rsidRPr="00600522">
              <w:rPr>
                <w:rFonts w:ascii="Arial" w:hAnsi="Arial" w:cs="Arial"/>
                <w:b/>
              </w:rPr>
              <w:t xml:space="preserve">Categorías teóricas </w:t>
            </w:r>
          </w:p>
        </w:tc>
        <w:tc>
          <w:tcPr>
            <w:tcW w:w="2065" w:type="dxa"/>
            <w:shd w:val="clear" w:color="auto" w:fill="DBDBDB" w:themeFill="accent3" w:themeFillTint="66"/>
            <w:vAlign w:val="center"/>
          </w:tcPr>
          <w:p w:rsidR="00F30CF1" w:rsidRPr="00600522" w:rsidRDefault="00F30CF1" w:rsidP="00424427">
            <w:pPr>
              <w:widowControl w:val="0"/>
              <w:spacing w:after="200" w:line="360" w:lineRule="auto"/>
              <w:jc w:val="center"/>
              <w:rPr>
                <w:rFonts w:ascii="Arial" w:hAnsi="Arial" w:cs="Arial"/>
                <w:b/>
              </w:rPr>
            </w:pPr>
            <w:r w:rsidRPr="00600522">
              <w:rPr>
                <w:rFonts w:ascii="Arial" w:hAnsi="Arial" w:cs="Arial"/>
                <w:b/>
              </w:rPr>
              <w:t>Técnicas</w:t>
            </w:r>
          </w:p>
        </w:tc>
      </w:tr>
      <w:tr w:rsidR="00F30CF1" w:rsidRPr="003D6B64" w:rsidTr="00424427">
        <w:trPr>
          <w:trHeight w:val="3522"/>
          <w:jc w:val="center"/>
        </w:trPr>
        <w:tc>
          <w:tcPr>
            <w:tcW w:w="2875" w:type="dxa"/>
            <w:shd w:val="clear" w:color="auto" w:fill="auto"/>
            <w:vAlign w:val="center"/>
          </w:tcPr>
          <w:p w:rsidR="00F30CF1" w:rsidRPr="003D6B64" w:rsidRDefault="00F30CF1" w:rsidP="00424427">
            <w:pPr>
              <w:spacing w:line="276" w:lineRule="auto"/>
              <w:jc w:val="center"/>
              <w:rPr>
                <w:rFonts w:ascii="Arial" w:hAnsi="Arial" w:cs="Arial"/>
              </w:rPr>
            </w:pPr>
            <w:r w:rsidRPr="003D6B64">
              <w:rPr>
                <w:rFonts w:ascii="Arial" w:hAnsi="Arial" w:cs="Arial"/>
              </w:rPr>
              <w:t xml:space="preserve">Identificar la estructura </w:t>
            </w:r>
            <w:r>
              <w:rPr>
                <w:rFonts w:ascii="Arial" w:hAnsi="Arial" w:cs="Arial"/>
              </w:rPr>
              <w:t>normativa</w:t>
            </w:r>
            <w:r w:rsidRPr="003D6B64">
              <w:rPr>
                <w:rFonts w:ascii="Arial" w:hAnsi="Arial" w:cs="Arial"/>
              </w:rPr>
              <w:t xml:space="preserve"> e institucional en la que se fundamentan las estrategias de gestión e implementación del área marina de pesca responsable Paquera – Tambor.</w:t>
            </w:r>
          </w:p>
        </w:tc>
        <w:tc>
          <w:tcPr>
            <w:tcW w:w="2082" w:type="dxa"/>
            <w:shd w:val="clear" w:color="auto" w:fill="auto"/>
            <w:vAlign w:val="center"/>
          </w:tcPr>
          <w:p w:rsidR="00F30CF1" w:rsidRPr="003D6B64" w:rsidRDefault="00F30CF1" w:rsidP="00424427">
            <w:pPr>
              <w:widowControl w:val="0"/>
              <w:spacing w:after="200" w:line="276" w:lineRule="auto"/>
              <w:jc w:val="center"/>
              <w:rPr>
                <w:rFonts w:ascii="Arial" w:hAnsi="Arial" w:cs="Arial"/>
              </w:rPr>
            </w:pPr>
            <w:r w:rsidRPr="003D6B64">
              <w:rPr>
                <w:rFonts w:ascii="Arial" w:hAnsi="Arial" w:cs="Arial"/>
              </w:rPr>
              <w:t xml:space="preserve">Estructura </w:t>
            </w:r>
            <w:r>
              <w:rPr>
                <w:rFonts w:ascii="Arial" w:hAnsi="Arial" w:cs="Arial"/>
              </w:rPr>
              <w:t>normativa</w:t>
            </w:r>
            <w:r w:rsidRPr="003D6B64">
              <w:rPr>
                <w:rFonts w:ascii="Arial" w:hAnsi="Arial" w:cs="Arial"/>
              </w:rPr>
              <w:t xml:space="preserve"> e institucional</w:t>
            </w:r>
          </w:p>
        </w:tc>
        <w:tc>
          <w:tcPr>
            <w:tcW w:w="3827" w:type="dxa"/>
            <w:shd w:val="clear" w:color="auto" w:fill="auto"/>
            <w:vAlign w:val="center"/>
          </w:tcPr>
          <w:p w:rsidR="00F30CF1" w:rsidRPr="003D6B64" w:rsidRDefault="00F30CF1" w:rsidP="00424427">
            <w:pPr>
              <w:widowControl w:val="0"/>
              <w:spacing w:line="276" w:lineRule="auto"/>
              <w:jc w:val="center"/>
              <w:rPr>
                <w:rFonts w:ascii="Arial" w:hAnsi="Arial" w:cs="Arial"/>
              </w:rPr>
            </w:pPr>
            <w:r w:rsidRPr="003D6B64">
              <w:rPr>
                <w:rFonts w:ascii="Arial" w:hAnsi="Arial" w:cs="Arial"/>
              </w:rPr>
              <w:t>-Leyes sobre pesca en el país.</w:t>
            </w:r>
          </w:p>
          <w:p w:rsidR="00F30CF1" w:rsidRPr="003D6B64" w:rsidRDefault="00F30CF1" w:rsidP="00424427">
            <w:pPr>
              <w:widowControl w:val="0"/>
              <w:spacing w:line="276" w:lineRule="auto"/>
              <w:jc w:val="center"/>
              <w:rPr>
                <w:rFonts w:ascii="Arial" w:hAnsi="Arial" w:cs="Arial"/>
              </w:rPr>
            </w:pPr>
            <w:r w:rsidRPr="003D6B64">
              <w:rPr>
                <w:rFonts w:ascii="Arial" w:hAnsi="Arial" w:cs="Arial"/>
              </w:rPr>
              <w:t>-Políticas públicas relacionadas a la pesca.</w:t>
            </w:r>
          </w:p>
          <w:p w:rsidR="00F30CF1" w:rsidRPr="003D6B64" w:rsidRDefault="00F30CF1" w:rsidP="00424427">
            <w:pPr>
              <w:widowControl w:val="0"/>
              <w:spacing w:line="276" w:lineRule="auto"/>
              <w:jc w:val="center"/>
              <w:rPr>
                <w:rFonts w:ascii="Arial" w:hAnsi="Arial" w:cs="Arial"/>
              </w:rPr>
            </w:pPr>
            <w:r w:rsidRPr="003D6B64">
              <w:rPr>
                <w:rFonts w:ascii="Arial" w:hAnsi="Arial" w:cs="Arial"/>
              </w:rPr>
              <w:t>-</w:t>
            </w:r>
            <w:r>
              <w:rPr>
                <w:rFonts w:ascii="Arial" w:hAnsi="Arial" w:cs="Arial"/>
              </w:rPr>
              <w:t>Estructura jurídica-institucional del AMPR.</w:t>
            </w:r>
          </w:p>
        </w:tc>
        <w:tc>
          <w:tcPr>
            <w:tcW w:w="1949" w:type="dxa"/>
            <w:gridSpan w:val="2"/>
            <w:vAlign w:val="center"/>
          </w:tcPr>
          <w:p w:rsidR="00F30CF1" w:rsidRPr="003D6B64" w:rsidRDefault="00F30CF1" w:rsidP="00424427">
            <w:pPr>
              <w:widowControl w:val="0"/>
              <w:spacing w:line="276" w:lineRule="auto"/>
              <w:jc w:val="center"/>
              <w:rPr>
                <w:rFonts w:ascii="Arial" w:hAnsi="Arial" w:cs="Arial"/>
              </w:rPr>
            </w:pPr>
            <w:r>
              <w:rPr>
                <w:rFonts w:ascii="Arial" w:hAnsi="Arial" w:cs="Arial"/>
              </w:rPr>
              <w:t>Estructura normativa-jurídica.</w:t>
            </w:r>
          </w:p>
          <w:p w:rsidR="00F30CF1" w:rsidRPr="003D6B64" w:rsidRDefault="00F30CF1" w:rsidP="00424427">
            <w:pPr>
              <w:widowControl w:val="0"/>
              <w:spacing w:line="276" w:lineRule="auto"/>
              <w:jc w:val="center"/>
              <w:rPr>
                <w:rFonts w:ascii="Arial" w:hAnsi="Arial" w:cs="Arial"/>
              </w:rPr>
            </w:pPr>
          </w:p>
        </w:tc>
        <w:tc>
          <w:tcPr>
            <w:tcW w:w="2065" w:type="dxa"/>
            <w:shd w:val="clear" w:color="auto" w:fill="auto"/>
            <w:vAlign w:val="center"/>
          </w:tcPr>
          <w:p w:rsidR="00F30CF1" w:rsidRPr="003D6B64" w:rsidRDefault="00F30CF1" w:rsidP="00424427">
            <w:pPr>
              <w:widowControl w:val="0"/>
              <w:spacing w:line="276" w:lineRule="auto"/>
              <w:jc w:val="center"/>
              <w:rPr>
                <w:rFonts w:ascii="Arial" w:hAnsi="Arial" w:cs="Arial"/>
              </w:rPr>
            </w:pPr>
            <w:r w:rsidRPr="003D6B64">
              <w:rPr>
                <w:rFonts w:ascii="Arial" w:hAnsi="Arial" w:cs="Arial"/>
              </w:rPr>
              <w:t>-Revisión de fuentes secundarias o bibliográficas.</w:t>
            </w:r>
          </w:p>
          <w:p w:rsidR="00F30CF1" w:rsidRPr="003D6B64" w:rsidRDefault="00F30CF1" w:rsidP="00424427">
            <w:pPr>
              <w:jc w:val="center"/>
            </w:pPr>
          </w:p>
        </w:tc>
      </w:tr>
      <w:tr w:rsidR="00F30CF1" w:rsidRPr="003D6B64" w:rsidTr="00424427">
        <w:trPr>
          <w:trHeight w:val="123"/>
          <w:jc w:val="center"/>
        </w:trPr>
        <w:tc>
          <w:tcPr>
            <w:tcW w:w="2875" w:type="dxa"/>
            <w:vAlign w:val="center"/>
          </w:tcPr>
          <w:p w:rsidR="00F30CF1" w:rsidRPr="003D6B64" w:rsidRDefault="00F30CF1" w:rsidP="00424427">
            <w:pPr>
              <w:spacing w:line="276" w:lineRule="auto"/>
              <w:jc w:val="center"/>
              <w:rPr>
                <w:rFonts w:ascii="Arial" w:hAnsi="Arial" w:cs="Arial"/>
              </w:rPr>
            </w:pPr>
            <w:r w:rsidRPr="003D6B64">
              <w:rPr>
                <w:rFonts w:ascii="Arial" w:hAnsi="Arial" w:cs="Arial"/>
              </w:rPr>
              <w:t>Caracterizar las estrategias institucionales de gestión e implementación del área marina de pesca responsable Paquera – Tambor.</w:t>
            </w:r>
          </w:p>
        </w:tc>
        <w:tc>
          <w:tcPr>
            <w:tcW w:w="2082" w:type="dxa"/>
            <w:vAlign w:val="center"/>
          </w:tcPr>
          <w:p w:rsidR="00F30CF1" w:rsidRPr="003D6B64" w:rsidRDefault="00F30CF1" w:rsidP="00424427">
            <w:pPr>
              <w:widowControl w:val="0"/>
              <w:spacing w:after="200" w:line="276" w:lineRule="auto"/>
              <w:jc w:val="center"/>
              <w:rPr>
                <w:rFonts w:ascii="Arial" w:hAnsi="Arial" w:cs="Arial"/>
              </w:rPr>
            </w:pPr>
            <w:r w:rsidRPr="003D6B64">
              <w:rPr>
                <w:rFonts w:ascii="Arial" w:hAnsi="Arial" w:cs="Arial"/>
              </w:rPr>
              <w:t>Estrategias institucionales de gestión e implementación del área marina de pesca responsable</w:t>
            </w:r>
          </w:p>
        </w:tc>
        <w:tc>
          <w:tcPr>
            <w:tcW w:w="3827" w:type="dxa"/>
            <w:vAlign w:val="center"/>
          </w:tcPr>
          <w:p w:rsidR="00F30CF1" w:rsidRDefault="00F30CF1" w:rsidP="00424427">
            <w:pPr>
              <w:widowControl w:val="0"/>
              <w:jc w:val="center"/>
              <w:rPr>
                <w:rFonts w:ascii="Arial" w:hAnsi="Arial" w:cs="Arial"/>
              </w:rPr>
            </w:pPr>
          </w:p>
          <w:p w:rsidR="00F30CF1" w:rsidRPr="003D6B64" w:rsidRDefault="00F30CF1" w:rsidP="00424427">
            <w:pPr>
              <w:widowControl w:val="0"/>
              <w:jc w:val="center"/>
              <w:rPr>
                <w:rFonts w:ascii="Arial" w:hAnsi="Arial" w:cs="Arial"/>
              </w:rPr>
            </w:pPr>
            <w:r w:rsidRPr="003D6B64">
              <w:rPr>
                <w:rFonts w:ascii="Arial" w:hAnsi="Arial" w:cs="Arial"/>
              </w:rPr>
              <w:t>-</w:t>
            </w:r>
            <w:r>
              <w:rPr>
                <w:rFonts w:ascii="Arial" w:hAnsi="Arial" w:cs="Arial"/>
              </w:rPr>
              <w:t>Plan de Ordenamiento Pesquero del AMPR.</w:t>
            </w:r>
          </w:p>
          <w:p w:rsidR="00F30CF1" w:rsidRPr="003D6B64" w:rsidRDefault="00F30CF1" w:rsidP="00424427">
            <w:pPr>
              <w:widowControl w:val="0"/>
              <w:jc w:val="center"/>
              <w:rPr>
                <w:rFonts w:ascii="Arial" w:hAnsi="Arial" w:cs="Arial"/>
              </w:rPr>
            </w:pPr>
            <w:r w:rsidRPr="003D6B64">
              <w:rPr>
                <w:rFonts w:ascii="Arial" w:hAnsi="Arial" w:cs="Arial"/>
              </w:rPr>
              <w:t>-</w:t>
            </w:r>
            <w:r>
              <w:rPr>
                <w:rFonts w:ascii="Arial" w:hAnsi="Arial" w:cs="Arial"/>
              </w:rPr>
              <w:t>Zonificación del AMPR</w:t>
            </w:r>
            <w:r w:rsidRPr="003D6B64">
              <w:rPr>
                <w:rFonts w:ascii="Arial" w:hAnsi="Arial" w:cs="Arial"/>
              </w:rPr>
              <w:t>.</w:t>
            </w:r>
          </w:p>
          <w:p w:rsidR="00F30CF1" w:rsidRPr="003D6B64" w:rsidRDefault="00F30CF1" w:rsidP="00424427">
            <w:pPr>
              <w:widowControl w:val="0"/>
              <w:jc w:val="center"/>
              <w:rPr>
                <w:rFonts w:ascii="Arial" w:hAnsi="Arial" w:cs="Arial"/>
              </w:rPr>
            </w:pPr>
            <w:r w:rsidRPr="003D6B64">
              <w:rPr>
                <w:rFonts w:ascii="Arial" w:hAnsi="Arial" w:cs="Arial"/>
              </w:rPr>
              <w:t>-</w:t>
            </w:r>
            <w:r>
              <w:rPr>
                <w:rFonts w:ascii="Arial" w:hAnsi="Arial" w:cs="Arial"/>
              </w:rPr>
              <w:t xml:space="preserve">Instituciones relacionadas a la creación del AMPR. </w:t>
            </w:r>
          </w:p>
          <w:p w:rsidR="00F30CF1" w:rsidRPr="003D6B64" w:rsidRDefault="00F30CF1" w:rsidP="00424427">
            <w:pPr>
              <w:widowControl w:val="0"/>
              <w:jc w:val="center"/>
              <w:rPr>
                <w:rFonts w:ascii="Arial" w:hAnsi="Arial" w:cs="Arial"/>
              </w:rPr>
            </w:pPr>
            <w:r w:rsidRPr="003D6B64">
              <w:rPr>
                <w:rFonts w:ascii="Arial" w:hAnsi="Arial" w:cs="Arial"/>
              </w:rPr>
              <w:t>-</w:t>
            </w:r>
            <w:r>
              <w:rPr>
                <w:rFonts w:ascii="Arial" w:hAnsi="Arial" w:cs="Arial"/>
              </w:rPr>
              <w:t xml:space="preserve">Estrategia de gobernanza del AMPR. </w:t>
            </w:r>
          </w:p>
          <w:p w:rsidR="00F30CF1" w:rsidRPr="003D6B64" w:rsidRDefault="00F30CF1" w:rsidP="00424427">
            <w:pPr>
              <w:widowControl w:val="0"/>
              <w:spacing w:line="276" w:lineRule="auto"/>
              <w:jc w:val="center"/>
              <w:rPr>
                <w:rFonts w:ascii="Arial" w:hAnsi="Arial" w:cs="Arial"/>
              </w:rPr>
            </w:pPr>
          </w:p>
        </w:tc>
        <w:tc>
          <w:tcPr>
            <w:tcW w:w="1949" w:type="dxa"/>
            <w:gridSpan w:val="2"/>
            <w:vAlign w:val="center"/>
          </w:tcPr>
          <w:p w:rsidR="00F30CF1" w:rsidRDefault="00F30CF1" w:rsidP="00424427">
            <w:pPr>
              <w:widowControl w:val="0"/>
              <w:spacing w:line="276" w:lineRule="auto"/>
              <w:jc w:val="center"/>
              <w:rPr>
                <w:rFonts w:ascii="Arial" w:hAnsi="Arial" w:cs="Arial"/>
              </w:rPr>
            </w:pPr>
            <w:r>
              <w:rPr>
                <w:rFonts w:ascii="Arial" w:hAnsi="Arial" w:cs="Arial"/>
              </w:rPr>
              <w:t xml:space="preserve">-Política pública. </w:t>
            </w:r>
          </w:p>
          <w:p w:rsidR="00F30CF1" w:rsidRPr="003D6B64" w:rsidRDefault="00F30CF1" w:rsidP="00424427">
            <w:pPr>
              <w:widowControl w:val="0"/>
              <w:spacing w:line="276" w:lineRule="auto"/>
              <w:jc w:val="center"/>
              <w:rPr>
                <w:rFonts w:ascii="Arial" w:hAnsi="Arial" w:cs="Arial"/>
              </w:rPr>
            </w:pPr>
            <w:r>
              <w:rPr>
                <w:rFonts w:ascii="Arial" w:hAnsi="Arial" w:cs="Arial"/>
              </w:rPr>
              <w:t>-Gestión pública.</w:t>
            </w:r>
          </w:p>
        </w:tc>
        <w:tc>
          <w:tcPr>
            <w:tcW w:w="2065" w:type="dxa"/>
            <w:shd w:val="clear" w:color="auto" w:fill="auto"/>
            <w:vAlign w:val="center"/>
          </w:tcPr>
          <w:p w:rsidR="00F30CF1" w:rsidRPr="003D6B64" w:rsidRDefault="00F30CF1" w:rsidP="00424427">
            <w:pPr>
              <w:widowControl w:val="0"/>
              <w:spacing w:line="276" w:lineRule="auto"/>
              <w:jc w:val="center"/>
              <w:rPr>
                <w:rFonts w:ascii="Arial" w:hAnsi="Arial" w:cs="Arial"/>
              </w:rPr>
            </w:pPr>
            <w:r w:rsidRPr="003D6B64">
              <w:rPr>
                <w:rFonts w:ascii="Arial" w:hAnsi="Arial" w:cs="Arial"/>
              </w:rPr>
              <w:t>-Entrevistas.</w:t>
            </w:r>
          </w:p>
          <w:p w:rsidR="00F30CF1" w:rsidRPr="003D6B64" w:rsidRDefault="00F30CF1" w:rsidP="00424427">
            <w:pPr>
              <w:widowControl w:val="0"/>
              <w:spacing w:line="276" w:lineRule="auto"/>
              <w:jc w:val="center"/>
              <w:rPr>
                <w:rFonts w:ascii="Arial" w:hAnsi="Arial" w:cs="Arial"/>
              </w:rPr>
            </w:pPr>
            <w:r w:rsidRPr="003D6B64">
              <w:rPr>
                <w:rFonts w:ascii="Arial" w:hAnsi="Arial" w:cs="Arial"/>
              </w:rPr>
              <w:t>-Revisión de fuentes secundarias.</w:t>
            </w:r>
          </w:p>
          <w:p w:rsidR="00F30CF1" w:rsidRPr="003D6B64" w:rsidRDefault="00F30CF1" w:rsidP="00424427">
            <w:pPr>
              <w:jc w:val="center"/>
            </w:pPr>
          </w:p>
        </w:tc>
      </w:tr>
      <w:tr w:rsidR="00F30CF1" w:rsidRPr="003D6B64" w:rsidTr="00424427">
        <w:trPr>
          <w:trHeight w:val="1235"/>
          <w:jc w:val="center"/>
        </w:trPr>
        <w:tc>
          <w:tcPr>
            <w:tcW w:w="2875" w:type="dxa"/>
            <w:vAlign w:val="center"/>
          </w:tcPr>
          <w:p w:rsidR="00F30CF1" w:rsidRPr="003D6B64" w:rsidRDefault="00F30CF1" w:rsidP="00424427">
            <w:pPr>
              <w:spacing w:line="276" w:lineRule="auto"/>
              <w:jc w:val="center"/>
              <w:rPr>
                <w:rFonts w:ascii="Arial" w:hAnsi="Arial" w:cs="Arial"/>
              </w:rPr>
            </w:pPr>
            <w:r w:rsidRPr="00560053">
              <w:rPr>
                <w:rFonts w:ascii="Arial" w:hAnsi="Arial" w:cs="Arial"/>
              </w:rPr>
              <w:lastRenderedPageBreak/>
              <w:t>Caracterizar los procesos de planificación local en el Área Marina de Pesca Responsable Paquera – Tambor</w:t>
            </w:r>
          </w:p>
        </w:tc>
        <w:tc>
          <w:tcPr>
            <w:tcW w:w="2082" w:type="dxa"/>
            <w:vAlign w:val="center"/>
          </w:tcPr>
          <w:p w:rsidR="00F30CF1" w:rsidRPr="003D6B64" w:rsidRDefault="00F30CF1" w:rsidP="00424427">
            <w:pPr>
              <w:widowControl w:val="0"/>
              <w:spacing w:after="200" w:line="276" w:lineRule="auto"/>
              <w:jc w:val="center"/>
              <w:rPr>
                <w:rFonts w:ascii="Arial" w:hAnsi="Arial" w:cs="Arial"/>
              </w:rPr>
            </w:pPr>
            <w:r>
              <w:rPr>
                <w:rFonts w:ascii="Arial" w:hAnsi="Arial" w:cs="Arial"/>
              </w:rPr>
              <w:t>Procesos de p</w:t>
            </w:r>
            <w:r w:rsidRPr="00560053">
              <w:rPr>
                <w:rFonts w:ascii="Arial" w:hAnsi="Arial" w:cs="Arial"/>
              </w:rPr>
              <w:t>lanificación local</w:t>
            </w:r>
          </w:p>
        </w:tc>
        <w:tc>
          <w:tcPr>
            <w:tcW w:w="3827" w:type="dxa"/>
            <w:vAlign w:val="center"/>
          </w:tcPr>
          <w:p w:rsidR="00F30CF1" w:rsidRDefault="00F30CF1" w:rsidP="00424427">
            <w:pPr>
              <w:widowControl w:val="0"/>
              <w:spacing w:line="276" w:lineRule="auto"/>
              <w:jc w:val="center"/>
              <w:rPr>
                <w:rFonts w:ascii="Arial" w:hAnsi="Arial" w:cs="Arial"/>
              </w:rPr>
            </w:pPr>
          </w:p>
          <w:p w:rsidR="00F30CF1" w:rsidRPr="00C75E70" w:rsidRDefault="00F30CF1" w:rsidP="00424427">
            <w:pPr>
              <w:widowControl w:val="0"/>
              <w:spacing w:line="276" w:lineRule="auto"/>
              <w:jc w:val="center"/>
              <w:rPr>
                <w:rFonts w:ascii="Arial" w:hAnsi="Arial" w:cs="Arial"/>
              </w:rPr>
            </w:pPr>
            <w:r>
              <w:rPr>
                <w:rFonts w:ascii="Arial" w:hAnsi="Arial" w:cs="Arial"/>
              </w:rPr>
              <w:t>-</w:t>
            </w:r>
            <w:r w:rsidRPr="00C75E70">
              <w:rPr>
                <w:rFonts w:ascii="Arial" w:hAnsi="Arial" w:cs="Arial"/>
              </w:rPr>
              <w:t>Herramientas utilizadas en los procesos de planificaci</w:t>
            </w:r>
            <w:r>
              <w:rPr>
                <w:rFonts w:ascii="Arial" w:hAnsi="Arial" w:cs="Arial"/>
              </w:rPr>
              <w:t>ó</w:t>
            </w:r>
            <w:r w:rsidRPr="00C75E70">
              <w:rPr>
                <w:rFonts w:ascii="Arial" w:hAnsi="Arial" w:cs="Arial"/>
              </w:rPr>
              <w:t>n.</w:t>
            </w:r>
          </w:p>
          <w:p w:rsidR="00F30CF1" w:rsidRPr="003D6B64" w:rsidRDefault="00F30CF1" w:rsidP="00424427">
            <w:pPr>
              <w:widowControl w:val="0"/>
              <w:spacing w:line="276" w:lineRule="auto"/>
              <w:jc w:val="center"/>
              <w:rPr>
                <w:rFonts w:ascii="Arial" w:hAnsi="Arial" w:cs="Arial"/>
              </w:rPr>
            </w:pPr>
            <w:r w:rsidRPr="003D6B64">
              <w:rPr>
                <w:rFonts w:ascii="Arial" w:hAnsi="Arial" w:cs="Arial"/>
              </w:rPr>
              <w:t>-Instituciones relacionadas a la creación del AMPR.</w:t>
            </w:r>
          </w:p>
          <w:p w:rsidR="00F30CF1" w:rsidRPr="003D6B64" w:rsidRDefault="00F30CF1" w:rsidP="00424427">
            <w:pPr>
              <w:widowControl w:val="0"/>
              <w:spacing w:line="276" w:lineRule="auto"/>
              <w:jc w:val="center"/>
              <w:rPr>
                <w:rFonts w:ascii="Arial" w:hAnsi="Arial" w:cs="Arial"/>
              </w:rPr>
            </w:pPr>
            <w:r w:rsidRPr="003D6B64">
              <w:rPr>
                <w:rFonts w:ascii="Arial" w:hAnsi="Arial" w:cs="Arial"/>
              </w:rPr>
              <w:t>-Recursos destinados en la implementación de estos proyectos en dichas comunidades.</w:t>
            </w:r>
          </w:p>
          <w:p w:rsidR="00F30CF1" w:rsidRDefault="00F30CF1" w:rsidP="00424427">
            <w:pPr>
              <w:widowControl w:val="0"/>
              <w:spacing w:line="276" w:lineRule="auto"/>
              <w:jc w:val="center"/>
              <w:rPr>
                <w:rFonts w:ascii="Arial" w:hAnsi="Arial" w:cs="Arial"/>
              </w:rPr>
            </w:pPr>
            <w:r w:rsidRPr="003D6B64">
              <w:rPr>
                <w:rFonts w:ascii="Arial" w:hAnsi="Arial" w:cs="Arial"/>
              </w:rPr>
              <w:t>-Vinculación institucional con los actores locales.</w:t>
            </w:r>
          </w:p>
          <w:p w:rsidR="00F30CF1" w:rsidRPr="00C75E70" w:rsidRDefault="00F30CF1" w:rsidP="00424427">
            <w:pPr>
              <w:widowControl w:val="0"/>
              <w:spacing w:line="276" w:lineRule="auto"/>
              <w:jc w:val="center"/>
              <w:rPr>
                <w:rFonts w:ascii="Arial" w:hAnsi="Arial" w:cs="Arial"/>
              </w:rPr>
            </w:pPr>
            <w:r>
              <w:rPr>
                <w:rFonts w:ascii="Arial" w:hAnsi="Arial" w:cs="Arial"/>
              </w:rPr>
              <w:t xml:space="preserve">-Acciones desarrolladas por los grupos locales. </w:t>
            </w:r>
          </w:p>
        </w:tc>
        <w:tc>
          <w:tcPr>
            <w:tcW w:w="1949" w:type="dxa"/>
            <w:gridSpan w:val="2"/>
            <w:vAlign w:val="center"/>
          </w:tcPr>
          <w:p w:rsidR="00F30CF1" w:rsidRPr="003D6B64" w:rsidRDefault="00F30CF1" w:rsidP="00424427">
            <w:pPr>
              <w:widowControl w:val="0"/>
              <w:spacing w:line="276" w:lineRule="auto"/>
              <w:jc w:val="center"/>
              <w:rPr>
                <w:rFonts w:ascii="Arial" w:hAnsi="Arial" w:cs="Arial"/>
              </w:rPr>
            </w:pPr>
            <w:r>
              <w:rPr>
                <w:rFonts w:ascii="Arial" w:hAnsi="Arial" w:cs="Arial"/>
              </w:rPr>
              <w:t xml:space="preserve">Enfoque de la planificación local. </w:t>
            </w:r>
          </w:p>
        </w:tc>
        <w:tc>
          <w:tcPr>
            <w:tcW w:w="2065" w:type="dxa"/>
            <w:shd w:val="clear" w:color="auto" w:fill="auto"/>
            <w:vAlign w:val="center"/>
          </w:tcPr>
          <w:p w:rsidR="00F30CF1" w:rsidRPr="003D6B64" w:rsidRDefault="00F30CF1" w:rsidP="00424427">
            <w:pPr>
              <w:widowControl w:val="0"/>
              <w:spacing w:line="276" w:lineRule="auto"/>
              <w:jc w:val="center"/>
              <w:rPr>
                <w:rFonts w:ascii="Arial" w:hAnsi="Arial" w:cs="Arial"/>
              </w:rPr>
            </w:pPr>
            <w:r w:rsidRPr="003D6B64">
              <w:rPr>
                <w:rFonts w:ascii="Arial" w:hAnsi="Arial" w:cs="Arial"/>
              </w:rPr>
              <w:t>-Entrevistas.</w:t>
            </w:r>
          </w:p>
          <w:p w:rsidR="00F30CF1" w:rsidRPr="003D6B64" w:rsidRDefault="00F30CF1" w:rsidP="00424427">
            <w:pPr>
              <w:widowControl w:val="0"/>
              <w:spacing w:line="276" w:lineRule="auto"/>
              <w:jc w:val="center"/>
              <w:rPr>
                <w:rFonts w:ascii="Arial" w:hAnsi="Arial" w:cs="Arial"/>
              </w:rPr>
            </w:pPr>
            <w:r w:rsidRPr="003D6B64">
              <w:rPr>
                <w:rFonts w:ascii="Arial" w:hAnsi="Arial" w:cs="Arial"/>
              </w:rPr>
              <w:t>-Revisión de fuentes secundarias.</w:t>
            </w:r>
          </w:p>
          <w:p w:rsidR="00F30CF1" w:rsidRPr="003D6B64" w:rsidRDefault="00F30CF1" w:rsidP="00424427">
            <w:pPr>
              <w:jc w:val="center"/>
            </w:pPr>
          </w:p>
        </w:tc>
      </w:tr>
      <w:tr w:rsidR="00F30CF1" w:rsidTr="00424427">
        <w:tblPrEx>
          <w:tblCellMar>
            <w:left w:w="70" w:type="dxa"/>
            <w:right w:w="70" w:type="dxa"/>
          </w:tblCellMar>
          <w:tblLook w:val="0000" w:firstRow="0" w:lastRow="0" w:firstColumn="0" w:lastColumn="0" w:noHBand="0" w:noVBand="0"/>
        </w:tblPrEx>
        <w:trPr>
          <w:trHeight w:val="2500"/>
          <w:jc w:val="center"/>
        </w:trPr>
        <w:tc>
          <w:tcPr>
            <w:tcW w:w="2875" w:type="dxa"/>
            <w:vAlign w:val="center"/>
          </w:tcPr>
          <w:p w:rsidR="00F30CF1" w:rsidRPr="00560053" w:rsidRDefault="00F30CF1" w:rsidP="00424427">
            <w:pPr>
              <w:spacing w:line="276" w:lineRule="auto"/>
              <w:jc w:val="center"/>
              <w:rPr>
                <w:rFonts w:ascii="Arial" w:hAnsi="Arial" w:cs="Arial"/>
              </w:rPr>
            </w:pPr>
            <w:r w:rsidRPr="003D6B64">
              <w:rPr>
                <w:rFonts w:ascii="Arial" w:hAnsi="Arial" w:cs="Arial"/>
              </w:rPr>
              <w:t>Determinar la vinculación entre las estrategias institucionales de gestión e implementación con los procesos de planificación local del área marina de pesca responsable Paquera – Tambor.</w:t>
            </w:r>
          </w:p>
        </w:tc>
        <w:tc>
          <w:tcPr>
            <w:tcW w:w="2082" w:type="dxa"/>
            <w:vAlign w:val="center"/>
          </w:tcPr>
          <w:p w:rsidR="00F30CF1" w:rsidRDefault="00F30CF1" w:rsidP="00424427">
            <w:pPr>
              <w:widowControl w:val="0"/>
              <w:spacing w:before="240" w:after="200" w:line="360" w:lineRule="auto"/>
              <w:jc w:val="center"/>
              <w:rPr>
                <w:rFonts w:ascii="Arial" w:hAnsi="Arial" w:cs="Arial"/>
                <w:sz w:val="20"/>
              </w:rPr>
            </w:pPr>
            <w:r w:rsidRPr="003D6B64">
              <w:rPr>
                <w:rFonts w:ascii="Arial" w:hAnsi="Arial" w:cs="Arial"/>
              </w:rPr>
              <w:t>Vinculación entre los mecanismos de planificación local y de participación social</w:t>
            </w:r>
          </w:p>
        </w:tc>
        <w:tc>
          <w:tcPr>
            <w:tcW w:w="3827" w:type="dxa"/>
            <w:vAlign w:val="center"/>
          </w:tcPr>
          <w:p w:rsidR="00F30CF1" w:rsidRDefault="00F30CF1" w:rsidP="00424427">
            <w:pPr>
              <w:widowControl w:val="0"/>
              <w:spacing w:line="276" w:lineRule="auto"/>
              <w:jc w:val="center"/>
              <w:rPr>
                <w:rFonts w:ascii="Arial" w:hAnsi="Arial" w:cs="Arial"/>
              </w:rPr>
            </w:pPr>
          </w:p>
          <w:p w:rsidR="00F30CF1" w:rsidRPr="003D6B64" w:rsidRDefault="00F30CF1" w:rsidP="00424427">
            <w:pPr>
              <w:widowControl w:val="0"/>
              <w:spacing w:line="276" w:lineRule="auto"/>
              <w:jc w:val="center"/>
              <w:rPr>
                <w:rFonts w:ascii="Arial" w:hAnsi="Arial" w:cs="Arial"/>
              </w:rPr>
            </w:pPr>
            <w:r w:rsidRPr="003D6B64">
              <w:rPr>
                <w:rFonts w:ascii="Arial" w:hAnsi="Arial" w:cs="Arial"/>
              </w:rPr>
              <w:t>-</w:t>
            </w:r>
            <w:r>
              <w:rPr>
                <w:rFonts w:ascii="Arial" w:hAnsi="Arial" w:cs="Arial"/>
              </w:rPr>
              <w:t>Herramientas de vinculación</w:t>
            </w:r>
            <w:r w:rsidRPr="003D6B64">
              <w:rPr>
                <w:rFonts w:ascii="Arial" w:hAnsi="Arial" w:cs="Arial"/>
              </w:rPr>
              <w:t xml:space="preserve"> con las comunidades por parte de las instituciones.</w:t>
            </w:r>
          </w:p>
          <w:p w:rsidR="00F30CF1" w:rsidRPr="003D6B64" w:rsidRDefault="00F30CF1" w:rsidP="00424427">
            <w:pPr>
              <w:widowControl w:val="0"/>
              <w:spacing w:line="276" w:lineRule="auto"/>
              <w:jc w:val="center"/>
              <w:rPr>
                <w:rFonts w:ascii="Arial" w:hAnsi="Arial" w:cs="Arial"/>
              </w:rPr>
            </w:pPr>
            <w:r w:rsidRPr="003D6B64">
              <w:rPr>
                <w:rFonts w:ascii="Arial" w:hAnsi="Arial" w:cs="Arial"/>
              </w:rPr>
              <w:t>-</w:t>
            </w:r>
            <w:r>
              <w:rPr>
                <w:rFonts w:ascii="Arial" w:hAnsi="Arial" w:cs="Arial"/>
              </w:rPr>
              <w:t xml:space="preserve">Espacios para las tomas de decisiones. </w:t>
            </w:r>
          </w:p>
          <w:p w:rsidR="00F30CF1" w:rsidRPr="003D6B64" w:rsidRDefault="00F30CF1" w:rsidP="00424427">
            <w:pPr>
              <w:widowControl w:val="0"/>
              <w:spacing w:line="276" w:lineRule="auto"/>
              <w:jc w:val="center"/>
              <w:rPr>
                <w:rFonts w:ascii="Arial" w:hAnsi="Arial" w:cs="Arial"/>
              </w:rPr>
            </w:pPr>
            <w:r w:rsidRPr="003D6B64">
              <w:rPr>
                <w:rFonts w:ascii="Arial" w:hAnsi="Arial" w:cs="Arial"/>
              </w:rPr>
              <w:t>-</w:t>
            </w:r>
            <w:r>
              <w:rPr>
                <w:rFonts w:ascii="Arial" w:hAnsi="Arial" w:cs="Arial"/>
              </w:rPr>
              <w:t xml:space="preserve">La participación en las acciones del AMPR. </w:t>
            </w:r>
          </w:p>
          <w:p w:rsidR="00F30CF1" w:rsidRDefault="00F30CF1" w:rsidP="00424427">
            <w:pPr>
              <w:widowControl w:val="0"/>
              <w:spacing w:before="240" w:after="200" w:line="360" w:lineRule="auto"/>
              <w:jc w:val="center"/>
              <w:rPr>
                <w:rFonts w:ascii="Arial" w:hAnsi="Arial" w:cs="Arial"/>
                <w:sz w:val="20"/>
              </w:rPr>
            </w:pPr>
          </w:p>
        </w:tc>
        <w:tc>
          <w:tcPr>
            <w:tcW w:w="1942" w:type="dxa"/>
            <w:vAlign w:val="center"/>
          </w:tcPr>
          <w:p w:rsidR="00F30CF1" w:rsidRDefault="00F30CF1" w:rsidP="00424427">
            <w:pPr>
              <w:widowControl w:val="0"/>
              <w:spacing w:line="276" w:lineRule="auto"/>
              <w:jc w:val="center"/>
              <w:rPr>
                <w:rFonts w:ascii="Arial" w:hAnsi="Arial" w:cs="Arial"/>
              </w:rPr>
            </w:pPr>
            <w:r>
              <w:rPr>
                <w:rFonts w:ascii="Arial" w:hAnsi="Arial" w:cs="Arial"/>
              </w:rPr>
              <w:t xml:space="preserve"> -Procesos de planificación local. </w:t>
            </w:r>
          </w:p>
          <w:p w:rsidR="00F30CF1" w:rsidRDefault="00F30CF1" w:rsidP="00424427">
            <w:pPr>
              <w:widowControl w:val="0"/>
              <w:spacing w:line="276" w:lineRule="auto"/>
              <w:jc w:val="center"/>
              <w:rPr>
                <w:rFonts w:ascii="Arial" w:hAnsi="Arial" w:cs="Arial"/>
                <w:sz w:val="20"/>
              </w:rPr>
            </w:pPr>
            <w:r>
              <w:rPr>
                <w:rFonts w:ascii="Arial" w:hAnsi="Arial" w:cs="Arial"/>
              </w:rPr>
              <w:t xml:space="preserve">-Gestión pública. </w:t>
            </w:r>
          </w:p>
        </w:tc>
        <w:tc>
          <w:tcPr>
            <w:tcW w:w="2072" w:type="dxa"/>
            <w:gridSpan w:val="2"/>
            <w:vAlign w:val="center"/>
          </w:tcPr>
          <w:p w:rsidR="00F30CF1" w:rsidRPr="003D6B64" w:rsidRDefault="00F30CF1" w:rsidP="00424427">
            <w:pPr>
              <w:widowControl w:val="0"/>
              <w:spacing w:line="276" w:lineRule="auto"/>
              <w:jc w:val="center"/>
              <w:rPr>
                <w:rFonts w:ascii="Arial" w:hAnsi="Arial" w:cs="Arial"/>
              </w:rPr>
            </w:pPr>
            <w:r w:rsidRPr="003D6B64">
              <w:rPr>
                <w:rFonts w:ascii="Arial" w:hAnsi="Arial" w:cs="Arial"/>
              </w:rPr>
              <w:t>-Revisión de fuentes secundarias.</w:t>
            </w:r>
          </w:p>
          <w:p w:rsidR="00F30CF1" w:rsidRDefault="00F30CF1" w:rsidP="00424427">
            <w:pPr>
              <w:widowControl w:val="0"/>
              <w:spacing w:before="240" w:after="200" w:line="360" w:lineRule="auto"/>
              <w:jc w:val="center"/>
              <w:rPr>
                <w:rFonts w:ascii="Arial" w:hAnsi="Arial" w:cs="Arial"/>
                <w:sz w:val="20"/>
              </w:rPr>
            </w:pPr>
            <w:r w:rsidRPr="003D6B64">
              <w:rPr>
                <w:rFonts w:ascii="Arial" w:hAnsi="Arial" w:cs="Arial"/>
              </w:rPr>
              <w:t>-Entrevistas.</w:t>
            </w:r>
          </w:p>
        </w:tc>
      </w:tr>
    </w:tbl>
    <w:p w:rsidR="00F30CF1" w:rsidRDefault="00F30CF1" w:rsidP="00F30CF1">
      <w:pPr>
        <w:widowControl w:val="0"/>
        <w:spacing w:before="240" w:after="200" w:line="360" w:lineRule="auto"/>
        <w:jc w:val="right"/>
        <w:rPr>
          <w:rFonts w:ascii="Arial" w:hAnsi="Arial" w:cs="Arial"/>
          <w:b/>
          <w:sz w:val="24"/>
          <w:szCs w:val="24"/>
        </w:rPr>
      </w:pPr>
      <w:r w:rsidRPr="003B74E9">
        <w:rPr>
          <w:rFonts w:ascii="Arial" w:hAnsi="Arial" w:cs="Arial"/>
          <w:sz w:val="20"/>
        </w:rPr>
        <w:t>F</w:t>
      </w:r>
      <w:r>
        <w:rPr>
          <w:rFonts w:ascii="Arial" w:hAnsi="Arial" w:cs="Arial"/>
          <w:sz w:val="20"/>
        </w:rPr>
        <w:t>uente: Elaboración propia, 2018.</w:t>
      </w:r>
      <w:r>
        <w:rPr>
          <w:rFonts w:ascii="Arial" w:hAnsi="Arial" w:cs="Arial"/>
          <w:b/>
          <w:sz w:val="24"/>
          <w:szCs w:val="24"/>
        </w:rPr>
        <w:t xml:space="preserve"> </w:t>
      </w:r>
    </w:p>
    <w:p w:rsidR="00F30CF1" w:rsidRDefault="00F30CF1" w:rsidP="00F30CF1">
      <w:pPr>
        <w:widowControl w:val="0"/>
        <w:spacing w:before="240" w:after="200" w:line="360" w:lineRule="auto"/>
        <w:jc w:val="right"/>
        <w:rPr>
          <w:rFonts w:ascii="Arial" w:hAnsi="Arial" w:cs="Arial"/>
          <w:b/>
          <w:sz w:val="24"/>
          <w:szCs w:val="24"/>
        </w:rPr>
      </w:pPr>
    </w:p>
    <w:p w:rsidR="00F30CF1" w:rsidRDefault="00F30CF1" w:rsidP="00F30CF1">
      <w:pPr>
        <w:widowControl w:val="0"/>
        <w:spacing w:before="240" w:after="200" w:line="360" w:lineRule="auto"/>
        <w:jc w:val="right"/>
        <w:rPr>
          <w:rFonts w:ascii="Arial" w:hAnsi="Arial" w:cs="Arial"/>
          <w:b/>
          <w:sz w:val="24"/>
          <w:szCs w:val="24"/>
        </w:rPr>
      </w:pPr>
    </w:p>
    <w:p w:rsidR="00F30CF1" w:rsidRDefault="00F30CF1" w:rsidP="00F30CF1">
      <w:pPr>
        <w:tabs>
          <w:tab w:val="left" w:pos="1305"/>
        </w:tabs>
        <w:spacing w:line="360" w:lineRule="auto"/>
        <w:ind w:left="360"/>
        <w:jc w:val="both"/>
        <w:rPr>
          <w:rFonts w:ascii="Arial" w:hAnsi="Arial" w:cs="Arial"/>
          <w:b/>
          <w:sz w:val="24"/>
          <w:szCs w:val="24"/>
        </w:rPr>
      </w:pPr>
      <w:r>
        <w:rPr>
          <w:rFonts w:ascii="Arial" w:hAnsi="Arial" w:cs="Arial"/>
          <w:b/>
          <w:sz w:val="24"/>
          <w:szCs w:val="24"/>
        </w:rPr>
        <w:lastRenderedPageBreak/>
        <w:t xml:space="preserve">Anexo 2. Tabla de Revisión Bibliográfica </w:t>
      </w:r>
    </w:p>
    <w:p w:rsidR="00F30CF1" w:rsidRPr="00600522" w:rsidRDefault="00F30CF1" w:rsidP="00F30CF1">
      <w:pPr>
        <w:tabs>
          <w:tab w:val="left" w:pos="1305"/>
        </w:tabs>
        <w:spacing w:line="360" w:lineRule="auto"/>
        <w:ind w:left="360"/>
        <w:jc w:val="both"/>
        <w:rPr>
          <w:rFonts w:ascii="Arial" w:hAnsi="Arial" w:cs="Arial"/>
          <w:sz w:val="24"/>
          <w:szCs w:val="24"/>
        </w:rPr>
      </w:pPr>
      <w:r>
        <w:rPr>
          <w:rFonts w:ascii="Arial" w:hAnsi="Arial" w:cs="Arial"/>
          <w:sz w:val="24"/>
          <w:szCs w:val="24"/>
        </w:rPr>
        <w:t>Tabla N° 10</w:t>
      </w:r>
      <w:r w:rsidRPr="00600522">
        <w:rPr>
          <w:rFonts w:ascii="Arial" w:hAnsi="Arial" w:cs="Arial"/>
          <w:sz w:val="24"/>
          <w:szCs w:val="24"/>
        </w:rPr>
        <w:t xml:space="preserve"> </w:t>
      </w:r>
      <w:r w:rsidRPr="00600522">
        <w:rPr>
          <w:rFonts w:ascii="Arial" w:hAnsi="Arial" w:cs="Arial"/>
        </w:rPr>
        <w:t>Tabla de Revisión Bibliográfica</w:t>
      </w:r>
    </w:p>
    <w:tbl>
      <w:tblPr>
        <w:tblStyle w:val="Tablaconcuadrcula"/>
        <w:tblW w:w="12962" w:type="dxa"/>
        <w:tblLook w:val="04A0" w:firstRow="1" w:lastRow="0" w:firstColumn="1" w:lastColumn="0" w:noHBand="0" w:noVBand="1"/>
      </w:tblPr>
      <w:tblGrid>
        <w:gridCol w:w="3114"/>
        <w:gridCol w:w="4961"/>
        <w:gridCol w:w="2835"/>
        <w:gridCol w:w="2052"/>
      </w:tblGrid>
      <w:tr w:rsidR="00F30CF1" w:rsidRPr="00C46F79" w:rsidTr="00424427">
        <w:trPr>
          <w:trHeight w:val="444"/>
        </w:trPr>
        <w:tc>
          <w:tcPr>
            <w:tcW w:w="3114" w:type="dxa"/>
            <w:shd w:val="clear" w:color="auto" w:fill="DBDBDB" w:themeFill="accent3" w:themeFillTint="66"/>
            <w:vAlign w:val="bottom"/>
          </w:tcPr>
          <w:p w:rsidR="00F30CF1" w:rsidRPr="00C46F79" w:rsidRDefault="00F30CF1" w:rsidP="00424427">
            <w:pPr>
              <w:widowControl w:val="0"/>
              <w:spacing w:after="200" w:line="360" w:lineRule="auto"/>
              <w:jc w:val="center"/>
              <w:rPr>
                <w:rFonts w:ascii="Arial" w:hAnsi="Arial" w:cs="Arial"/>
                <w:b/>
              </w:rPr>
            </w:pPr>
            <w:r w:rsidRPr="00C46F79">
              <w:rPr>
                <w:rFonts w:ascii="Arial" w:hAnsi="Arial" w:cs="Arial"/>
                <w:b/>
              </w:rPr>
              <w:t>Investigación</w:t>
            </w:r>
          </w:p>
        </w:tc>
        <w:tc>
          <w:tcPr>
            <w:tcW w:w="4961" w:type="dxa"/>
            <w:shd w:val="clear" w:color="auto" w:fill="DBDBDB" w:themeFill="accent3" w:themeFillTint="66"/>
            <w:vAlign w:val="bottom"/>
          </w:tcPr>
          <w:p w:rsidR="00F30CF1" w:rsidRPr="00C46F79" w:rsidRDefault="00F30CF1" w:rsidP="00424427">
            <w:pPr>
              <w:widowControl w:val="0"/>
              <w:spacing w:after="200" w:line="360" w:lineRule="auto"/>
              <w:jc w:val="center"/>
              <w:rPr>
                <w:rFonts w:ascii="Arial" w:hAnsi="Arial" w:cs="Arial"/>
                <w:b/>
              </w:rPr>
            </w:pPr>
            <w:r w:rsidRPr="00C46F79">
              <w:rPr>
                <w:rFonts w:ascii="Arial" w:hAnsi="Arial" w:cs="Arial"/>
                <w:b/>
              </w:rPr>
              <w:t>Descripción</w:t>
            </w:r>
          </w:p>
        </w:tc>
        <w:tc>
          <w:tcPr>
            <w:tcW w:w="2835" w:type="dxa"/>
            <w:shd w:val="clear" w:color="auto" w:fill="DBDBDB" w:themeFill="accent3" w:themeFillTint="66"/>
            <w:vAlign w:val="bottom"/>
          </w:tcPr>
          <w:p w:rsidR="00F30CF1" w:rsidRPr="00C46F79" w:rsidRDefault="00F30CF1" w:rsidP="00424427">
            <w:pPr>
              <w:widowControl w:val="0"/>
              <w:spacing w:after="200" w:line="360" w:lineRule="auto"/>
              <w:jc w:val="center"/>
              <w:rPr>
                <w:rFonts w:ascii="Arial" w:hAnsi="Arial" w:cs="Arial"/>
                <w:b/>
              </w:rPr>
            </w:pPr>
            <w:r w:rsidRPr="00C46F79">
              <w:rPr>
                <w:rFonts w:ascii="Arial" w:hAnsi="Arial" w:cs="Arial"/>
                <w:b/>
              </w:rPr>
              <w:t>Autor</w:t>
            </w:r>
          </w:p>
        </w:tc>
        <w:tc>
          <w:tcPr>
            <w:tcW w:w="2052" w:type="dxa"/>
            <w:shd w:val="clear" w:color="auto" w:fill="DBDBDB" w:themeFill="accent3" w:themeFillTint="66"/>
            <w:vAlign w:val="bottom"/>
          </w:tcPr>
          <w:p w:rsidR="00F30CF1" w:rsidRPr="00C46F79" w:rsidRDefault="00F30CF1" w:rsidP="00424427">
            <w:pPr>
              <w:widowControl w:val="0"/>
              <w:spacing w:after="200" w:line="360" w:lineRule="auto"/>
              <w:jc w:val="center"/>
              <w:rPr>
                <w:rFonts w:ascii="Arial" w:hAnsi="Arial" w:cs="Arial"/>
                <w:b/>
              </w:rPr>
            </w:pPr>
            <w:r w:rsidRPr="00C46F79">
              <w:rPr>
                <w:rFonts w:ascii="Arial" w:hAnsi="Arial" w:cs="Arial"/>
                <w:b/>
              </w:rPr>
              <w:t>Año</w:t>
            </w:r>
          </w:p>
        </w:tc>
      </w:tr>
      <w:tr w:rsidR="00F30CF1" w:rsidRPr="00C46F79" w:rsidTr="00424427">
        <w:trPr>
          <w:trHeight w:val="1874"/>
        </w:trPr>
        <w:tc>
          <w:tcPr>
            <w:tcW w:w="3114" w:type="dxa"/>
            <w:vAlign w:val="center"/>
          </w:tcPr>
          <w:p w:rsidR="00F30CF1" w:rsidRPr="00C46F79" w:rsidRDefault="00F30CF1" w:rsidP="00424427">
            <w:pPr>
              <w:spacing w:line="276" w:lineRule="auto"/>
              <w:jc w:val="both"/>
              <w:rPr>
                <w:rFonts w:ascii="Arial" w:hAnsi="Arial" w:cs="Arial"/>
              </w:rPr>
            </w:pPr>
            <w:r>
              <w:rPr>
                <w:rFonts w:ascii="Arial" w:hAnsi="Arial" w:cs="Arial"/>
              </w:rPr>
              <w:t>Diagnóstico Comunitario de Isla Caballo Puntarenas.</w:t>
            </w:r>
          </w:p>
        </w:tc>
        <w:tc>
          <w:tcPr>
            <w:tcW w:w="4961" w:type="dxa"/>
            <w:vAlign w:val="center"/>
          </w:tcPr>
          <w:p w:rsidR="00F30CF1" w:rsidRPr="00C46F79" w:rsidRDefault="00F30CF1" w:rsidP="00424427">
            <w:pPr>
              <w:spacing w:line="276" w:lineRule="auto"/>
              <w:jc w:val="both"/>
              <w:rPr>
                <w:rFonts w:ascii="Arial" w:hAnsi="Arial" w:cs="Arial"/>
              </w:rPr>
            </w:pPr>
            <w:r>
              <w:rPr>
                <w:rFonts w:ascii="Arial" w:hAnsi="Arial" w:cs="Arial"/>
              </w:rPr>
              <w:t>Expone un diagnóstico comunitario de Isla Caballo en el Golfo de Nicoya. Se descirbe de manera general las principales problemáticas de la zona.</w:t>
            </w:r>
          </w:p>
        </w:tc>
        <w:tc>
          <w:tcPr>
            <w:tcW w:w="2835" w:type="dxa"/>
            <w:vAlign w:val="center"/>
          </w:tcPr>
          <w:p w:rsidR="00F30CF1" w:rsidRDefault="00F30CF1" w:rsidP="00424427">
            <w:pPr>
              <w:spacing w:line="276" w:lineRule="auto"/>
              <w:jc w:val="both"/>
              <w:rPr>
                <w:rFonts w:ascii="Arial" w:hAnsi="Arial" w:cs="Arial"/>
              </w:rPr>
            </w:pPr>
            <w:r>
              <w:rPr>
                <w:rFonts w:ascii="Arial" w:hAnsi="Arial" w:cs="Arial"/>
              </w:rPr>
              <w:t>Aguilar Aguilar Luis Fernando.</w:t>
            </w:r>
          </w:p>
          <w:p w:rsidR="00F30CF1" w:rsidRPr="00C46F79" w:rsidRDefault="00F30CF1" w:rsidP="00424427">
            <w:pPr>
              <w:spacing w:line="276" w:lineRule="auto"/>
              <w:jc w:val="both"/>
              <w:rPr>
                <w:rFonts w:ascii="Arial" w:hAnsi="Arial" w:cs="Arial"/>
              </w:rPr>
            </w:pPr>
            <w:r>
              <w:rPr>
                <w:rFonts w:ascii="Arial" w:hAnsi="Arial" w:cs="Arial"/>
              </w:rPr>
              <w:t>Zárate Sánchez Roberto.</w:t>
            </w:r>
          </w:p>
        </w:tc>
        <w:tc>
          <w:tcPr>
            <w:tcW w:w="2052" w:type="dxa"/>
            <w:vAlign w:val="center"/>
          </w:tcPr>
          <w:p w:rsidR="00F30CF1" w:rsidRPr="00C46F79" w:rsidRDefault="00F30CF1" w:rsidP="00424427">
            <w:pPr>
              <w:spacing w:line="276" w:lineRule="auto"/>
              <w:jc w:val="center"/>
              <w:rPr>
                <w:rFonts w:ascii="Arial" w:hAnsi="Arial" w:cs="Arial"/>
              </w:rPr>
            </w:pPr>
            <w:r>
              <w:rPr>
                <w:rFonts w:ascii="Arial" w:hAnsi="Arial" w:cs="Arial"/>
              </w:rPr>
              <w:t>2016</w:t>
            </w:r>
          </w:p>
        </w:tc>
      </w:tr>
      <w:tr w:rsidR="00F30CF1" w:rsidRPr="00C46F79" w:rsidTr="00424427">
        <w:trPr>
          <w:trHeight w:val="2030"/>
        </w:trPr>
        <w:tc>
          <w:tcPr>
            <w:tcW w:w="3114" w:type="dxa"/>
            <w:vAlign w:val="center"/>
          </w:tcPr>
          <w:p w:rsidR="00F30CF1" w:rsidRPr="00C46F79" w:rsidRDefault="00F30CF1" w:rsidP="00424427">
            <w:pPr>
              <w:spacing w:line="276" w:lineRule="auto"/>
              <w:jc w:val="both"/>
              <w:rPr>
                <w:rFonts w:ascii="Arial" w:hAnsi="Arial" w:cs="Arial"/>
              </w:rPr>
            </w:pPr>
            <w:r>
              <w:rPr>
                <w:rFonts w:ascii="Arial" w:hAnsi="Arial" w:cs="Arial"/>
              </w:rPr>
              <w:t>Diagnóstico Final del AMPR Paquera – Tambor</w:t>
            </w:r>
          </w:p>
        </w:tc>
        <w:tc>
          <w:tcPr>
            <w:tcW w:w="4961" w:type="dxa"/>
            <w:vAlign w:val="center"/>
          </w:tcPr>
          <w:p w:rsidR="00F30CF1" w:rsidRPr="00C46F79" w:rsidRDefault="00F30CF1" w:rsidP="00424427">
            <w:pPr>
              <w:spacing w:line="276" w:lineRule="auto"/>
              <w:jc w:val="both"/>
              <w:rPr>
                <w:rFonts w:ascii="Arial" w:hAnsi="Arial" w:cs="Arial"/>
              </w:rPr>
            </w:pPr>
            <w:r>
              <w:rPr>
                <w:rFonts w:ascii="Arial" w:hAnsi="Arial" w:cs="Arial"/>
              </w:rPr>
              <w:t>Se conoce</w:t>
            </w:r>
            <w:r w:rsidRPr="00E87E21">
              <w:rPr>
                <w:rFonts w:ascii="Arial" w:hAnsi="Arial" w:cs="Arial"/>
              </w:rPr>
              <w:t xml:space="preserve"> un poco más a fondo la comunidad</w:t>
            </w:r>
            <w:r>
              <w:rPr>
                <w:rFonts w:ascii="Arial" w:hAnsi="Arial" w:cs="Arial"/>
              </w:rPr>
              <w:t xml:space="preserve"> de Tambor</w:t>
            </w:r>
            <w:r w:rsidRPr="00E87E21">
              <w:rPr>
                <w:rFonts w:ascii="Arial" w:hAnsi="Arial" w:cs="Arial"/>
              </w:rPr>
              <w:t>, principalmente la realidad de vida de los grupos pescadores o pescadoras</w:t>
            </w:r>
            <w:r>
              <w:rPr>
                <w:rFonts w:ascii="Arial" w:hAnsi="Arial" w:cs="Arial"/>
              </w:rPr>
              <w:t>.</w:t>
            </w:r>
          </w:p>
        </w:tc>
        <w:tc>
          <w:tcPr>
            <w:tcW w:w="2835" w:type="dxa"/>
            <w:vAlign w:val="center"/>
          </w:tcPr>
          <w:p w:rsidR="00F30CF1" w:rsidRDefault="00F30CF1" w:rsidP="00424427">
            <w:pPr>
              <w:spacing w:line="276" w:lineRule="auto"/>
              <w:jc w:val="both"/>
              <w:rPr>
                <w:rFonts w:ascii="Arial" w:hAnsi="Arial" w:cs="Arial"/>
              </w:rPr>
            </w:pPr>
            <w:r>
              <w:rPr>
                <w:rFonts w:ascii="Arial" w:hAnsi="Arial" w:cs="Arial"/>
              </w:rPr>
              <w:t>Gamboa Chavarría Yendry.</w:t>
            </w:r>
          </w:p>
          <w:p w:rsidR="00F30CF1" w:rsidRPr="00C46F79" w:rsidRDefault="00F30CF1" w:rsidP="00424427">
            <w:pPr>
              <w:spacing w:line="276" w:lineRule="auto"/>
              <w:jc w:val="both"/>
              <w:rPr>
                <w:rFonts w:ascii="Arial" w:hAnsi="Arial" w:cs="Arial"/>
              </w:rPr>
            </w:pPr>
            <w:r>
              <w:rPr>
                <w:rFonts w:ascii="Arial" w:hAnsi="Arial" w:cs="Arial"/>
              </w:rPr>
              <w:t>Rojas Madrigal Ileana.</w:t>
            </w:r>
          </w:p>
        </w:tc>
        <w:tc>
          <w:tcPr>
            <w:tcW w:w="2052" w:type="dxa"/>
            <w:vAlign w:val="center"/>
          </w:tcPr>
          <w:p w:rsidR="00F30CF1" w:rsidRPr="00C46F79" w:rsidRDefault="00F30CF1" w:rsidP="00424427">
            <w:pPr>
              <w:spacing w:line="276" w:lineRule="auto"/>
              <w:jc w:val="center"/>
              <w:rPr>
                <w:rFonts w:ascii="Arial" w:hAnsi="Arial" w:cs="Arial"/>
              </w:rPr>
            </w:pPr>
            <w:r>
              <w:rPr>
                <w:rFonts w:ascii="Arial" w:hAnsi="Arial" w:cs="Arial"/>
              </w:rPr>
              <w:t>2016</w:t>
            </w:r>
          </w:p>
        </w:tc>
      </w:tr>
      <w:tr w:rsidR="00F30CF1" w:rsidRPr="00C46F79" w:rsidTr="00424427">
        <w:trPr>
          <w:trHeight w:val="3037"/>
        </w:trPr>
        <w:tc>
          <w:tcPr>
            <w:tcW w:w="3114" w:type="dxa"/>
            <w:vAlign w:val="center"/>
          </w:tcPr>
          <w:p w:rsidR="00F30CF1" w:rsidRPr="00C46F79" w:rsidRDefault="00F30CF1" w:rsidP="00424427">
            <w:pPr>
              <w:spacing w:line="276" w:lineRule="auto"/>
              <w:jc w:val="both"/>
              <w:rPr>
                <w:rFonts w:ascii="Arial" w:hAnsi="Arial" w:cs="Arial"/>
              </w:rPr>
            </w:pPr>
            <w:r>
              <w:rPr>
                <w:rFonts w:ascii="Arial" w:hAnsi="Arial" w:cs="Arial"/>
              </w:rPr>
              <w:t>Diagnóstico Organizacional APEP y ABUZPA</w:t>
            </w:r>
          </w:p>
        </w:tc>
        <w:tc>
          <w:tcPr>
            <w:tcW w:w="4961" w:type="dxa"/>
            <w:vAlign w:val="center"/>
          </w:tcPr>
          <w:p w:rsidR="00F30CF1" w:rsidRPr="00C46F79" w:rsidRDefault="00F30CF1" w:rsidP="00424427">
            <w:pPr>
              <w:spacing w:line="276" w:lineRule="auto"/>
              <w:jc w:val="both"/>
              <w:rPr>
                <w:rFonts w:ascii="Arial" w:hAnsi="Arial" w:cs="Arial"/>
              </w:rPr>
            </w:pPr>
            <w:r>
              <w:rPr>
                <w:rFonts w:ascii="Arial" w:hAnsi="Arial" w:cs="Arial"/>
              </w:rPr>
              <w:t>Consiste en una visualización a</w:t>
            </w:r>
            <w:r w:rsidRPr="00E87E21">
              <w:rPr>
                <w:rFonts w:ascii="Arial" w:hAnsi="Arial" w:cs="Arial"/>
              </w:rPr>
              <w:t xml:space="preserve"> la Asociación de Pescadores de Paquera (APEP) y a la Asociación de Buzos de Paquera (ABUZPA) de modo que se conozca a profundidad y detalle el trabajo que realizan dichas asociaciones en el Área Marina de Pesca Responsable Paquera—Tambor.</w:t>
            </w:r>
          </w:p>
        </w:tc>
        <w:tc>
          <w:tcPr>
            <w:tcW w:w="2835" w:type="dxa"/>
            <w:vAlign w:val="center"/>
          </w:tcPr>
          <w:p w:rsidR="00F30CF1" w:rsidRDefault="00F30CF1" w:rsidP="00424427">
            <w:pPr>
              <w:spacing w:line="276" w:lineRule="auto"/>
              <w:jc w:val="both"/>
              <w:rPr>
                <w:rFonts w:ascii="Arial" w:hAnsi="Arial" w:cs="Arial"/>
              </w:rPr>
            </w:pPr>
            <w:r>
              <w:rPr>
                <w:rFonts w:ascii="Arial" w:hAnsi="Arial" w:cs="Arial"/>
              </w:rPr>
              <w:t>Ceciliano Cordeno Joselyn.</w:t>
            </w:r>
          </w:p>
          <w:p w:rsidR="00F30CF1" w:rsidRDefault="00F30CF1" w:rsidP="00424427">
            <w:pPr>
              <w:spacing w:line="276" w:lineRule="auto"/>
              <w:jc w:val="both"/>
              <w:rPr>
                <w:rFonts w:ascii="Arial" w:hAnsi="Arial" w:cs="Arial"/>
              </w:rPr>
            </w:pPr>
            <w:r>
              <w:rPr>
                <w:rFonts w:ascii="Arial" w:hAnsi="Arial" w:cs="Arial"/>
              </w:rPr>
              <w:t>Guillén Miranda Melanie.</w:t>
            </w:r>
          </w:p>
          <w:p w:rsidR="00F30CF1" w:rsidRPr="00C46F79" w:rsidRDefault="00F30CF1" w:rsidP="00424427">
            <w:pPr>
              <w:spacing w:line="276" w:lineRule="auto"/>
              <w:jc w:val="both"/>
              <w:rPr>
                <w:rFonts w:ascii="Arial" w:hAnsi="Arial" w:cs="Arial"/>
              </w:rPr>
            </w:pPr>
            <w:r>
              <w:rPr>
                <w:rFonts w:ascii="Arial" w:hAnsi="Arial" w:cs="Arial"/>
              </w:rPr>
              <w:t>Vargas García Nicole.</w:t>
            </w:r>
          </w:p>
        </w:tc>
        <w:tc>
          <w:tcPr>
            <w:tcW w:w="2052" w:type="dxa"/>
            <w:vAlign w:val="center"/>
          </w:tcPr>
          <w:p w:rsidR="00F30CF1" w:rsidRPr="00C46F79" w:rsidRDefault="00F30CF1" w:rsidP="00424427">
            <w:pPr>
              <w:spacing w:line="276" w:lineRule="auto"/>
              <w:jc w:val="center"/>
              <w:rPr>
                <w:rFonts w:ascii="Arial" w:hAnsi="Arial" w:cs="Arial"/>
              </w:rPr>
            </w:pPr>
            <w:r>
              <w:rPr>
                <w:rFonts w:ascii="Arial" w:hAnsi="Arial" w:cs="Arial"/>
              </w:rPr>
              <w:t>2016</w:t>
            </w:r>
          </w:p>
        </w:tc>
      </w:tr>
      <w:tr w:rsidR="00F30CF1" w:rsidRPr="00C46F79" w:rsidTr="00424427">
        <w:trPr>
          <w:trHeight w:val="2688"/>
        </w:trPr>
        <w:tc>
          <w:tcPr>
            <w:tcW w:w="3114" w:type="dxa"/>
            <w:vAlign w:val="center"/>
          </w:tcPr>
          <w:p w:rsidR="00F30CF1" w:rsidRPr="00C46F79" w:rsidRDefault="00F30CF1" w:rsidP="00424427">
            <w:pPr>
              <w:spacing w:line="276" w:lineRule="auto"/>
              <w:jc w:val="both"/>
              <w:rPr>
                <w:rFonts w:ascii="Arial" w:hAnsi="Arial" w:cs="Arial"/>
              </w:rPr>
            </w:pPr>
            <w:r>
              <w:rPr>
                <w:rFonts w:ascii="Arial" w:hAnsi="Arial" w:cs="Arial"/>
              </w:rPr>
              <w:lastRenderedPageBreak/>
              <w:t>Diagnóstico Paya Blanca, Paquera, Puntarenas.</w:t>
            </w:r>
          </w:p>
        </w:tc>
        <w:tc>
          <w:tcPr>
            <w:tcW w:w="4961" w:type="dxa"/>
            <w:vAlign w:val="center"/>
          </w:tcPr>
          <w:p w:rsidR="00F30CF1" w:rsidRPr="00C46F79" w:rsidRDefault="00F30CF1" w:rsidP="00424427">
            <w:pPr>
              <w:spacing w:line="276" w:lineRule="auto"/>
              <w:jc w:val="both"/>
              <w:rPr>
                <w:rFonts w:ascii="Arial" w:hAnsi="Arial" w:cs="Arial"/>
              </w:rPr>
            </w:pPr>
            <w:r w:rsidRPr="00E87E21">
              <w:rPr>
                <w:rFonts w:ascii="Arial" w:hAnsi="Arial" w:cs="Arial"/>
              </w:rPr>
              <w:t>El siguiente documento contiene el diagnóstico realizado en los meses de febrero a junio del año 2016, en la comunidad de Playa Blanca, perteneciente al distrito de Paquera, Puntarenas. Dicho diagnóstico se realiza en conjunto con las asociaciones de la comunidad; la Asociación de Pescadores y Pescadoras y la Asociación de Mujeres “Nueva Vida”.</w:t>
            </w:r>
          </w:p>
        </w:tc>
        <w:tc>
          <w:tcPr>
            <w:tcW w:w="2835" w:type="dxa"/>
            <w:vAlign w:val="center"/>
          </w:tcPr>
          <w:p w:rsidR="00F30CF1" w:rsidRDefault="00F30CF1" w:rsidP="00424427">
            <w:pPr>
              <w:spacing w:line="276" w:lineRule="auto"/>
              <w:jc w:val="both"/>
              <w:rPr>
                <w:rFonts w:ascii="Arial" w:hAnsi="Arial" w:cs="Arial"/>
              </w:rPr>
            </w:pPr>
            <w:r>
              <w:rPr>
                <w:rFonts w:ascii="Arial" w:hAnsi="Arial" w:cs="Arial"/>
              </w:rPr>
              <w:t>Morales Fonseca Sofía.</w:t>
            </w:r>
          </w:p>
          <w:p w:rsidR="00F30CF1" w:rsidRPr="00C46F79" w:rsidRDefault="00F30CF1" w:rsidP="00424427">
            <w:pPr>
              <w:spacing w:line="276" w:lineRule="auto"/>
              <w:jc w:val="both"/>
              <w:rPr>
                <w:rFonts w:ascii="Arial" w:hAnsi="Arial" w:cs="Arial"/>
              </w:rPr>
            </w:pPr>
            <w:r>
              <w:rPr>
                <w:rFonts w:ascii="Arial" w:hAnsi="Arial" w:cs="Arial"/>
              </w:rPr>
              <w:t>Solano Madrigal Daniela.</w:t>
            </w:r>
          </w:p>
        </w:tc>
        <w:tc>
          <w:tcPr>
            <w:tcW w:w="2052" w:type="dxa"/>
            <w:vAlign w:val="center"/>
          </w:tcPr>
          <w:p w:rsidR="00F30CF1" w:rsidRPr="00C46F79" w:rsidRDefault="00F30CF1" w:rsidP="00424427">
            <w:pPr>
              <w:spacing w:line="276" w:lineRule="auto"/>
              <w:jc w:val="center"/>
              <w:rPr>
                <w:rFonts w:ascii="Arial" w:hAnsi="Arial" w:cs="Arial"/>
              </w:rPr>
            </w:pPr>
            <w:r>
              <w:rPr>
                <w:rFonts w:ascii="Arial" w:hAnsi="Arial" w:cs="Arial"/>
              </w:rPr>
              <w:t>2016</w:t>
            </w:r>
          </w:p>
        </w:tc>
      </w:tr>
      <w:tr w:rsidR="00F30CF1" w:rsidRPr="00C46F79" w:rsidTr="00424427">
        <w:trPr>
          <w:trHeight w:val="2174"/>
        </w:trPr>
        <w:tc>
          <w:tcPr>
            <w:tcW w:w="3114" w:type="dxa"/>
            <w:vAlign w:val="center"/>
          </w:tcPr>
          <w:p w:rsidR="00F30CF1" w:rsidRPr="00C46F79" w:rsidRDefault="00F30CF1" w:rsidP="00424427">
            <w:pPr>
              <w:spacing w:line="276" w:lineRule="auto"/>
              <w:jc w:val="both"/>
              <w:rPr>
                <w:rFonts w:ascii="Arial" w:hAnsi="Arial" w:cs="Arial"/>
              </w:rPr>
            </w:pPr>
            <w:r w:rsidRPr="00155CA8">
              <w:rPr>
                <w:rFonts w:ascii="Arial" w:hAnsi="Arial" w:cs="Arial"/>
              </w:rPr>
              <w:t>Proyecto de Gestión Comunitaria para el Fortalecimiento Productivo de la Áreas Marinas de Pesca Responsable del Golfo de Nicoya</w:t>
            </w:r>
          </w:p>
        </w:tc>
        <w:tc>
          <w:tcPr>
            <w:tcW w:w="4961" w:type="dxa"/>
            <w:vAlign w:val="center"/>
          </w:tcPr>
          <w:p w:rsidR="00F30CF1" w:rsidRPr="00C46F79" w:rsidRDefault="00F30CF1" w:rsidP="00424427">
            <w:pPr>
              <w:spacing w:line="276" w:lineRule="auto"/>
              <w:jc w:val="both"/>
              <w:rPr>
                <w:rFonts w:ascii="Arial" w:hAnsi="Arial" w:cs="Arial"/>
              </w:rPr>
            </w:pPr>
            <w:r>
              <w:rPr>
                <w:rFonts w:ascii="Arial" w:hAnsi="Arial" w:cs="Arial"/>
              </w:rPr>
              <w:t>Describe los procesos de fortalecimiento productivo en la AMPR</w:t>
            </w:r>
          </w:p>
        </w:tc>
        <w:tc>
          <w:tcPr>
            <w:tcW w:w="2835" w:type="dxa"/>
            <w:vAlign w:val="center"/>
          </w:tcPr>
          <w:p w:rsidR="00F30CF1" w:rsidRDefault="00F30CF1" w:rsidP="00424427">
            <w:pPr>
              <w:spacing w:line="276" w:lineRule="auto"/>
              <w:jc w:val="both"/>
              <w:rPr>
                <w:rFonts w:ascii="Arial" w:hAnsi="Arial" w:cs="Arial"/>
              </w:rPr>
            </w:pPr>
            <w:r w:rsidRPr="008A3DEE">
              <w:rPr>
                <w:rFonts w:ascii="Arial" w:hAnsi="Arial" w:cs="Arial"/>
              </w:rPr>
              <w:t>Barrantes, P.</w:t>
            </w:r>
          </w:p>
          <w:p w:rsidR="00F30CF1" w:rsidRDefault="00F30CF1" w:rsidP="00424427">
            <w:pPr>
              <w:spacing w:line="276" w:lineRule="auto"/>
              <w:jc w:val="both"/>
              <w:rPr>
                <w:rFonts w:ascii="Arial" w:hAnsi="Arial" w:cs="Arial"/>
              </w:rPr>
            </w:pPr>
            <w:r>
              <w:rPr>
                <w:rFonts w:ascii="Arial" w:hAnsi="Arial" w:cs="Arial"/>
              </w:rPr>
              <w:t>Chaves, M.</w:t>
            </w:r>
          </w:p>
          <w:p w:rsidR="00F30CF1" w:rsidRPr="00C46F79" w:rsidRDefault="00F30CF1" w:rsidP="00424427">
            <w:pPr>
              <w:spacing w:line="276" w:lineRule="auto"/>
              <w:jc w:val="both"/>
              <w:rPr>
                <w:rFonts w:ascii="Arial" w:hAnsi="Arial" w:cs="Arial"/>
              </w:rPr>
            </w:pPr>
            <w:r w:rsidRPr="008A3DEE">
              <w:rPr>
                <w:rFonts w:ascii="Arial" w:hAnsi="Arial" w:cs="Arial"/>
              </w:rPr>
              <w:t>Salazar, M</w:t>
            </w:r>
          </w:p>
        </w:tc>
        <w:tc>
          <w:tcPr>
            <w:tcW w:w="2052" w:type="dxa"/>
            <w:vAlign w:val="center"/>
          </w:tcPr>
          <w:p w:rsidR="00F30CF1" w:rsidRPr="00C46F79" w:rsidRDefault="00F30CF1" w:rsidP="00424427">
            <w:pPr>
              <w:spacing w:line="276" w:lineRule="auto"/>
              <w:jc w:val="center"/>
              <w:rPr>
                <w:rFonts w:ascii="Arial" w:hAnsi="Arial" w:cs="Arial"/>
              </w:rPr>
            </w:pPr>
            <w:r>
              <w:rPr>
                <w:rFonts w:ascii="Arial" w:hAnsi="Arial" w:cs="Arial"/>
              </w:rPr>
              <w:t>2017</w:t>
            </w:r>
          </w:p>
        </w:tc>
      </w:tr>
      <w:tr w:rsidR="00F30CF1" w:rsidRPr="00C46F79" w:rsidTr="00424427">
        <w:trPr>
          <w:trHeight w:val="3055"/>
        </w:trPr>
        <w:tc>
          <w:tcPr>
            <w:tcW w:w="3114" w:type="dxa"/>
            <w:vAlign w:val="center"/>
          </w:tcPr>
          <w:p w:rsidR="00F30CF1" w:rsidRPr="00C46F79" w:rsidRDefault="00F30CF1" w:rsidP="00424427">
            <w:pPr>
              <w:spacing w:line="276" w:lineRule="auto"/>
              <w:jc w:val="both"/>
              <w:rPr>
                <w:rFonts w:ascii="Arial" w:hAnsi="Arial" w:cs="Arial"/>
              </w:rPr>
            </w:pPr>
            <w:r w:rsidRPr="008A3DEE">
              <w:rPr>
                <w:rFonts w:ascii="Arial" w:hAnsi="Arial" w:cs="Arial"/>
              </w:rPr>
              <w:t>Propuesta de Perfil de Proyecto de Inversión de Mercadito Santa Teresa</w:t>
            </w:r>
          </w:p>
        </w:tc>
        <w:tc>
          <w:tcPr>
            <w:tcW w:w="4961" w:type="dxa"/>
            <w:vAlign w:val="center"/>
          </w:tcPr>
          <w:p w:rsidR="00F30CF1" w:rsidRPr="00C46F79" w:rsidRDefault="00F30CF1" w:rsidP="00424427">
            <w:pPr>
              <w:spacing w:line="276" w:lineRule="auto"/>
              <w:jc w:val="both"/>
              <w:rPr>
                <w:rFonts w:ascii="Arial" w:hAnsi="Arial" w:cs="Arial"/>
              </w:rPr>
            </w:pPr>
            <w:r>
              <w:rPr>
                <w:rFonts w:ascii="Arial" w:hAnsi="Arial" w:cs="Arial"/>
              </w:rPr>
              <w:t>T</w:t>
            </w:r>
            <w:r w:rsidRPr="008A3DEE">
              <w:rPr>
                <w:rFonts w:ascii="Arial" w:hAnsi="Arial" w:cs="Arial"/>
              </w:rPr>
              <w:t>rata sobre un Mercadito en Santa Teresa, Cóbano,</w:t>
            </w:r>
            <w:r>
              <w:rPr>
                <w:rFonts w:ascii="Arial" w:hAnsi="Arial" w:cs="Arial"/>
              </w:rPr>
              <w:t xml:space="preserve"> que se orienta a comercializar </w:t>
            </w:r>
            <w:r w:rsidRPr="008A3DEE">
              <w:rPr>
                <w:rFonts w:ascii="Arial" w:hAnsi="Arial" w:cs="Arial"/>
              </w:rPr>
              <w:t>y distribuir el producto pesquero en la Área Marina de Pesca Responsab</w:t>
            </w:r>
            <w:r>
              <w:rPr>
                <w:rFonts w:ascii="Arial" w:hAnsi="Arial" w:cs="Arial"/>
              </w:rPr>
              <w:t>le en Paquera y en las diversas c</w:t>
            </w:r>
            <w:r w:rsidRPr="008A3DEE">
              <w:rPr>
                <w:rFonts w:ascii="Arial" w:hAnsi="Arial" w:cs="Arial"/>
              </w:rPr>
              <w:t>omunidades vecinas de gran atractivo turístico.</w:t>
            </w:r>
          </w:p>
        </w:tc>
        <w:tc>
          <w:tcPr>
            <w:tcW w:w="2835" w:type="dxa"/>
            <w:vAlign w:val="center"/>
          </w:tcPr>
          <w:p w:rsidR="00F30CF1" w:rsidRDefault="00F30CF1" w:rsidP="00424427">
            <w:pPr>
              <w:spacing w:line="276" w:lineRule="auto"/>
              <w:jc w:val="both"/>
              <w:rPr>
                <w:rFonts w:ascii="Arial" w:hAnsi="Arial" w:cs="Arial"/>
                <w:sz w:val="24"/>
              </w:rPr>
            </w:pPr>
            <w:r>
              <w:rPr>
                <w:rFonts w:ascii="Arial" w:hAnsi="Arial" w:cs="Arial"/>
                <w:sz w:val="24"/>
              </w:rPr>
              <w:t>Brenes, J.</w:t>
            </w:r>
          </w:p>
          <w:p w:rsidR="00F30CF1" w:rsidRDefault="00F30CF1" w:rsidP="00424427">
            <w:pPr>
              <w:spacing w:line="276" w:lineRule="auto"/>
              <w:jc w:val="both"/>
              <w:rPr>
                <w:rFonts w:ascii="Arial" w:hAnsi="Arial" w:cs="Arial"/>
                <w:sz w:val="24"/>
              </w:rPr>
            </w:pPr>
            <w:r>
              <w:rPr>
                <w:rFonts w:ascii="Arial" w:hAnsi="Arial" w:cs="Arial"/>
                <w:sz w:val="24"/>
              </w:rPr>
              <w:t>Murillo, J.</w:t>
            </w:r>
          </w:p>
          <w:p w:rsidR="00F30CF1" w:rsidRPr="00C46F79" w:rsidRDefault="00F30CF1" w:rsidP="00424427">
            <w:pPr>
              <w:spacing w:line="276" w:lineRule="auto"/>
              <w:jc w:val="both"/>
              <w:rPr>
                <w:rFonts w:ascii="Arial" w:hAnsi="Arial" w:cs="Arial"/>
              </w:rPr>
            </w:pPr>
            <w:r w:rsidRPr="00940D26">
              <w:rPr>
                <w:rFonts w:ascii="Arial" w:hAnsi="Arial" w:cs="Arial"/>
                <w:sz w:val="24"/>
              </w:rPr>
              <w:t>Padilla, N</w:t>
            </w:r>
          </w:p>
        </w:tc>
        <w:tc>
          <w:tcPr>
            <w:tcW w:w="2052" w:type="dxa"/>
            <w:vAlign w:val="center"/>
          </w:tcPr>
          <w:p w:rsidR="00F30CF1" w:rsidRPr="00C46F79" w:rsidRDefault="00F30CF1" w:rsidP="00424427">
            <w:pPr>
              <w:spacing w:line="276" w:lineRule="auto"/>
              <w:jc w:val="center"/>
              <w:rPr>
                <w:rFonts w:ascii="Arial" w:hAnsi="Arial" w:cs="Arial"/>
              </w:rPr>
            </w:pPr>
            <w:r>
              <w:rPr>
                <w:rFonts w:ascii="Arial" w:hAnsi="Arial" w:cs="Arial"/>
              </w:rPr>
              <w:t>2019</w:t>
            </w:r>
          </w:p>
        </w:tc>
      </w:tr>
      <w:tr w:rsidR="00F30CF1" w:rsidRPr="00C46F79" w:rsidTr="00424427">
        <w:trPr>
          <w:trHeight w:val="1159"/>
        </w:trPr>
        <w:tc>
          <w:tcPr>
            <w:tcW w:w="3114" w:type="dxa"/>
            <w:vAlign w:val="center"/>
          </w:tcPr>
          <w:p w:rsidR="00F30CF1" w:rsidRPr="00C46F79" w:rsidRDefault="00F30CF1" w:rsidP="00424427">
            <w:pPr>
              <w:spacing w:line="276" w:lineRule="auto"/>
              <w:jc w:val="both"/>
              <w:rPr>
                <w:rFonts w:ascii="Arial" w:hAnsi="Arial" w:cs="Arial"/>
              </w:rPr>
            </w:pPr>
            <w:r w:rsidRPr="008A3DEE">
              <w:rPr>
                <w:rFonts w:ascii="Arial" w:hAnsi="Arial" w:cs="Arial"/>
              </w:rPr>
              <w:lastRenderedPageBreak/>
              <w:t>Promoción de herramientas organizativas, de planificación y fomento del capital social para el desarrollo comunal: en el caso de la comunidad del El Jardín, Páramo, Pérez Zeledón</w:t>
            </w:r>
            <w:r>
              <w:rPr>
                <w:rFonts w:ascii="Arial" w:hAnsi="Arial" w:cs="Arial"/>
              </w:rPr>
              <w:t>.</w:t>
            </w:r>
          </w:p>
        </w:tc>
        <w:tc>
          <w:tcPr>
            <w:tcW w:w="4961" w:type="dxa"/>
            <w:vAlign w:val="center"/>
          </w:tcPr>
          <w:p w:rsidR="00F30CF1" w:rsidRPr="00C46F79" w:rsidRDefault="00F30CF1" w:rsidP="00424427">
            <w:pPr>
              <w:spacing w:line="276" w:lineRule="auto"/>
              <w:jc w:val="both"/>
              <w:rPr>
                <w:rFonts w:ascii="Arial" w:hAnsi="Arial" w:cs="Arial"/>
              </w:rPr>
            </w:pPr>
            <w:r w:rsidRPr="008A3DEE">
              <w:rPr>
                <w:rFonts w:ascii="Arial" w:hAnsi="Arial" w:cs="Arial"/>
              </w:rPr>
              <w:t>Promoción de herramientas organizativas, de planificación y fomento del capital social para el desarrollo comunal: en el caso de la comunidad del El Jardín, Páramo, Pérez Zeledón</w:t>
            </w:r>
          </w:p>
        </w:tc>
        <w:tc>
          <w:tcPr>
            <w:tcW w:w="2835" w:type="dxa"/>
            <w:vAlign w:val="center"/>
          </w:tcPr>
          <w:p w:rsidR="00F30CF1" w:rsidRPr="00C46F79" w:rsidRDefault="00F30CF1" w:rsidP="00424427">
            <w:pPr>
              <w:spacing w:line="276" w:lineRule="auto"/>
              <w:jc w:val="both"/>
              <w:rPr>
                <w:rFonts w:ascii="Arial" w:hAnsi="Arial" w:cs="Arial"/>
              </w:rPr>
            </w:pPr>
            <w:r>
              <w:rPr>
                <w:rFonts w:ascii="Arial" w:hAnsi="Arial" w:cs="Arial"/>
              </w:rPr>
              <w:t>Gamboa Gamboa Miguel</w:t>
            </w:r>
          </w:p>
        </w:tc>
        <w:tc>
          <w:tcPr>
            <w:tcW w:w="2052" w:type="dxa"/>
            <w:vAlign w:val="center"/>
          </w:tcPr>
          <w:p w:rsidR="00F30CF1" w:rsidRPr="00C46F79" w:rsidRDefault="00F30CF1" w:rsidP="00424427">
            <w:pPr>
              <w:spacing w:line="276" w:lineRule="auto"/>
              <w:jc w:val="center"/>
              <w:rPr>
                <w:rFonts w:ascii="Arial" w:hAnsi="Arial" w:cs="Arial"/>
              </w:rPr>
            </w:pPr>
            <w:r>
              <w:rPr>
                <w:rFonts w:ascii="Arial" w:hAnsi="Arial" w:cs="Arial"/>
              </w:rPr>
              <w:t>2015</w:t>
            </w:r>
          </w:p>
        </w:tc>
      </w:tr>
      <w:tr w:rsidR="00F30CF1" w:rsidRPr="00C46F79" w:rsidTr="00424427">
        <w:trPr>
          <w:trHeight w:val="1488"/>
        </w:trPr>
        <w:tc>
          <w:tcPr>
            <w:tcW w:w="3114" w:type="dxa"/>
            <w:vAlign w:val="center"/>
          </w:tcPr>
          <w:p w:rsidR="00F30CF1" w:rsidRPr="00C46F79" w:rsidRDefault="00F30CF1" w:rsidP="00424427">
            <w:pPr>
              <w:spacing w:line="276" w:lineRule="auto"/>
              <w:jc w:val="both"/>
              <w:rPr>
                <w:rFonts w:ascii="Arial" w:hAnsi="Arial" w:cs="Arial"/>
              </w:rPr>
            </w:pPr>
            <w:r w:rsidRPr="008A3DEE">
              <w:rPr>
                <w:rFonts w:ascii="Arial" w:hAnsi="Arial" w:cs="Arial"/>
              </w:rPr>
              <w:t>Anarquismo, sociabilidad obrera y redes intelectuales en Costa Rica.</w:t>
            </w:r>
          </w:p>
        </w:tc>
        <w:tc>
          <w:tcPr>
            <w:tcW w:w="4961" w:type="dxa"/>
            <w:vAlign w:val="center"/>
          </w:tcPr>
          <w:p w:rsidR="00F30CF1" w:rsidRPr="00C46F79" w:rsidRDefault="00F30CF1" w:rsidP="00424427">
            <w:pPr>
              <w:spacing w:line="276" w:lineRule="auto"/>
              <w:jc w:val="both"/>
              <w:rPr>
                <w:rFonts w:ascii="Arial" w:hAnsi="Arial" w:cs="Arial"/>
              </w:rPr>
            </w:pPr>
            <w:r w:rsidRPr="008A3DEE">
              <w:rPr>
                <w:rFonts w:ascii="Arial" w:hAnsi="Arial" w:cs="Arial"/>
              </w:rPr>
              <w:t>Anarquismo, sociabilidad obrera y redes intelectuales en Costa Rica.</w:t>
            </w:r>
          </w:p>
        </w:tc>
        <w:tc>
          <w:tcPr>
            <w:tcW w:w="2835" w:type="dxa"/>
            <w:vAlign w:val="center"/>
          </w:tcPr>
          <w:p w:rsidR="00F30CF1" w:rsidRPr="00C46F79" w:rsidRDefault="00F30CF1" w:rsidP="00424427">
            <w:pPr>
              <w:spacing w:line="276" w:lineRule="auto"/>
              <w:jc w:val="both"/>
              <w:rPr>
                <w:rFonts w:ascii="Arial" w:hAnsi="Arial" w:cs="Arial"/>
              </w:rPr>
            </w:pPr>
            <w:r>
              <w:rPr>
                <w:rFonts w:ascii="Arial" w:hAnsi="Arial" w:cs="Arial"/>
              </w:rPr>
              <w:t>José Julian Llaguno Thoma</w:t>
            </w:r>
          </w:p>
        </w:tc>
        <w:tc>
          <w:tcPr>
            <w:tcW w:w="2052" w:type="dxa"/>
            <w:vAlign w:val="center"/>
          </w:tcPr>
          <w:p w:rsidR="00F30CF1" w:rsidRPr="00C46F79" w:rsidRDefault="00F30CF1" w:rsidP="00424427">
            <w:pPr>
              <w:spacing w:line="276" w:lineRule="auto"/>
              <w:jc w:val="center"/>
              <w:rPr>
                <w:rFonts w:ascii="Arial" w:hAnsi="Arial" w:cs="Arial"/>
              </w:rPr>
            </w:pPr>
            <w:r>
              <w:rPr>
                <w:rFonts w:ascii="Arial" w:hAnsi="Arial" w:cs="Arial"/>
              </w:rPr>
              <w:t>2015</w:t>
            </w:r>
          </w:p>
        </w:tc>
      </w:tr>
      <w:tr w:rsidR="00F30CF1" w:rsidRPr="00C46F79" w:rsidTr="00424427">
        <w:trPr>
          <w:trHeight w:val="4882"/>
        </w:trPr>
        <w:tc>
          <w:tcPr>
            <w:tcW w:w="3114" w:type="dxa"/>
            <w:vAlign w:val="center"/>
          </w:tcPr>
          <w:p w:rsidR="00F30CF1" w:rsidRPr="00C46F79" w:rsidRDefault="00F30CF1" w:rsidP="00424427">
            <w:pPr>
              <w:spacing w:line="276" w:lineRule="auto"/>
              <w:jc w:val="both"/>
              <w:rPr>
                <w:rFonts w:ascii="Arial" w:hAnsi="Arial" w:cs="Arial"/>
              </w:rPr>
            </w:pPr>
            <w:r w:rsidRPr="008A3DEE">
              <w:rPr>
                <w:rFonts w:ascii="Arial" w:hAnsi="Arial" w:cs="Arial"/>
              </w:rPr>
              <w:t>Derechos de uso exclusivo localizado como forma de ordenamiento de la actividad pesquera en los espacios marinos</w:t>
            </w:r>
          </w:p>
        </w:tc>
        <w:tc>
          <w:tcPr>
            <w:tcW w:w="4961" w:type="dxa"/>
            <w:vAlign w:val="center"/>
          </w:tcPr>
          <w:p w:rsidR="00F30CF1" w:rsidRPr="008A3DEE" w:rsidRDefault="00F30CF1" w:rsidP="00424427">
            <w:pPr>
              <w:spacing w:line="276" w:lineRule="auto"/>
              <w:jc w:val="both"/>
              <w:rPr>
                <w:rFonts w:ascii="Arial" w:hAnsi="Arial" w:cs="Arial"/>
              </w:rPr>
            </w:pPr>
            <w:r w:rsidRPr="008A3DEE">
              <w:rPr>
                <w:rFonts w:ascii="Arial" w:hAnsi="Arial" w:cs="Arial"/>
              </w:rPr>
              <w:t>El Trabajo Final de Graduación llamado “Derechos de Uso Exclusivo</w:t>
            </w:r>
          </w:p>
          <w:p w:rsidR="00F30CF1" w:rsidRPr="008A3DEE" w:rsidRDefault="00F30CF1" w:rsidP="00424427">
            <w:pPr>
              <w:spacing w:line="276" w:lineRule="auto"/>
              <w:jc w:val="both"/>
              <w:rPr>
                <w:rFonts w:ascii="Arial" w:hAnsi="Arial" w:cs="Arial"/>
              </w:rPr>
            </w:pPr>
            <w:r w:rsidRPr="008A3DEE">
              <w:rPr>
                <w:rFonts w:ascii="Arial" w:hAnsi="Arial" w:cs="Arial"/>
              </w:rPr>
              <w:t>Localizado como forma de Ordenamiento de la Actividad Pesquera en los Espacios</w:t>
            </w:r>
          </w:p>
          <w:p w:rsidR="00F30CF1" w:rsidRPr="00C46F79" w:rsidRDefault="00F30CF1" w:rsidP="00424427">
            <w:pPr>
              <w:spacing w:line="276" w:lineRule="auto"/>
              <w:jc w:val="both"/>
              <w:rPr>
                <w:rFonts w:ascii="Arial" w:hAnsi="Arial" w:cs="Arial"/>
              </w:rPr>
            </w:pPr>
            <w:r w:rsidRPr="008A3DEE">
              <w:rPr>
                <w:rFonts w:ascii="Arial" w:hAnsi="Arial" w:cs="Arial"/>
              </w:rPr>
              <w:t>Marinos”, analiza la viabilidad jurídica de implementa</w:t>
            </w:r>
            <w:r>
              <w:rPr>
                <w:rFonts w:ascii="Arial" w:hAnsi="Arial" w:cs="Arial"/>
              </w:rPr>
              <w:t xml:space="preserve">r los derechos de uso exclusivo </w:t>
            </w:r>
            <w:r w:rsidRPr="008A3DEE">
              <w:rPr>
                <w:rFonts w:ascii="Arial" w:hAnsi="Arial" w:cs="Arial"/>
              </w:rPr>
              <w:t>localizado para pesquerías, como mecanismos de ordenamiento de las pesquerías.</w:t>
            </w:r>
          </w:p>
        </w:tc>
        <w:tc>
          <w:tcPr>
            <w:tcW w:w="2835" w:type="dxa"/>
            <w:vAlign w:val="center"/>
          </w:tcPr>
          <w:p w:rsidR="00F30CF1" w:rsidRDefault="00F30CF1" w:rsidP="00424427">
            <w:pPr>
              <w:spacing w:line="276" w:lineRule="auto"/>
              <w:jc w:val="both"/>
              <w:rPr>
                <w:rFonts w:ascii="Arial" w:hAnsi="Arial" w:cs="Arial"/>
              </w:rPr>
            </w:pPr>
            <w:r>
              <w:rPr>
                <w:rFonts w:ascii="Arial" w:hAnsi="Arial" w:cs="Arial"/>
              </w:rPr>
              <w:t>Lobo Calderón Ana María.</w:t>
            </w:r>
          </w:p>
          <w:p w:rsidR="00F30CF1" w:rsidRPr="00C46F79" w:rsidRDefault="00F30CF1" w:rsidP="00424427">
            <w:pPr>
              <w:spacing w:line="276" w:lineRule="auto"/>
              <w:jc w:val="both"/>
              <w:rPr>
                <w:rFonts w:ascii="Arial" w:hAnsi="Arial" w:cs="Arial"/>
              </w:rPr>
            </w:pPr>
            <w:r>
              <w:rPr>
                <w:rFonts w:ascii="Arial" w:hAnsi="Arial" w:cs="Arial"/>
              </w:rPr>
              <w:t>Ovares Sánchez Carolina.</w:t>
            </w:r>
          </w:p>
        </w:tc>
        <w:tc>
          <w:tcPr>
            <w:tcW w:w="2052" w:type="dxa"/>
            <w:vAlign w:val="center"/>
          </w:tcPr>
          <w:p w:rsidR="00F30CF1" w:rsidRPr="00C46F79" w:rsidRDefault="00F30CF1" w:rsidP="00424427">
            <w:pPr>
              <w:spacing w:line="276" w:lineRule="auto"/>
              <w:jc w:val="center"/>
              <w:rPr>
                <w:rFonts w:ascii="Arial" w:hAnsi="Arial" w:cs="Arial"/>
              </w:rPr>
            </w:pPr>
            <w:r>
              <w:rPr>
                <w:rFonts w:ascii="Arial" w:hAnsi="Arial" w:cs="Arial"/>
              </w:rPr>
              <w:t>2012</w:t>
            </w:r>
          </w:p>
        </w:tc>
      </w:tr>
    </w:tbl>
    <w:p w:rsidR="00F30CF1" w:rsidRDefault="00F30CF1" w:rsidP="00F30CF1">
      <w:pPr>
        <w:tabs>
          <w:tab w:val="left" w:pos="1305"/>
        </w:tabs>
        <w:spacing w:line="360" w:lineRule="auto"/>
        <w:jc w:val="both"/>
        <w:rPr>
          <w:rFonts w:ascii="Arial" w:hAnsi="Arial" w:cs="Arial"/>
          <w:b/>
          <w:sz w:val="24"/>
          <w:szCs w:val="24"/>
        </w:rPr>
        <w:sectPr w:rsidR="00F30CF1" w:rsidSect="00424427">
          <w:footerReference w:type="first" r:id="rId61"/>
          <w:pgSz w:w="15840" w:h="12240" w:orient="landscape"/>
          <w:pgMar w:top="1701" w:right="1418" w:bottom="1701" w:left="1418" w:header="709" w:footer="709" w:gutter="0"/>
          <w:cols w:space="708"/>
          <w:titlePg/>
          <w:docGrid w:linePitch="360"/>
        </w:sectPr>
      </w:pPr>
    </w:p>
    <w:p w:rsidR="00F30CF1" w:rsidRPr="004B0EE2" w:rsidRDefault="00F30CF1" w:rsidP="00F30CF1">
      <w:pPr>
        <w:spacing w:line="360" w:lineRule="auto"/>
        <w:jc w:val="both"/>
        <w:rPr>
          <w:rFonts w:ascii="Arial" w:hAnsi="Arial" w:cs="Arial"/>
          <w:b/>
          <w:sz w:val="24"/>
        </w:rPr>
      </w:pPr>
      <w:r>
        <w:rPr>
          <w:rFonts w:ascii="Arial" w:hAnsi="Arial" w:cs="Arial"/>
          <w:b/>
          <w:sz w:val="24"/>
        </w:rPr>
        <w:lastRenderedPageBreak/>
        <w:t>Anexo 3. Guías para la observación no participativa y las entrevistas</w:t>
      </w:r>
    </w:p>
    <w:p w:rsidR="00F30CF1" w:rsidRPr="004B0EE2" w:rsidRDefault="00F30CF1" w:rsidP="00F30CF1">
      <w:pPr>
        <w:spacing w:before="240" w:line="360" w:lineRule="auto"/>
        <w:jc w:val="center"/>
        <w:rPr>
          <w:rFonts w:ascii="Arial" w:hAnsi="Arial" w:cs="Arial"/>
          <w:b/>
          <w:sz w:val="24"/>
          <w:szCs w:val="24"/>
          <w:u w:val="single"/>
        </w:rPr>
      </w:pPr>
      <w:r w:rsidRPr="004B0EE2">
        <w:rPr>
          <w:rFonts w:ascii="Arial" w:hAnsi="Arial" w:cs="Arial"/>
          <w:b/>
          <w:sz w:val="24"/>
          <w:szCs w:val="24"/>
          <w:u w:val="single"/>
        </w:rPr>
        <w:t>Guía de observación no participativa</w:t>
      </w:r>
    </w:p>
    <w:p w:rsidR="00F30CF1" w:rsidRPr="004B0EE2" w:rsidRDefault="00F30CF1" w:rsidP="00F30CF1">
      <w:pPr>
        <w:spacing w:line="360" w:lineRule="auto"/>
        <w:jc w:val="both"/>
        <w:rPr>
          <w:rFonts w:ascii="Arial" w:hAnsi="Arial" w:cs="Arial"/>
          <w:sz w:val="24"/>
          <w:szCs w:val="24"/>
        </w:rPr>
      </w:pPr>
      <w:r w:rsidRPr="004B0EE2">
        <w:rPr>
          <w:rFonts w:ascii="Arial" w:hAnsi="Arial" w:cs="Arial"/>
          <w:sz w:val="24"/>
          <w:szCs w:val="24"/>
        </w:rPr>
        <w:t xml:space="preserve">Objetivo: Determinar la vinculación entre los mecanismos de planificación local y de participación social que desarrollan las instituciones para la implementación y gestión del área marina de pesca responsable Paquera – Tambor. </w:t>
      </w:r>
    </w:p>
    <w:tbl>
      <w:tblPr>
        <w:tblStyle w:val="Tablaconcuadrcula"/>
        <w:tblW w:w="0" w:type="auto"/>
        <w:tblLook w:val="04A0" w:firstRow="1" w:lastRow="0" w:firstColumn="1" w:lastColumn="0" w:noHBand="0" w:noVBand="1"/>
      </w:tblPr>
      <w:tblGrid>
        <w:gridCol w:w="2942"/>
        <w:gridCol w:w="2943"/>
        <w:gridCol w:w="2943"/>
      </w:tblGrid>
      <w:tr w:rsidR="00F30CF1" w:rsidRPr="004B0EE2" w:rsidTr="00424427">
        <w:tc>
          <w:tcPr>
            <w:tcW w:w="2942" w:type="dxa"/>
            <w:shd w:val="clear" w:color="auto" w:fill="D9D9D9" w:themeFill="background1" w:themeFillShade="D9"/>
          </w:tcPr>
          <w:p w:rsidR="00F30CF1" w:rsidRPr="004B0EE2" w:rsidRDefault="00F30CF1" w:rsidP="00424427">
            <w:pPr>
              <w:spacing w:line="360" w:lineRule="auto"/>
              <w:jc w:val="center"/>
              <w:rPr>
                <w:rFonts w:ascii="Arial" w:hAnsi="Arial" w:cs="Arial"/>
                <w:b/>
                <w:sz w:val="24"/>
                <w:szCs w:val="24"/>
              </w:rPr>
            </w:pPr>
            <w:r w:rsidRPr="004B0EE2">
              <w:rPr>
                <w:rFonts w:ascii="Arial" w:hAnsi="Arial" w:cs="Arial"/>
                <w:b/>
                <w:sz w:val="24"/>
                <w:szCs w:val="24"/>
              </w:rPr>
              <w:t>Tema</w:t>
            </w:r>
          </w:p>
        </w:tc>
        <w:tc>
          <w:tcPr>
            <w:tcW w:w="2943" w:type="dxa"/>
            <w:shd w:val="clear" w:color="auto" w:fill="D9D9D9" w:themeFill="background1" w:themeFillShade="D9"/>
          </w:tcPr>
          <w:p w:rsidR="00F30CF1" w:rsidRPr="004B0EE2" w:rsidRDefault="00F30CF1" w:rsidP="00424427">
            <w:pPr>
              <w:spacing w:line="360" w:lineRule="auto"/>
              <w:jc w:val="center"/>
              <w:rPr>
                <w:rFonts w:ascii="Arial" w:hAnsi="Arial" w:cs="Arial"/>
                <w:b/>
                <w:sz w:val="24"/>
                <w:szCs w:val="24"/>
              </w:rPr>
            </w:pPr>
            <w:r w:rsidRPr="004B0EE2">
              <w:rPr>
                <w:rFonts w:ascii="Arial" w:hAnsi="Arial" w:cs="Arial"/>
                <w:b/>
                <w:sz w:val="24"/>
                <w:szCs w:val="24"/>
              </w:rPr>
              <w:t>Variable de observación</w:t>
            </w:r>
          </w:p>
        </w:tc>
        <w:tc>
          <w:tcPr>
            <w:tcW w:w="2943" w:type="dxa"/>
            <w:shd w:val="clear" w:color="auto" w:fill="D9D9D9" w:themeFill="background1" w:themeFillShade="D9"/>
          </w:tcPr>
          <w:p w:rsidR="00F30CF1" w:rsidRPr="004B0EE2" w:rsidRDefault="00F30CF1" w:rsidP="00424427">
            <w:pPr>
              <w:spacing w:line="360" w:lineRule="auto"/>
              <w:jc w:val="center"/>
              <w:rPr>
                <w:rFonts w:ascii="Arial" w:hAnsi="Arial" w:cs="Arial"/>
                <w:b/>
                <w:sz w:val="24"/>
                <w:szCs w:val="24"/>
              </w:rPr>
            </w:pPr>
            <w:r w:rsidRPr="004B0EE2">
              <w:rPr>
                <w:rFonts w:ascii="Arial" w:hAnsi="Arial" w:cs="Arial"/>
                <w:b/>
                <w:sz w:val="24"/>
                <w:szCs w:val="24"/>
              </w:rPr>
              <w:t>Comentarios de la observación</w:t>
            </w:r>
          </w:p>
        </w:tc>
      </w:tr>
      <w:tr w:rsidR="00F30CF1" w:rsidRPr="004B0EE2" w:rsidTr="00424427">
        <w:tc>
          <w:tcPr>
            <w:tcW w:w="2942" w:type="dxa"/>
            <w:vMerge w:val="restart"/>
            <w:vAlign w:val="center"/>
          </w:tcPr>
          <w:p w:rsidR="00F30CF1" w:rsidRPr="004B0EE2" w:rsidRDefault="00F30CF1" w:rsidP="00424427">
            <w:pPr>
              <w:spacing w:line="360" w:lineRule="auto"/>
              <w:jc w:val="center"/>
              <w:rPr>
                <w:rFonts w:ascii="Arial" w:hAnsi="Arial" w:cs="Arial"/>
                <w:sz w:val="24"/>
                <w:szCs w:val="24"/>
              </w:rPr>
            </w:pPr>
            <w:r w:rsidRPr="004B0EE2">
              <w:rPr>
                <w:rFonts w:ascii="Arial" w:hAnsi="Arial" w:cs="Arial"/>
                <w:sz w:val="24"/>
                <w:szCs w:val="24"/>
              </w:rPr>
              <w:t>Participación social en la formulación y gestión del AMPR en Paquera - Tambor</w:t>
            </w:r>
          </w:p>
        </w:tc>
        <w:tc>
          <w:tcPr>
            <w:tcW w:w="2943" w:type="dxa"/>
          </w:tcPr>
          <w:p w:rsidR="00F30CF1" w:rsidRPr="004B0EE2" w:rsidRDefault="00F30CF1" w:rsidP="00424427">
            <w:pPr>
              <w:spacing w:line="360" w:lineRule="auto"/>
              <w:jc w:val="center"/>
              <w:rPr>
                <w:rFonts w:ascii="Arial" w:hAnsi="Arial" w:cs="Arial"/>
                <w:sz w:val="24"/>
                <w:szCs w:val="24"/>
              </w:rPr>
            </w:pPr>
            <w:r w:rsidRPr="004B0EE2">
              <w:rPr>
                <w:rFonts w:ascii="Arial" w:hAnsi="Arial" w:cs="Arial"/>
                <w:sz w:val="24"/>
                <w:szCs w:val="24"/>
              </w:rPr>
              <w:t>Interacción entre pescadores</w:t>
            </w:r>
          </w:p>
        </w:tc>
        <w:tc>
          <w:tcPr>
            <w:tcW w:w="2943" w:type="dxa"/>
          </w:tcPr>
          <w:p w:rsidR="00F30CF1" w:rsidRPr="004B0EE2" w:rsidRDefault="00F30CF1" w:rsidP="00424427">
            <w:pPr>
              <w:spacing w:line="360" w:lineRule="auto"/>
              <w:jc w:val="both"/>
              <w:rPr>
                <w:rFonts w:ascii="Arial" w:hAnsi="Arial" w:cs="Arial"/>
                <w:sz w:val="24"/>
                <w:szCs w:val="24"/>
              </w:rPr>
            </w:pPr>
          </w:p>
        </w:tc>
      </w:tr>
      <w:tr w:rsidR="00F30CF1" w:rsidRPr="004B0EE2" w:rsidTr="00424427">
        <w:tc>
          <w:tcPr>
            <w:tcW w:w="2942" w:type="dxa"/>
            <w:vMerge/>
          </w:tcPr>
          <w:p w:rsidR="00F30CF1" w:rsidRPr="004B0EE2" w:rsidRDefault="00F30CF1" w:rsidP="00424427">
            <w:pPr>
              <w:spacing w:line="360" w:lineRule="auto"/>
              <w:jc w:val="both"/>
              <w:rPr>
                <w:rFonts w:ascii="Arial" w:hAnsi="Arial" w:cs="Arial"/>
                <w:sz w:val="24"/>
                <w:szCs w:val="24"/>
              </w:rPr>
            </w:pPr>
          </w:p>
        </w:tc>
        <w:tc>
          <w:tcPr>
            <w:tcW w:w="2943" w:type="dxa"/>
          </w:tcPr>
          <w:p w:rsidR="00F30CF1" w:rsidRPr="004B0EE2" w:rsidRDefault="00F30CF1" w:rsidP="00424427">
            <w:pPr>
              <w:spacing w:line="360" w:lineRule="auto"/>
              <w:jc w:val="center"/>
              <w:rPr>
                <w:rFonts w:ascii="Arial" w:hAnsi="Arial" w:cs="Arial"/>
                <w:sz w:val="24"/>
                <w:szCs w:val="24"/>
              </w:rPr>
            </w:pPr>
            <w:r w:rsidRPr="004B0EE2">
              <w:rPr>
                <w:rFonts w:ascii="Arial" w:hAnsi="Arial" w:cs="Arial"/>
                <w:sz w:val="24"/>
                <w:szCs w:val="24"/>
              </w:rPr>
              <w:t>Identificación de liderazgos y su comportamiento</w:t>
            </w:r>
          </w:p>
        </w:tc>
        <w:tc>
          <w:tcPr>
            <w:tcW w:w="2943" w:type="dxa"/>
          </w:tcPr>
          <w:p w:rsidR="00F30CF1" w:rsidRPr="004B0EE2" w:rsidRDefault="00F30CF1" w:rsidP="00424427">
            <w:pPr>
              <w:spacing w:line="360" w:lineRule="auto"/>
              <w:jc w:val="both"/>
              <w:rPr>
                <w:rFonts w:ascii="Arial" w:hAnsi="Arial" w:cs="Arial"/>
                <w:sz w:val="24"/>
                <w:szCs w:val="24"/>
              </w:rPr>
            </w:pPr>
          </w:p>
        </w:tc>
      </w:tr>
      <w:tr w:rsidR="00F30CF1" w:rsidRPr="004B0EE2" w:rsidTr="00424427">
        <w:tc>
          <w:tcPr>
            <w:tcW w:w="2942" w:type="dxa"/>
            <w:vMerge/>
          </w:tcPr>
          <w:p w:rsidR="00F30CF1" w:rsidRPr="004B0EE2" w:rsidRDefault="00F30CF1" w:rsidP="00424427">
            <w:pPr>
              <w:spacing w:line="360" w:lineRule="auto"/>
              <w:jc w:val="both"/>
              <w:rPr>
                <w:rFonts w:ascii="Arial" w:hAnsi="Arial" w:cs="Arial"/>
                <w:sz w:val="24"/>
                <w:szCs w:val="24"/>
              </w:rPr>
            </w:pPr>
          </w:p>
        </w:tc>
        <w:tc>
          <w:tcPr>
            <w:tcW w:w="2943" w:type="dxa"/>
          </w:tcPr>
          <w:p w:rsidR="00F30CF1" w:rsidRPr="004B0EE2" w:rsidRDefault="00F30CF1" w:rsidP="00424427">
            <w:pPr>
              <w:spacing w:line="360" w:lineRule="auto"/>
              <w:jc w:val="center"/>
              <w:rPr>
                <w:rFonts w:ascii="Arial" w:hAnsi="Arial" w:cs="Arial"/>
                <w:sz w:val="24"/>
                <w:szCs w:val="24"/>
              </w:rPr>
            </w:pPr>
            <w:r w:rsidRPr="004B0EE2">
              <w:rPr>
                <w:rFonts w:ascii="Arial" w:hAnsi="Arial" w:cs="Arial"/>
                <w:sz w:val="24"/>
                <w:szCs w:val="24"/>
              </w:rPr>
              <w:t>Vinculación de pescadores e instituciones públicas</w:t>
            </w:r>
          </w:p>
        </w:tc>
        <w:tc>
          <w:tcPr>
            <w:tcW w:w="2943" w:type="dxa"/>
          </w:tcPr>
          <w:p w:rsidR="00F30CF1" w:rsidRPr="004B0EE2" w:rsidRDefault="00F30CF1" w:rsidP="00424427">
            <w:pPr>
              <w:spacing w:line="360" w:lineRule="auto"/>
              <w:jc w:val="both"/>
              <w:rPr>
                <w:rFonts w:ascii="Arial" w:hAnsi="Arial" w:cs="Arial"/>
                <w:sz w:val="24"/>
                <w:szCs w:val="24"/>
              </w:rPr>
            </w:pPr>
          </w:p>
        </w:tc>
      </w:tr>
      <w:tr w:rsidR="00F30CF1" w:rsidRPr="004B0EE2" w:rsidTr="00424427">
        <w:tc>
          <w:tcPr>
            <w:tcW w:w="2942" w:type="dxa"/>
            <w:vMerge/>
          </w:tcPr>
          <w:p w:rsidR="00F30CF1" w:rsidRPr="004B0EE2" w:rsidRDefault="00F30CF1" w:rsidP="00424427">
            <w:pPr>
              <w:spacing w:line="360" w:lineRule="auto"/>
              <w:jc w:val="both"/>
              <w:rPr>
                <w:rFonts w:ascii="Arial" w:hAnsi="Arial" w:cs="Arial"/>
                <w:sz w:val="24"/>
                <w:szCs w:val="24"/>
              </w:rPr>
            </w:pPr>
          </w:p>
        </w:tc>
        <w:tc>
          <w:tcPr>
            <w:tcW w:w="2943" w:type="dxa"/>
          </w:tcPr>
          <w:p w:rsidR="00F30CF1" w:rsidRPr="004B0EE2" w:rsidRDefault="00F30CF1" w:rsidP="00424427">
            <w:pPr>
              <w:spacing w:line="360" w:lineRule="auto"/>
              <w:jc w:val="center"/>
              <w:rPr>
                <w:rFonts w:ascii="Arial" w:hAnsi="Arial" w:cs="Arial"/>
                <w:sz w:val="24"/>
                <w:szCs w:val="24"/>
              </w:rPr>
            </w:pPr>
            <w:r w:rsidRPr="004B0EE2">
              <w:rPr>
                <w:rFonts w:ascii="Arial" w:hAnsi="Arial" w:cs="Arial"/>
                <w:sz w:val="24"/>
                <w:szCs w:val="24"/>
              </w:rPr>
              <w:t>Manifestaciones de relaciones de poder entre pescadores, instituciones.</w:t>
            </w:r>
          </w:p>
        </w:tc>
        <w:tc>
          <w:tcPr>
            <w:tcW w:w="2943" w:type="dxa"/>
          </w:tcPr>
          <w:p w:rsidR="00F30CF1" w:rsidRPr="004B0EE2" w:rsidRDefault="00F30CF1" w:rsidP="00424427">
            <w:pPr>
              <w:spacing w:line="360" w:lineRule="auto"/>
              <w:jc w:val="both"/>
              <w:rPr>
                <w:rFonts w:ascii="Arial" w:hAnsi="Arial" w:cs="Arial"/>
                <w:sz w:val="24"/>
                <w:szCs w:val="24"/>
              </w:rPr>
            </w:pPr>
          </w:p>
        </w:tc>
      </w:tr>
    </w:tbl>
    <w:p w:rsidR="00F30CF1" w:rsidRDefault="00F30CF1" w:rsidP="00F30CF1">
      <w:pPr>
        <w:spacing w:line="360" w:lineRule="auto"/>
        <w:jc w:val="both"/>
        <w:rPr>
          <w:rFonts w:ascii="Arial" w:hAnsi="Arial" w:cs="Arial"/>
          <w:b/>
          <w:sz w:val="24"/>
          <w:szCs w:val="24"/>
        </w:rPr>
      </w:pPr>
    </w:p>
    <w:p w:rsidR="00F30CF1" w:rsidRDefault="00F30CF1" w:rsidP="00F30CF1">
      <w:pPr>
        <w:rPr>
          <w:rFonts w:ascii="Arial" w:hAnsi="Arial" w:cs="Arial"/>
          <w:b/>
          <w:sz w:val="24"/>
          <w:szCs w:val="24"/>
        </w:rPr>
      </w:pPr>
      <w:r>
        <w:rPr>
          <w:rFonts w:ascii="Arial" w:hAnsi="Arial" w:cs="Arial"/>
          <w:b/>
          <w:sz w:val="24"/>
          <w:szCs w:val="24"/>
        </w:rPr>
        <w:br w:type="page"/>
      </w:r>
    </w:p>
    <w:p w:rsidR="00F30CF1" w:rsidRPr="00F30CF1" w:rsidRDefault="00F30CF1" w:rsidP="00F30CF1">
      <w:pPr>
        <w:spacing w:line="360" w:lineRule="auto"/>
        <w:jc w:val="center"/>
        <w:rPr>
          <w:rFonts w:ascii="Arial" w:hAnsi="Arial" w:cs="Arial"/>
          <w:b/>
          <w:sz w:val="24"/>
          <w:szCs w:val="24"/>
          <w:u w:val="single"/>
        </w:rPr>
      </w:pPr>
      <w:r w:rsidRPr="00F30CF1">
        <w:rPr>
          <w:rFonts w:ascii="Arial" w:hAnsi="Arial" w:cs="Arial"/>
          <w:b/>
          <w:sz w:val="24"/>
          <w:szCs w:val="24"/>
          <w:u w:val="single"/>
        </w:rPr>
        <w:lastRenderedPageBreak/>
        <w:t>Guía de entrevista actores locales</w:t>
      </w:r>
    </w:p>
    <w:p w:rsidR="00F30CF1" w:rsidRDefault="00F30CF1" w:rsidP="00F30CF1">
      <w:pPr>
        <w:spacing w:line="240" w:lineRule="auto"/>
        <w:jc w:val="both"/>
        <w:rPr>
          <w:rFonts w:ascii="Arial" w:hAnsi="Arial" w:cs="Arial"/>
          <w:b/>
          <w:sz w:val="24"/>
          <w:szCs w:val="24"/>
        </w:rPr>
      </w:pPr>
    </w:p>
    <w:p w:rsidR="00F30CF1" w:rsidRPr="004B0EE2" w:rsidRDefault="00F30CF1" w:rsidP="00F30CF1">
      <w:pPr>
        <w:spacing w:line="240" w:lineRule="auto"/>
        <w:jc w:val="both"/>
        <w:rPr>
          <w:rFonts w:ascii="Arial" w:hAnsi="Arial" w:cs="Arial"/>
          <w:b/>
          <w:sz w:val="24"/>
          <w:szCs w:val="24"/>
        </w:rPr>
      </w:pPr>
      <w:r w:rsidRPr="004B0EE2">
        <w:rPr>
          <w:rFonts w:ascii="Arial" w:hAnsi="Arial" w:cs="Arial"/>
          <w:b/>
          <w:sz w:val="24"/>
          <w:szCs w:val="24"/>
        </w:rPr>
        <w:t>Universidad Nacional</w:t>
      </w:r>
    </w:p>
    <w:p w:rsidR="00F30CF1" w:rsidRPr="004B0EE2" w:rsidRDefault="00F30CF1" w:rsidP="00F30CF1">
      <w:pPr>
        <w:spacing w:line="240" w:lineRule="auto"/>
        <w:jc w:val="both"/>
        <w:rPr>
          <w:rFonts w:ascii="Arial" w:hAnsi="Arial" w:cs="Arial"/>
          <w:b/>
          <w:sz w:val="24"/>
          <w:szCs w:val="24"/>
        </w:rPr>
      </w:pPr>
      <w:r w:rsidRPr="004B0EE2">
        <w:rPr>
          <w:rFonts w:ascii="Arial" w:hAnsi="Arial" w:cs="Arial"/>
          <w:b/>
          <w:sz w:val="24"/>
          <w:szCs w:val="24"/>
        </w:rPr>
        <w:t>Instrumentos de recolección de información para el TFG</w:t>
      </w:r>
    </w:p>
    <w:p w:rsidR="00F30CF1" w:rsidRPr="002A3CA3" w:rsidRDefault="00F30CF1" w:rsidP="00F30CF1">
      <w:pPr>
        <w:spacing w:line="240" w:lineRule="auto"/>
        <w:jc w:val="both"/>
        <w:rPr>
          <w:rFonts w:ascii="Arial" w:hAnsi="Arial" w:cs="Arial"/>
          <w:b/>
          <w:sz w:val="24"/>
          <w:szCs w:val="24"/>
        </w:rPr>
      </w:pPr>
      <w:r w:rsidRPr="004B0EE2">
        <w:rPr>
          <w:rFonts w:ascii="Arial" w:hAnsi="Arial" w:cs="Arial"/>
          <w:b/>
          <w:sz w:val="24"/>
          <w:szCs w:val="24"/>
        </w:rPr>
        <w:t>Estudian</w:t>
      </w:r>
      <w:r>
        <w:rPr>
          <w:rFonts w:ascii="Arial" w:hAnsi="Arial" w:cs="Arial"/>
          <w:b/>
          <w:sz w:val="24"/>
          <w:szCs w:val="24"/>
        </w:rPr>
        <w:t>te: Greivin Azofeifa Hernández</w:t>
      </w:r>
    </w:p>
    <w:p w:rsidR="00F30CF1" w:rsidRPr="004B0EE2" w:rsidRDefault="00F30CF1" w:rsidP="00F30CF1">
      <w:pPr>
        <w:spacing w:before="240" w:line="360" w:lineRule="auto"/>
        <w:jc w:val="center"/>
        <w:rPr>
          <w:rFonts w:ascii="Arial" w:hAnsi="Arial" w:cs="Arial"/>
          <w:b/>
          <w:sz w:val="24"/>
          <w:szCs w:val="24"/>
          <w:u w:val="single"/>
        </w:rPr>
      </w:pPr>
      <w:r w:rsidRPr="004B0EE2">
        <w:rPr>
          <w:rFonts w:ascii="Arial" w:hAnsi="Arial" w:cs="Arial"/>
          <w:b/>
          <w:sz w:val="24"/>
          <w:szCs w:val="24"/>
          <w:u w:val="single"/>
        </w:rPr>
        <w:t>Entrevista</w:t>
      </w:r>
    </w:p>
    <w:p w:rsidR="00F30CF1" w:rsidRPr="004B0EE2" w:rsidRDefault="00F30CF1" w:rsidP="00F30CF1">
      <w:pPr>
        <w:spacing w:before="240" w:line="360" w:lineRule="auto"/>
        <w:jc w:val="both"/>
        <w:rPr>
          <w:rFonts w:ascii="Arial" w:hAnsi="Arial" w:cs="Arial"/>
          <w:sz w:val="24"/>
          <w:szCs w:val="24"/>
        </w:rPr>
      </w:pPr>
      <w:r w:rsidRPr="004B0EE2">
        <w:rPr>
          <w:rFonts w:ascii="Arial" w:hAnsi="Arial" w:cs="Arial"/>
          <w:b/>
          <w:noProof/>
          <w:sz w:val="24"/>
          <w:szCs w:val="24"/>
          <w:u w:val="single"/>
          <w:lang w:eastAsia="es-CR"/>
        </w:rPr>
        <mc:AlternateContent>
          <mc:Choice Requires="wps">
            <w:drawing>
              <wp:anchor distT="0" distB="0" distL="114300" distR="114300" simplePos="0" relativeHeight="251682816" behindDoc="0" locked="0" layoutInCell="1" allowOverlap="1" wp14:anchorId="2175CF72" wp14:editId="3FA40422">
                <wp:simplePos x="0" y="0"/>
                <wp:positionH relativeFrom="margin">
                  <wp:align>center</wp:align>
                </wp:positionH>
                <wp:positionV relativeFrom="paragraph">
                  <wp:posOffset>102870</wp:posOffset>
                </wp:positionV>
                <wp:extent cx="5819775" cy="1666875"/>
                <wp:effectExtent l="0" t="0" r="28575" b="28575"/>
                <wp:wrapNone/>
                <wp:docPr id="9" name="Rectángulo 9"/>
                <wp:cNvGraphicFramePr/>
                <a:graphic xmlns:a="http://schemas.openxmlformats.org/drawingml/2006/main">
                  <a:graphicData uri="http://schemas.microsoft.com/office/word/2010/wordprocessingShape">
                    <wps:wsp>
                      <wps:cNvSpPr/>
                      <wps:spPr>
                        <a:xfrm>
                          <a:off x="0" y="0"/>
                          <a:ext cx="5819775" cy="1666875"/>
                        </a:xfrm>
                        <a:prstGeom prst="rect">
                          <a:avLst/>
                        </a:prstGeom>
                        <a:ln>
                          <a:solidFill>
                            <a:schemeClr val="tx1">
                              <a:lumMod val="95000"/>
                              <a:lumOff val="5000"/>
                            </a:schemeClr>
                          </a:solidFill>
                        </a:ln>
                      </wps:spPr>
                      <wps:style>
                        <a:lnRef idx="2">
                          <a:schemeClr val="accent6"/>
                        </a:lnRef>
                        <a:fillRef idx="1">
                          <a:schemeClr val="lt1"/>
                        </a:fillRef>
                        <a:effectRef idx="0">
                          <a:schemeClr val="accent6"/>
                        </a:effectRef>
                        <a:fontRef idx="minor">
                          <a:schemeClr val="dk1"/>
                        </a:fontRef>
                      </wps:style>
                      <wps:txbx>
                        <w:txbxContent>
                          <w:p w:rsidR="00424427" w:rsidRPr="003377EC" w:rsidRDefault="00424427" w:rsidP="00F30CF1">
                            <w:pPr>
                              <w:spacing w:line="480" w:lineRule="auto"/>
                              <w:jc w:val="both"/>
                              <w:rPr>
                                <w:rFonts w:ascii="Times New Roman" w:hAnsi="Times New Roman" w:cs="Times New Roman"/>
                                <w:b/>
                                <w:sz w:val="24"/>
                                <w:szCs w:val="24"/>
                              </w:rPr>
                            </w:pPr>
                            <w:r>
                              <w:rPr>
                                <w:rFonts w:ascii="Times New Roman" w:hAnsi="Times New Roman" w:cs="Times New Roman"/>
                                <w:b/>
                                <w:sz w:val="24"/>
                                <w:szCs w:val="24"/>
                              </w:rPr>
                              <w:t xml:space="preserve">El objetivo de esta entrevista es recolectar información para una investigación que está realizando mi persona para optar por el grado de licenciatura de la carrera de Planificación Económica y Social. El tema a tratar es relacionado a la gestión del área marina de pesca responsable Paquera – Tambor. Garantizamos que la información brindada será utilizada de manera confidencial. </w:t>
                            </w:r>
                          </w:p>
                          <w:p w:rsidR="00424427" w:rsidRDefault="00424427" w:rsidP="00F30CF1">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2175CF72" id="Rectángulo 9" o:spid="_x0000_s1026" style="position:absolute;left:0;text-align:left;margin-left:0;margin-top:8.1pt;width:458.25pt;height:131.25pt;z-index:251682816;visibility:visible;mso-wrap-style:square;mso-height-percent:0;mso-wrap-distance-left:9pt;mso-wrap-distance-top:0;mso-wrap-distance-right:9pt;mso-wrap-distance-bottom:0;mso-position-horizontal:center;mso-position-horizontal-relative:margin;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" fillcolor="white [3201]" strokecolor="#0d0d0d [3069]" strokeweight="1pt">
                <v:textbox>
                  <w:txbxContent>
                    <w:p w:rsidR="00424427" w:rsidRPr="003377EC" w:rsidRDefault="00424427" w:rsidP="00F30CF1">
                      <w:pPr>
                        <w:spacing w:line="480" w:lineRule="auto"/>
                        <w:jc w:val="both"/>
                        <w:rPr>
                          <w:rFonts w:ascii="Times New Roman" w:hAnsi="Times New Roman" w:cs="Times New Roman"/>
                          <w:b/>
                          <w:sz w:val="24"/>
                          <w:szCs w:val="24"/>
                        </w:rPr>
                      </w:pPr>
                      <w:r>
                        <w:rPr>
                          <w:rFonts w:ascii="Times New Roman" w:hAnsi="Times New Roman" w:cs="Times New Roman"/>
                          <w:b/>
                          <w:sz w:val="24"/>
                          <w:szCs w:val="24"/>
                        </w:rPr>
                        <w:t xml:space="preserve">El objetivo de esta entrevista es recolectar información para una investigación que está realizando mi persona para optar por el grado de licenciatura de la carrera de Planificación Económica y Social. El tema a tratar es relacionado a la gestión del área marina de pesca responsable Paquera – Tambor. Garantizamos que la información brindada será utilizada de manera confidencial. </w:t>
                      </w:r>
                    </w:p>
                    <w:p w:rsidR="00424427" w:rsidRDefault="00424427" w:rsidP="00F30CF1">
                      <w:pPr>
                        <w:jc w:val="center"/>
                      </w:pPr>
                    </w:p>
                  </w:txbxContent>
                </v:textbox>
                <w10:wrap anchorx="margin"/>
              </v:rect>
            </w:pict>
          </mc:Fallback>
        </mc:AlternateContent>
      </w:r>
    </w:p>
    <w:p w:rsidR="00F30CF1" w:rsidRPr="004B0EE2" w:rsidRDefault="00F30CF1" w:rsidP="00F30CF1">
      <w:pPr>
        <w:spacing w:line="360" w:lineRule="auto"/>
        <w:jc w:val="both"/>
        <w:rPr>
          <w:rFonts w:ascii="Arial" w:hAnsi="Arial" w:cs="Arial"/>
          <w:sz w:val="24"/>
          <w:szCs w:val="24"/>
        </w:rPr>
      </w:pPr>
    </w:p>
    <w:p w:rsidR="00F30CF1" w:rsidRPr="004B0EE2" w:rsidRDefault="00F30CF1" w:rsidP="00F30CF1">
      <w:pPr>
        <w:spacing w:line="360" w:lineRule="auto"/>
        <w:jc w:val="both"/>
        <w:rPr>
          <w:rFonts w:ascii="Arial" w:hAnsi="Arial" w:cs="Arial"/>
          <w:sz w:val="24"/>
          <w:szCs w:val="24"/>
        </w:rPr>
      </w:pPr>
    </w:p>
    <w:p w:rsidR="00F30CF1" w:rsidRPr="004B0EE2" w:rsidRDefault="00F30CF1" w:rsidP="00F30CF1">
      <w:pPr>
        <w:spacing w:line="360" w:lineRule="auto"/>
        <w:jc w:val="both"/>
        <w:rPr>
          <w:rFonts w:ascii="Arial" w:hAnsi="Arial" w:cs="Arial"/>
          <w:sz w:val="24"/>
          <w:szCs w:val="24"/>
        </w:rPr>
      </w:pPr>
    </w:p>
    <w:p w:rsidR="00F30CF1" w:rsidRPr="004B0EE2" w:rsidRDefault="00F30CF1" w:rsidP="00F30CF1">
      <w:pPr>
        <w:spacing w:line="360" w:lineRule="auto"/>
        <w:jc w:val="both"/>
        <w:rPr>
          <w:rFonts w:ascii="Arial" w:hAnsi="Arial" w:cs="Arial"/>
          <w:sz w:val="24"/>
          <w:szCs w:val="24"/>
        </w:rPr>
      </w:pPr>
    </w:p>
    <w:p w:rsidR="00F30CF1" w:rsidRPr="004B0EE2" w:rsidRDefault="00F30CF1" w:rsidP="00F30CF1">
      <w:pPr>
        <w:spacing w:line="360" w:lineRule="auto"/>
        <w:jc w:val="both"/>
        <w:rPr>
          <w:rFonts w:ascii="Arial" w:hAnsi="Arial" w:cs="Arial"/>
          <w:sz w:val="24"/>
          <w:szCs w:val="24"/>
        </w:rPr>
      </w:pPr>
    </w:p>
    <w:p w:rsidR="00F30CF1" w:rsidRPr="004B0EE2" w:rsidRDefault="00F30CF1" w:rsidP="00F30CF1">
      <w:pPr>
        <w:tabs>
          <w:tab w:val="left" w:pos="1305"/>
        </w:tabs>
        <w:spacing w:line="360" w:lineRule="auto"/>
        <w:jc w:val="both"/>
        <w:rPr>
          <w:rFonts w:ascii="Arial" w:hAnsi="Arial" w:cs="Arial"/>
          <w:b/>
          <w:sz w:val="24"/>
          <w:szCs w:val="24"/>
        </w:rPr>
      </w:pPr>
      <w:r w:rsidRPr="004B0EE2">
        <w:rPr>
          <w:rFonts w:ascii="Arial" w:hAnsi="Arial" w:cs="Arial"/>
          <w:b/>
          <w:sz w:val="24"/>
          <w:szCs w:val="24"/>
        </w:rPr>
        <w:t>Actores locales (pescadores)</w:t>
      </w:r>
    </w:p>
    <w:p w:rsidR="00F30CF1" w:rsidRPr="004B0EE2" w:rsidRDefault="00F30CF1" w:rsidP="00F30CF1">
      <w:pPr>
        <w:pStyle w:val="Prrafodelista"/>
        <w:numPr>
          <w:ilvl w:val="0"/>
          <w:numId w:val="33"/>
        </w:numPr>
        <w:tabs>
          <w:tab w:val="left" w:pos="1305"/>
        </w:tabs>
        <w:spacing w:line="360" w:lineRule="auto"/>
        <w:jc w:val="both"/>
        <w:rPr>
          <w:rFonts w:ascii="Arial" w:hAnsi="Arial" w:cs="Arial"/>
          <w:sz w:val="24"/>
          <w:szCs w:val="24"/>
        </w:rPr>
      </w:pPr>
      <w:r w:rsidRPr="004B0EE2">
        <w:rPr>
          <w:rFonts w:ascii="Arial" w:hAnsi="Arial" w:cs="Arial"/>
          <w:sz w:val="24"/>
          <w:szCs w:val="24"/>
        </w:rPr>
        <w:t xml:space="preserve">¿Cómo se desarrolla la actividad de pesca en la comunidad? </w:t>
      </w:r>
    </w:p>
    <w:p w:rsidR="00F30CF1" w:rsidRPr="004B0EE2" w:rsidRDefault="00F30CF1" w:rsidP="00F30CF1">
      <w:pPr>
        <w:pStyle w:val="Prrafodelista"/>
        <w:numPr>
          <w:ilvl w:val="0"/>
          <w:numId w:val="33"/>
        </w:numPr>
        <w:tabs>
          <w:tab w:val="left" w:pos="1305"/>
        </w:tabs>
        <w:spacing w:line="360" w:lineRule="auto"/>
        <w:jc w:val="both"/>
        <w:rPr>
          <w:rFonts w:ascii="Arial" w:hAnsi="Arial" w:cs="Arial"/>
          <w:sz w:val="24"/>
          <w:szCs w:val="24"/>
        </w:rPr>
      </w:pPr>
      <w:r w:rsidRPr="004B0EE2">
        <w:rPr>
          <w:rFonts w:ascii="Arial" w:hAnsi="Arial" w:cs="Arial"/>
          <w:sz w:val="24"/>
          <w:szCs w:val="24"/>
        </w:rPr>
        <w:t xml:space="preserve">¿Depende usted únicamente de la actividad pesquera? </w:t>
      </w:r>
    </w:p>
    <w:p w:rsidR="00F30CF1" w:rsidRPr="004B0EE2" w:rsidRDefault="00F30CF1" w:rsidP="00F30CF1">
      <w:pPr>
        <w:pStyle w:val="Prrafodelista"/>
        <w:numPr>
          <w:ilvl w:val="0"/>
          <w:numId w:val="33"/>
        </w:numPr>
        <w:tabs>
          <w:tab w:val="left" w:pos="1305"/>
        </w:tabs>
        <w:spacing w:line="360" w:lineRule="auto"/>
        <w:jc w:val="both"/>
        <w:rPr>
          <w:rFonts w:ascii="Arial" w:hAnsi="Arial" w:cs="Arial"/>
          <w:sz w:val="24"/>
          <w:szCs w:val="24"/>
        </w:rPr>
      </w:pPr>
      <w:r w:rsidRPr="004B0EE2">
        <w:rPr>
          <w:rFonts w:ascii="Arial" w:hAnsi="Arial" w:cs="Arial"/>
          <w:sz w:val="24"/>
          <w:szCs w:val="24"/>
        </w:rPr>
        <w:t>¿Considera usted que el gobierno tiene presencia en la comunidad? ¿Se siente acompañado por el INCOPESCA?</w:t>
      </w:r>
    </w:p>
    <w:p w:rsidR="00F30CF1" w:rsidRPr="004B0EE2" w:rsidRDefault="00F30CF1" w:rsidP="00F30CF1">
      <w:pPr>
        <w:pStyle w:val="Prrafodelista"/>
        <w:numPr>
          <w:ilvl w:val="0"/>
          <w:numId w:val="33"/>
        </w:numPr>
        <w:tabs>
          <w:tab w:val="left" w:pos="1305"/>
        </w:tabs>
        <w:spacing w:line="360" w:lineRule="auto"/>
        <w:jc w:val="both"/>
        <w:rPr>
          <w:rFonts w:ascii="Arial" w:hAnsi="Arial" w:cs="Arial"/>
          <w:sz w:val="24"/>
          <w:szCs w:val="24"/>
        </w:rPr>
      </w:pPr>
      <w:r w:rsidRPr="004B0EE2">
        <w:rPr>
          <w:rFonts w:ascii="Arial" w:hAnsi="Arial" w:cs="Arial"/>
          <w:sz w:val="24"/>
          <w:szCs w:val="24"/>
        </w:rPr>
        <w:t>¿Cuáles son las técnicas de pesca que se utilizan normalmente en la zona?</w:t>
      </w:r>
    </w:p>
    <w:p w:rsidR="00F30CF1" w:rsidRPr="004B0EE2" w:rsidRDefault="00F30CF1" w:rsidP="00F30CF1">
      <w:pPr>
        <w:pStyle w:val="Prrafodelista"/>
        <w:numPr>
          <w:ilvl w:val="0"/>
          <w:numId w:val="33"/>
        </w:numPr>
        <w:tabs>
          <w:tab w:val="left" w:pos="1305"/>
        </w:tabs>
        <w:spacing w:line="360" w:lineRule="auto"/>
        <w:jc w:val="both"/>
        <w:rPr>
          <w:rFonts w:ascii="Arial" w:hAnsi="Arial" w:cs="Arial"/>
          <w:sz w:val="24"/>
          <w:szCs w:val="24"/>
        </w:rPr>
      </w:pPr>
      <w:r w:rsidRPr="004B0EE2">
        <w:rPr>
          <w:rFonts w:ascii="Arial" w:hAnsi="Arial" w:cs="Arial"/>
          <w:sz w:val="24"/>
          <w:szCs w:val="24"/>
        </w:rPr>
        <w:t>¿Existe problemas con instituciones públicas en cuanto al uso de estas técnicas?</w:t>
      </w:r>
    </w:p>
    <w:p w:rsidR="00F30CF1" w:rsidRPr="004B0EE2" w:rsidRDefault="00F30CF1" w:rsidP="00F30CF1">
      <w:pPr>
        <w:pStyle w:val="Prrafodelista"/>
        <w:numPr>
          <w:ilvl w:val="0"/>
          <w:numId w:val="33"/>
        </w:numPr>
        <w:tabs>
          <w:tab w:val="left" w:pos="1305"/>
        </w:tabs>
        <w:spacing w:line="360" w:lineRule="auto"/>
        <w:jc w:val="both"/>
        <w:rPr>
          <w:rFonts w:ascii="Arial" w:hAnsi="Arial" w:cs="Arial"/>
          <w:sz w:val="24"/>
          <w:szCs w:val="24"/>
        </w:rPr>
      </w:pPr>
      <w:r w:rsidRPr="004B0EE2">
        <w:rPr>
          <w:rFonts w:ascii="Arial" w:hAnsi="Arial" w:cs="Arial"/>
          <w:sz w:val="24"/>
          <w:szCs w:val="24"/>
        </w:rPr>
        <w:t>¿Estuvo usted de acuerdo con la implementación del AMRP?</w:t>
      </w:r>
    </w:p>
    <w:p w:rsidR="00F30CF1" w:rsidRPr="004B0EE2" w:rsidRDefault="00F30CF1" w:rsidP="00F30CF1">
      <w:pPr>
        <w:pStyle w:val="Prrafodelista"/>
        <w:numPr>
          <w:ilvl w:val="0"/>
          <w:numId w:val="33"/>
        </w:numPr>
        <w:tabs>
          <w:tab w:val="left" w:pos="1305"/>
        </w:tabs>
        <w:spacing w:line="360" w:lineRule="auto"/>
        <w:jc w:val="both"/>
        <w:rPr>
          <w:rFonts w:ascii="Arial" w:hAnsi="Arial" w:cs="Arial"/>
          <w:sz w:val="24"/>
          <w:szCs w:val="24"/>
        </w:rPr>
      </w:pPr>
      <w:r w:rsidRPr="004B0EE2">
        <w:rPr>
          <w:rFonts w:ascii="Arial" w:hAnsi="Arial" w:cs="Arial"/>
          <w:sz w:val="24"/>
          <w:szCs w:val="24"/>
        </w:rPr>
        <w:t>¿Considera que la implementación del AMPR fue participativa? ¿Estuvo usted en el proceso de formulación?</w:t>
      </w:r>
    </w:p>
    <w:p w:rsidR="00F30CF1" w:rsidRPr="004B0EE2" w:rsidRDefault="00F30CF1" w:rsidP="00F30CF1">
      <w:pPr>
        <w:pStyle w:val="Prrafodelista"/>
        <w:numPr>
          <w:ilvl w:val="0"/>
          <w:numId w:val="33"/>
        </w:numPr>
        <w:tabs>
          <w:tab w:val="left" w:pos="1305"/>
        </w:tabs>
        <w:spacing w:line="360" w:lineRule="auto"/>
        <w:jc w:val="both"/>
        <w:rPr>
          <w:rFonts w:ascii="Arial" w:hAnsi="Arial" w:cs="Arial"/>
          <w:sz w:val="24"/>
          <w:szCs w:val="24"/>
        </w:rPr>
      </w:pPr>
      <w:r w:rsidRPr="004B0EE2">
        <w:rPr>
          <w:rFonts w:ascii="Arial" w:hAnsi="Arial" w:cs="Arial"/>
          <w:sz w:val="24"/>
          <w:szCs w:val="24"/>
        </w:rPr>
        <w:t>¿Existieron procesos de dialogo y encuentros entre las instituciones públicas y la comunidad para contextualizar y explicar lo que es el AMPR?</w:t>
      </w:r>
    </w:p>
    <w:p w:rsidR="00F30CF1" w:rsidRPr="004B0EE2" w:rsidRDefault="00F30CF1" w:rsidP="00F30CF1">
      <w:pPr>
        <w:pStyle w:val="Prrafodelista"/>
        <w:numPr>
          <w:ilvl w:val="0"/>
          <w:numId w:val="33"/>
        </w:numPr>
        <w:tabs>
          <w:tab w:val="left" w:pos="1305"/>
        </w:tabs>
        <w:spacing w:line="360" w:lineRule="auto"/>
        <w:jc w:val="both"/>
        <w:rPr>
          <w:rFonts w:ascii="Arial" w:hAnsi="Arial" w:cs="Arial"/>
          <w:sz w:val="24"/>
          <w:szCs w:val="24"/>
        </w:rPr>
      </w:pPr>
      <w:r w:rsidRPr="004B0EE2">
        <w:rPr>
          <w:rFonts w:ascii="Arial" w:hAnsi="Arial" w:cs="Arial"/>
          <w:sz w:val="24"/>
          <w:szCs w:val="24"/>
        </w:rPr>
        <w:t>¿Percibe usted que el tema pesquero ha mejorado en la comunidad con la implementación del AMPR?</w:t>
      </w:r>
    </w:p>
    <w:p w:rsidR="00F30CF1" w:rsidRPr="004B0EE2" w:rsidRDefault="00F30CF1" w:rsidP="00F30CF1">
      <w:pPr>
        <w:pStyle w:val="Prrafodelista"/>
        <w:numPr>
          <w:ilvl w:val="0"/>
          <w:numId w:val="33"/>
        </w:numPr>
        <w:tabs>
          <w:tab w:val="left" w:pos="1305"/>
        </w:tabs>
        <w:spacing w:line="360" w:lineRule="auto"/>
        <w:jc w:val="both"/>
        <w:rPr>
          <w:rFonts w:ascii="Arial" w:hAnsi="Arial" w:cs="Arial"/>
          <w:sz w:val="24"/>
          <w:szCs w:val="24"/>
        </w:rPr>
      </w:pPr>
      <w:r w:rsidRPr="004B0EE2">
        <w:rPr>
          <w:rFonts w:ascii="Arial" w:hAnsi="Arial" w:cs="Arial"/>
          <w:sz w:val="24"/>
          <w:szCs w:val="24"/>
        </w:rPr>
        <w:lastRenderedPageBreak/>
        <w:t xml:space="preserve"> Luego de la implementación del AMPR, ¿sigue existiendo un acompañamiento por parte de las instituciones públicas (INCOPESCA)?</w:t>
      </w:r>
    </w:p>
    <w:p w:rsidR="00F30CF1" w:rsidRPr="00F30CF1" w:rsidRDefault="00F30CF1" w:rsidP="00F30CF1">
      <w:pPr>
        <w:pStyle w:val="Prrafodelista"/>
        <w:numPr>
          <w:ilvl w:val="0"/>
          <w:numId w:val="33"/>
        </w:numPr>
        <w:tabs>
          <w:tab w:val="left" w:pos="1305"/>
        </w:tabs>
        <w:spacing w:line="360" w:lineRule="auto"/>
        <w:jc w:val="both"/>
        <w:rPr>
          <w:rFonts w:ascii="Arial" w:hAnsi="Arial" w:cs="Arial"/>
          <w:sz w:val="24"/>
          <w:szCs w:val="24"/>
        </w:rPr>
      </w:pPr>
      <w:r w:rsidRPr="004B0EE2">
        <w:rPr>
          <w:rFonts w:ascii="Arial" w:hAnsi="Arial" w:cs="Arial"/>
          <w:sz w:val="24"/>
          <w:szCs w:val="24"/>
        </w:rPr>
        <w:t>¿Considera usted que no se está logrando e</w:t>
      </w:r>
      <w:r>
        <w:rPr>
          <w:rFonts w:ascii="Arial" w:hAnsi="Arial" w:cs="Arial"/>
          <w:sz w:val="24"/>
          <w:szCs w:val="24"/>
        </w:rPr>
        <w:t>l propósito del AMPR? ¿Por qué?</w:t>
      </w:r>
    </w:p>
    <w:p w:rsidR="00F30CF1" w:rsidRDefault="00F30CF1" w:rsidP="00F30CF1">
      <w:pPr>
        <w:tabs>
          <w:tab w:val="left" w:pos="1305"/>
        </w:tabs>
        <w:spacing w:line="360" w:lineRule="auto"/>
        <w:jc w:val="center"/>
        <w:rPr>
          <w:rFonts w:ascii="Arial" w:hAnsi="Arial" w:cs="Arial"/>
          <w:b/>
          <w:sz w:val="24"/>
          <w:szCs w:val="24"/>
          <w:u w:val="single"/>
        </w:rPr>
      </w:pPr>
    </w:p>
    <w:p w:rsidR="00F30CF1" w:rsidRDefault="00F30CF1" w:rsidP="00F30CF1">
      <w:pPr>
        <w:tabs>
          <w:tab w:val="left" w:pos="1305"/>
        </w:tabs>
        <w:spacing w:line="360" w:lineRule="auto"/>
        <w:jc w:val="center"/>
        <w:rPr>
          <w:rFonts w:ascii="Arial" w:hAnsi="Arial" w:cs="Arial"/>
          <w:b/>
          <w:sz w:val="24"/>
          <w:szCs w:val="24"/>
          <w:u w:val="single"/>
        </w:rPr>
      </w:pPr>
    </w:p>
    <w:p w:rsidR="00F30CF1" w:rsidRDefault="00F30CF1" w:rsidP="00F30CF1">
      <w:pPr>
        <w:tabs>
          <w:tab w:val="left" w:pos="1305"/>
        </w:tabs>
        <w:spacing w:line="360" w:lineRule="auto"/>
        <w:jc w:val="center"/>
        <w:rPr>
          <w:rFonts w:ascii="Arial" w:hAnsi="Arial" w:cs="Arial"/>
          <w:b/>
          <w:sz w:val="24"/>
          <w:szCs w:val="24"/>
          <w:u w:val="single"/>
        </w:rPr>
      </w:pPr>
    </w:p>
    <w:p w:rsidR="00F30CF1" w:rsidRDefault="00F30CF1" w:rsidP="00F30CF1">
      <w:pPr>
        <w:tabs>
          <w:tab w:val="left" w:pos="1305"/>
        </w:tabs>
        <w:spacing w:line="360" w:lineRule="auto"/>
        <w:jc w:val="center"/>
        <w:rPr>
          <w:rFonts w:ascii="Arial" w:hAnsi="Arial" w:cs="Arial"/>
          <w:b/>
          <w:sz w:val="24"/>
          <w:szCs w:val="24"/>
          <w:u w:val="single"/>
        </w:rPr>
      </w:pPr>
    </w:p>
    <w:p w:rsidR="00F30CF1" w:rsidRDefault="00F30CF1" w:rsidP="00F30CF1">
      <w:pPr>
        <w:tabs>
          <w:tab w:val="left" w:pos="1305"/>
        </w:tabs>
        <w:spacing w:line="360" w:lineRule="auto"/>
        <w:jc w:val="center"/>
        <w:rPr>
          <w:rFonts w:ascii="Arial" w:hAnsi="Arial" w:cs="Arial"/>
          <w:b/>
          <w:sz w:val="24"/>
          <w:szCs w:val="24"/>
          <w:u w:val="single"/>
        </w:rPr>
      </w:pPr>
    </w:p>
    <w:p w:rsidR="00F30CF1" w:rsidRDefault="00F30CF1" w:rsidP="00F30CF1">
      <w:pPr>
        <w:tabs>
          <w:tab w:val="left" w:pos="1305"/>
        </w:tabs>
        <w:spacing w:line="360" w:lineRule="auto"/>
        <w:jc w:val="center"/>
        <w:rPr>
          <w:rFonts w:ascii="Arial" w:hAnsi="Arial" w:cs="Arial"/>
          <w:b/>
          <w:sz w:val="24"/>
          <w:szCs w:val="24"/>
          <w:u w:val="single"/>
        </w:rPr>
      </w:pPr>
    </w:p>
    <w:p w:rsidR="00F30CF1" w:rsidRDefault="00F30CF1" w:rsidP="00F30CF1">
      <w:pPr>
        <w:tabs>
          <w:tab w:val="left" w:pos="1305"/>
        </w:tabs>
        <w:spacing w:line="360" w:lineRule="auto"/>
        <w:jc w:val="center"/>
        <w:rPr>
          <w:rFonts w:ascii="Arial" w:hAnsi="Arial" w:cs="Arial"/>
          <w:b/>
          <w:sz w:val="24"/>
          <w:szCs w:val="24"/>
          <w:u w:val="single"/>
        </w:rPr>
      </w:pPr>
    </w:p>
    <w:p w:rsidR="00F30CF1" w:rsidRDefault="00F30CF1" w:rsidP="00F30CF1">
      <w:pPr>
        <w:tabs>
          <w:tab w:val="left" w:pos="1305"/>
        </w:tabs>
        <w:spacing w:line="360" w:lineRule="auto"/>
        <w:jc w:val="center"/>
        <w:rPr>
          <w:rFonts w:ascii="Arial" w:hAnsi="Arial" w:cs="Arial"/>
          <w:b/>
          <w:sz w:val="24"/>
          <w:szCs w:val="24"/>
          <w:u w:val="single"/>
        </w:rPr>
      </w:pPr>
    </w:p>
    <w:p w:rsidR="00F30CF1" w:rsidRDefault="00F30CF1" w:rsidP="00F30CF1">
      <w:pPr>
        <w:tabs>
          <w:tab w:val="left" w:pos="1305"/>
        </w:tabs>
        <w:spacing w:line="360" w:lineRule="auto"/>
        <w:jc w:val="center"/>
        <w:rPr>
          <w:rFonts w:ascii="Arial" w:hAnsi="Arial" w:cs="Arial"/>
          <w:b/>
          <w:sz w:val="24"/>
          <w:szCs w:val="24"/>
          <w:u w:val="single"/>
        </w:rPr>
      </w:pPr>
    </w:p>
    <w:p w:rsidR="00F30CF1" w:rsidRDefault="00F30CF1" w:rsidP="00F30CF1">
      <w:pPr>
        <w:tabs>
          <w:tab w:val="left" w:pos="1305"/>
        </w:tabs>
        <w:spacing w:line="360" w:lineRule="auto"/>
        <w:jc w:val="center"/>
        <w:rPr>
          <w:rFonts w:ascii="Arial" w:hAnsi="Arial" w:cs="Arial"/>
          <w:b/>
          <w:sz w:val="24"/>
          <w:szCs w:val="24"/>
          <w:u w:val="single"/>
        </w:rPr>
      </w:pPr>
    </w:p>
    <w:p w:rsidR="00F30CF1" w:rsidRDefault="00F30CF1" w:rsidP="00F30CF1">
      <w:pPr>
        <w:tabs>
          <w:tab w:val="left" w:pos="1305"/>
        </w:tabs>
        <w:spacing w:line="360" w:lineRule="auto"/>
        <w:jc w:val="center"/>
        <w:rPr>
          <w:rFonts w:ascii="Arial" w:hAnsi="Arial" w:cs="Arial"/>
          <w:b/>
          <w:sz w:val="24"/>
          <w:szCs w:val="24"/>
          <w:u w:val="single"/>
        </w:rPr>
      </w:pPr>
    </w:p>
    <w:p w:rsidR="00F30CF1" w:rsidRDefault="00F30CF1" w:rsidP="00F30CF1">
      <w:pPr>
        <w:tabs>
          <w:tab w:val="left" w:pos="1305"/>
        </w:tabs>
        <w:spacing w:line="360" w:lineRule="auto"/>
        <w:jc w:val="center"/>
        <w:rPr>
          <w:rFonts w:ascii="Arial" w:hAnsi="Arial" w:cs="Arial"/>
          <w:b/>
          <w:sz w:val="24"/>
          <w:szCs w:val="24"/>
          <w:u w:val="single"/>
        </w:rPr>
      </w:pPr>
    </w:p>
    <w:p w:rsidR="00F30CF1" w:rsidRDefault="00F30CF1" w:rsidP="00F30CF1">
      <w:pPr>
        <w:tabs>
          <w:tab w:val="left" w:pos="1305"/>
        </w:tabs>
        <w:spacing w:line="360" w:lineRule="auto"/>
        <w:jc w:val="center"/>
        <w:rPr>
          <w:rFonts w:ascii="Arial" w:hAnsi="Arial" w:cs="Arial"/>
          <w:b/>
          <w:sz w:val="24"/>
          <w:szCs w:val="24"/>
          <w:u w:val="single"/>
        </w:rPr>
      </w:pPr>
    </w:p>
    <w:p w:rsidR="00F30CF1" w:rsidRDefault="00F30CF1" w:rsidP="00F30CF1">
      <w:pPr>
        <w:tabs>
          <w:tab w:val="left" w:pos="1305"/>
        </w:tabs>
        <w:spacing w:line="360" w:lineRule="auto"/>
        <w:jc w:val="center"/>
        <w:rPr>
          <w:rFonts w:ascii="Arial" w:hAnsi="Arial" w:cs="Arial"/>
          <w:b/>
          <w:sz w:val="24"/>
          <w:szCs w:val="24"/>
          <w:u w:val="single"/>
        </w:rPr>
      </w:pPr>
    </w:p>
    <w:p w:rsidR="00F30CF1" w:rsidRDefault="00F30CF1" w:rsidP="00F30CF1">
      <w:pPr>
        <w:tabs>
          <w:tab w:val="left" w:pos="1305"/>
        </w:tabs>
        <w:spacing w:line="360" w:lineRule="auto"/>
        <w:jc w:val="center"/>
        <w:rPr>
          <w:rFonts w:ascii="Arial" w:hAnsi="Arial" w:cs="Arial"/>
          <w:b/>
          <w:sz w:val="24"/>
          <w:szCs w:val="24"/>
          <w:u w:val="single"/>
        </w:rPr>
      </w:pPr>
    </w:p>
    <w:p w:rsidR="00F30CF1" w:rsidRDefault="00F30CF1" w:rsidP="00F30CF1">
      <w:pPr>
        <w:tabs>
          <w:tab w:val="left" w:pos="1305"/>
        </w:tabs>
        <w:spacing w:line="360" w:lineRule="auto"/>
        <w:jc w:val="center"/>
        <w:rPr>
          <w:rFonts w:ascii="Arial" w:hAnsi="Arial" w:cs="Arial"/>
          <w:b/>
          <w:sz w:val="24"/>
          <w:szCs w:val="24"/>
          <w:u w:val="single"/>
        </w:rPr>
      </w:pPr>
    </w:p>
    <w:p w:rsidR="00F30CF1" w:rsidRDefault="00F30CF1" w:rsidP="00F30CF1">
      <w:pPr>
        <w:tabs>
          <w:tab w:val="left" w:pos="1305"/>
        </w:tabs>
        <w:spacing w:line="360" w:lineRule="auto"/>
        <w:jc w:val="center"/>
        <w:rPr>
          <w:rFonts w:ascii="Arial" w:hAnsi="Arial" w:cs="Arial"/>
          <w:b/>
          <w:sz w:val="24"/>
          <w:szCs w:val="24"/>
          <w:u w:val="single"/>
        </w:rPr>
      </w:pPr>
    </w:p>
    <w:p w:rsidR="00F30CF1" w:rsidRDefault="00F30CF1" w:rsidP="00F30CF1">
      <w:pPr>
        <w:tabs>
          <w:tab w:val="left" w:pos="1305"/>
        </w:tabs>
        <w:spacing w:line="360" w:lineRule="auto"/>
        <w:jc w:val="center"/>
        <w:rPr>
          <w:rFonts w:ascii="Arial" w:hAnsi="Arial" w:cs="Arial"/>
          <w:b/>
          <w:sz w:val="24"/>
          <w:szCs w:val="24"/>
          <w:u w:val="single"/>
        </w:rPr>
      </w:pPr>
    </w:p>
    <w:p w:rsidR="00F30CF1" w:rsidRDefault="00F30CF1" w:rsidP="00F30CF1">
      <w:pPr>
        <w:tabs>
          <w:tab w:val="left" w:pos="1305"/>
        </w:tabs>
        <w:spacing w:line="360" w:lineRule="auto"/>
        <w:jc w:val="center"/>
        <w:rPr>
          <w:rFonts w:ascii="Arial" w:hAnsi="Arial" w:cs="Arial"/>
          <w:b/>
          <w:sz w:val="24"/>
          <w:szCs w:val="24"/>
          <w:u w:val="single"/>
        </w:rPr>
      </w:pPr>
    </w:p>
    <w:p w:rsidR="00F30CF1" w:rsidRDefault="00F30CF1" w:rsidP="00F30CF1">
      <w:pPr>
        <w:tabs>
          <w:tab w:val="left" w:pos="1305"/>
        </w:tabs>
        <w:spacing w:line="360" w:lineRule="auto"/>
        <w:jc w:val="center"/>
        <w:rPr>
          <w:rFonts w:ascii="Arial" w:hAnsi="Arial" w:cs="Arial"/>
          <w:b/>
          <w:sz w:val="24"/>
          <w:szCs w:val="24"/>
          <w:u w:val="single"/>
        </w:rPr>
      </w:pPr>
    </w:p>
    <w:p w:rsidR="00F30CF1" w:rsidRPr="00F30CF1" w:rsidRDefault="00F30CF1" w:rsidP="00F30CF1">
      <w:pPr>
        <w:tabs>
          <w:tab w:val="left" w:pos="1305"/>
        </w:tabs>
        <w:spacing w:line="360" w:lineRule="auto"/>
        <w:jc w:val="center"/>
        <w:rPr>
          <w:rFonts w:ascii="Arial" w:hAnsi="Arial" w:cs="Arial"/>
          <w:b/>
          <w:sz w:val="24"/>
          <w:szCs w:val="24"/>
          <w:u w:val="single"/>
        </w:rPr>
      </w:pPr>
      <w:r w:rsidRPr="00F30CF1">
        <w:rPr>
          <w:rFonts w:ascii="Arial" w:hAnsi="Arial" w:cs="Arial"/>
          <w:b/>
          <w:sz w:val="24"/>
          <w:szCs w:val="24"/>
          <w:u w:val="single"/>
        </w:rPr>
        <w:lastRenderedPageBreak/>
        <w:t>Guía entrevista de actores institucionales</w:t>
      </w:r>
    </w:p>
    <w:p w:rsidR="00F30CF1" w:rsidRPr="004B0EE2" w:rsidRDefault="00F30CF1" w:rsidP="00F30CF1">
      <w:pPr>
        <w:spacing w:line="240" w:lineRule="auto"/>
        <w:jc w:val="both"/>
        <w:rPr>
          <w:rFonts w:ascii="Arial" w:hAnsi="Arial" w:cs="Arial"/>
          <w:b/>
          <w:sz w:val="24"/>
          <w:szCs w:val="24"/>
        </w:rPr>
      </w:pPr>
      <w:r w:rsidRPr="004B0EE2">
        <w:rPr>
          <w:rFonts w:ascii="Arial" w:hAnsi="Arial" w:cs="Arial"/>
          <w:b/>
          <w:sz w:val="24"/>
          <w:szCs w:val="24"/>
        </w:rPr>
        <w:t>Universidad Nacional</w:t>
      </w:r>
    </w:p>
    <w:p w:rsidR="00F30CF1" w:rsidRPr="004B0EE2" w:rsidRDefault="00F30CF1" w:rsidP="00F30CF1">
      <w:pPr>
        <w:spacing w:line="240" w:lineRule="auto"/>
        <w:jc w:val="both"/>
        <w:rPr>
          <w:rFonts w:ascii="Arial" w:hAnsi="Arial" w:cs="Arial"/>
          <w:b/>
          <w:sz w:val="24"/>
          <w:szCs w:val="24"/>
        </w:rPr>
      </w:pPr>
      <w:r w:rsidRPr="004B0EE2">
        <w:rPr>
          <w:rFonts w:ascii="Arial" w:hAnsi="Arial" w:cs="Arial"/>
          <w:b/>
          <w:sz w:val="24"/>
          <w:szCs w:val="24"/>
        </w:rPr>
        <w:t>Instrumentos de recolección de información para el TFG</w:t>
      </w:r>
    </w:p>
    <w:p w:rsidR="00F30CF1" w:rsidRPr="004B0EE2" w:rsidRDefault="00F30CF1" w:rsidP="00F30CF1">
      <w:pPr>
        <w:spacing w:line="240" w:lineRule="auto"/>
        <w:jc w:val="both"/>
        <w:rPr>
          <w:rFonts w:ascii="Arial" w:hAnsi="Arial" w:cs="Arial"/>
          <w:b/>
          <w:sz w:val="24"/>
          <w:szCs w:val="24"/>
        </w:rPr>
      </w:pPr>
      <w:r w:rsidRPr="004B0EE2">
        <w:rPr>
          <w:rFonts w:ascii="Arial" w:hAnsi="Arial" w:cs="Arial"/>
          <w:b/>
          <w:sz w:val="24"/>
          <w:szCs w:val="24"/>
        </w:rPr>
        <w:t xml:space="preserve">Estudiante: Greivin Azofeifa Hernández </w:t>
      </w:r>
    </w:p>
    <w:p w:rsidR="00F30CF1" w:rsidRPr="004B0EE2" w:rsidRDefault="00F30CF1" w:rsidP="00F30CF1">
      <w:pPr>
        <w:spacing w:before="240" w:line="360" w:lineRule="auto"/>
        <w:jc w:val="both"/>
        <w:rPr>
          <w:rFonts w:ascii="Arial" w:hAnsi="Arial" w:cs="Arial"/>
          <w:b/>
          <w:sz w:val="24"/>
          <w:szCs w:val="24"/>
          <w:u w:val="single"/>
        </w:rPr>
      </w:pPr>
    </w:p>
    <w:p w:rsidR="00F30CF1" w:rsidRPr="004B0EE2" w:rsidRDefault="00F30CF1" w:rsidP="00F30CF1">
      <w:pPr>
        <w:spacing w:before="240" w:line="360" w:lineRule="auto"/>
        <w:jc w:val="center"/>
        <w:rPr>
          <w:rFonts w:ascii="Arial" w:hAnsi="Arial" w:cs="Arial"/>
          <w:b/>
          <w:sz w:val="24"/>
          <w:szCs w:val="24"/>
          <w:u w:val="single"/>
        </w:rPr>
      </w:pPr>
      <w:r w:rsidRPr="004B0EE2">
        <w:rPr>
          <w:rFonts w:ascii="Arial" w:hAnsi="Arial" w:cs="Arial"/>
          <w:b/>
          <w:sz w:val="24"/>
          <w:szCs w:val="24"/>
          <w:u w:val="single"/>
        </w:rPr>
        <w:t>Entrevista</w:t>
      </w:r>
    </w:p>
    <w:p w:rsidR="00F30CF1" w:rsidRPr="004B0EE2" w:rsidRDefault="00F30CF1" w:rsidP="00F30CF1">
      <w:pPr>
        <w:spacing w:before="240" w:line="360" w:lineRule="auto"/>
        <w:jc w:val="both"/>
        <w:rPr>
          <w:rFonts w:ascii="Arial" w:hAnsi="Arial" w:cs="Arial"/>
          <w:sz w:val="24"/>
          <w:szCs w:val="24"/>
        </w:rPr>
      </w:pPr>
      <w:r w:rsidRPr="004B0EE2">
        <w:rPr>
          <w:rFonts w:ascii="Arial" w:hAnsi="Arial" w:cs="Arial"/>
          <w:b/>
          <w:noProof/>
          <w:sz w:val="24"/>
          <w:szCs w:val="24"/>
          <w:u w:val="single"/>
          <w:lang w:eastAsia="es-CR"/>
        </w:rPr>
        <mc:AlternateContent>
          <mc:Choice Requires="wps">
            <w:drawing>
              <wp:anchor distT="0" distB="0" distL="114300" distR="114300" simplePos="0" relativeHeight="251683840" behindDoc="0" locked="0" layoutInCell="1" allowOverlap="1" wp14:anchorId="123F5D47" wp14:editId="23EA26DD">
                <wp:simplePos x="0" y="0"/>
                <wp:positionH relativeFrom="margin">
                  <wp:align>center</wp:align>
                </wp:positionH>
                <wp:positionV relativeFrom="paragraph">
                  <wp:posOffset>102870</wp:posOffset>
                </wp:positionV>
                <wp:extent cx="5819775" cy="1666875"/>
                <wp:effectExtent l="0" t="0" r="28575" b="28575"/>
                <wp:wrapNone/>
                <wp:docPr id="10" name="Rectángulo 10"/>
                <wp:cNvGraphicFramePr/>
                <a:graphic xmlns:a="http://schemas.openxmlformats.org/drawingml/2006/main">
                  <a:graphicData uri="http://schemas.microsoft.com/office/word/2010/wordprocessingShape">
                    <wps:wsp>
                      <wps:cNvSpPr/>
                      <wps:spPr>
                        <a:xfrm>
                          <a:off x="0" y="0"/>
                          <a:ext cx="5819775" cy="1666875"/>
                        </a:xfrm>
                        <a:prstGeom prst="rect">
                          <a:avLst/>
                        </a:prstGeom>
                        <a:ln>
                          <a:solidFill>
                            <a:schemeClr val="tx1">
                              <a:lumMod val="95000"/>
                              <a:lumOff val="5000"/>
                            </a:schemeClr>
                          </a:solidFill>
                        </a:ln>
                      </wps:spPr>
                      <wps:style>
                        <a:lnRef idx="2">
                          <a:schemeClr val="accent6"/>
                        </a:lnRef>
                        <a:fillRef idx="1">
                          <a:schemeClr val="lt1"/>
                        </a:fillRef>
                        <a:effectRef idx="0">
                          <a:schemeClr val="accent6"/>
                        </a:effectRef>
                        <a:fontRef idx="minor">
                          <a:schemeClr val="dk1"/>
                        </a:fontRef>
                      </wps:style>
                      <wps:txbx>
                        <w:txbxContent>
                          <w:p w:rsidR="00424427" w:rsidRPr="003377EC" w:rsidRDefault="00424427" w:rsidP="00F30CF1">
                            <w:pPr>
                              <w:spacing w:line="480" w:lineRule="auto"/>
                              <w:jc w:val="both"/>
                              <w:rPr>
                                <w:rFonts w:ascii="Times New Roman" w:hAnsi="Times New Roman" w:cs="Times New Roman"/>
                                <w:b/>
                                <w:sz w:val="24"/>
                                <w:szCs w:val="24"/>
                              </w:rPr>
                            </w:pPr>
                            <w:r>
                              <w:rPr>
                                <w:rFonts w:ascii="Times New Roman" w:hAnsi="Times New Roman" w:cs="Times New Roman"/>
                                <w:b/>
                                <w:sz w:val="24"/>
                                <w:szCs w:val="24"/>
                              </w:rPr>
                              <w:t xml:space="preserve">El objetivo de esta entrevista es recolectar información para una investigación que está realizando mi persona para optar por el grado de licenciatura de la carrera de Planificación Económica y Social. El tema a tratar es relacionado a la gestión del área marina de pesca responsable Paquera – Tambor. Garantizamos que la información brindada será utilizada de manera confidencial. </w:t>
                            </w:r>
                          </w:p>
                          <w:p w:rsidR="00424427" w:rsidRDefault="00424427" w:rsidP="00F30CF1">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123F5D47" id="Rectángulo 10" o:spid="_x0000_s1027" style="position:absolute;left:0;text-align:left;margin-left:0;margin-top:8.1pt;width:458.25pt;height:131.25pt;z-index:251683840;visibility:visible;mso-wrap-style:square;mso-height-percent:0;mso-wrap-distance-left:9pt;mso-wrap-distance-top:0;mso-wrap-distance-right:9pt;mso-wrap-distance-bottom:0;mso-position-horizontal:center;mso-position-horizontal-relative:margin;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" fillcolor="white [3201]" strokecolor="#0d0d0d [3069]" strokeweight="1pt">
                <v:textbox>
                  <w:txbxContent>
                    <w:p w:rsidR="00424427" w:rsidRPr="003377EC" w:rsidRDefault="00424427" w:rsidP="00F30CF1">
                      <w:pPr>
                        <w:spacing w:line="480" w:lineRule="auto"/>
                        <w:jc w:val="both"/>
                        <w:rPr>
                          <w:rFonts w:ascii="Times New Roman" w:hAnsi="Times New Roman" w:cs="Times New Roman"/>
                          <w:b/>
                          <w:sz w:val="24"/>
                          <w:szCs w:val="24"/>
                        </w:rPr>
                      </w:pPr>
                      <w:r>
                        <w:rPr>
                          <w:rFonts w:ascii="Times New Roman" w:hAnsi="Times New Roman" w:cs="Times New Roman"/>
                          <w:b/>
                          <w:sz w:val="24"/>
                          <w:szCs w:val="24"/>
                        </w:rPr>
                        <w:t xml:space="preserve">El objetivo de esta entrevista es recolectar información para una investigación que está realizando mi persona para optar por el grado de licenciatura de la carrera de Planificación Económica y Social. El tema a tratar es relacionado a la gestión del área marina de pesca responsable Paquera – Tambor. Garantizamos que la información brindada será utilizada de manera confidencial. </w:t>
                      </w:r>
                    </w:p>
                    <w:p w:rsidR="00424427" w:rsidRDefault="00424427" w:rsidP="00F30CF1">
                      <w:pPr>
                        <w:jc w:val="center"/>
                      </w:pPr>
                    </w:p>
                  </w:txbxContent>
                </v:textbox>
                <w10:wrap anchorx="margin"/>
              </v:rect>
            </w:pict>
          </mc:Fallback>
        </mc:AlternateContent>
      </w:r>
    </w:p>
    <w:p w:rsidR="00F30CF1" w:rsidRPr="004B0EE2" w:rsidRDefault="00F30CF1" w:rsidP="00F30CF1">
      <w:pPr>
        <w:spacing w:line="360" w:lineRule="auto"/>
        <w:jc w:val="both"/>
        <w:rPr>
          <w:rFonts w:ascii="Arial" w:hAnsi="Arial" w:cs="Arial"/>
          <w:sz w:val="24"/>
          <w:szCs w:val="24"/>
        </w:rPr>
      </w:pPr>
    </w:p>
    <w:p w:rsidR="00F30CF1" w:rsidRPr="004B0EE2" w:rsidRDefault="00F30CF1" w:rsidP="00F30CF1">
      <w:pPr>
        <w:spacing w:line="360" w:lineRule="auto"/>
        <w:jc w:val="both"/>
        <w:rPr>
          <w:rFonts w:ascii="Arial" w:hAnsi="Arial" w:cs="Arial"/>
          <w:sz w:val="24"/>
          <w:szCs w:val="24"/>
        </w:rPr>
      </w:pPr>
    </w:p>
    <w:p w:rsidR="00F30CF1" w:rsidRPr="004B0EE2" w:rsidRDefault="00F30CF1" w:rsidP="00F30CF1">
      <w:pPr>
        <w:spacing w:line="360" w:lineRule="auto"/>
        <w:jc w:val="both"/>
        <w:rPr>
          <w:rFonts w:ascii="Arial" w:hAnsi="Arial" w:cs="Arial"/>
          <w:sz w:val="24"/>
          <w:szCs w:val="24"/>
        </w:rPr>
      </w:pPr>
    </w:p>
    <w:p w:rsidR="00F30CF1" w:rsidRPr="004B0EE2" w:rsidRDefault="00F30CF1" w:rsidP="00F30CF1">
      <w:pPr>
        <w:tabs>
          <w:tab w:val="left" w:pos="1305"/>
        </w:tabs>
        <w:spacing w:line="360" w:lineRule="auto"/>
        <w:jc w:val="both"/>
        <w:rPr>
          <w:rFonts w:ascii="Arial" w:hAnsi="Arial" w:cs="Arial"/>
          <w:b/>
          <w:sz w:val="24"/>
          <w:szCs w:val="24"/>
        </w:rPr>
      </w:pPr>
    </w:p>
    <w:p w:rsidR="00F30CF1" w:rsidRPr="004B0EE2" w:rsidRDefault="00F30CF1" w:rsidP="00F30CF1">
      <w:pPr>
        <w:pStyle w:val="Prrafodelista"/>
        <w:tabs>
          <w:tab w:val="left" w:pos="1305"/>
        </w:tabs>
        <w:spacing w:line="360" w:lineRule="auto"/>
        <w:jc w:val="both"/>
        <w:rPr>
          <w:rFonts w:ascii="Arial" w:hAnsi="Arial" w:cs="Arial"/>
          <w:b/>
          <w:sz w:val="24"/>
          <w:szCs w:val="24"/>
        </w:rPr>
      </w:pPr>
    </w:p>
    <w:p w:rsidR="00F30CF1" w:rsidRPr="004B0EE2" w:rsidRDefault="00F30CF1" w:rsidP="00F30CF1">
      <w:pPr>
        <w:pStyle w:val="Prrafodelista"/>
        <w:numPr>
          <w:ilvl w:val="0"/>
          <w:numId w:val="34"/>
        </w:numPr>
        <w:tabs>
          <w:tab w:val="left" w:pos="1305"/>
        </w:tabs>
        <w:spacing w:line="360" w:lineRule="auto"/>
        <w:jc w:val="both"/>
        <w:rPr>
          <w:rFonts w:ascii="Arial" w:hAnsi="Arial" w:cs="Arial"/>
          <w:b/>
          <w:sz w:val="24"/>
          <w:szCs w:val="24"/>
        </w:rPr>
      </w:pPr>
      <w:r w:rsidRPr="004B0EE2">
        <w:rPr>
          <w:rFonts w:ascii="Arial" w:hAnsi="Arial" w:cs="Arial"/>
          <w:sz w:val="24"/>
          <w:szCs w:val="24"/>
        </w:rPr>
        <w:t>¿Cuáles fueron los motivos para desarrollar el AMPR en la zona Paquera – Tambor?</w:t>
      </w:r>
    </w:p>
    <w:p w:rsidR="00F30CF1" w:rsidRPr="004B0EE2" w:rsidRDefault="00F30CF1" w:rsidP="00F30CF1">
      <w:pPr>
        <w:pStyle w:val="Prrafodelista"/>
        <w:numPr>
          <w:ilvl w:val="0"/>
          <w:numId w:val="34"/>
        </w:numPr>
        <w:tabs>
          <w:tab w:val="left" w:pos="1305"/>
        </w:tabs>
        <w:spacing w:line="360" w:lineRule="auto"/>
        <w:jc w:val="both"/>
        <w:rPr>
          <w:rFonts w:ascii="Arial" w:hAnsi="Arial" w:cs="Arial"/>
          <w:b/>
          <w:sz w:val="24"/>
          <w:szCs w:val="24"/>
        </w:rPr>
      </w:pPr>
      <w:r w:rsidRPr="004B0EE2">
        <w:rPr>
          <w:rFonts w:ascii="Arial" w:hAnsi="Arial" w:cs="Arial"/>
          <w:b/>
          <w:sz w:val="24"/>
          <w:szCs w:val="24"/>
        </w:rPr>
        <w:t xml:space="preserve"> </w:t>
      </w:r>
      <w:r w:rsidRPr="004B0EE2">
        <w:rPr>
          <w:rFonts w:ascii="Arial" w:hAnsi="Arial" w:cs="Arial"/>
          <w:sz w:val="24"/>
          <w:szCs w:val="24"/>
        </w:rPr>
        <w:t>¿Realizaron procesos de diagnósticos participativos para la formulación del proyecto?</w:t>
      </w:r>
    </w:p>
    <w:p w:rsidR="00F30CF1" w:rsidRPr="004B0EE2" w:rsidRDefault="00F30CF1" w:rsidP="00F30CF1">
      <w:pPr>
        <w:pStyle w:val="Prrafodelista"/>
        <w:numPr>
          <w:ilvl w:val="0"/>
          <w:numId w:val="34"/>
        </w:numPr>
        <w:tabs>
          <w:tab w:val="left" w:pos="1305"/>
        </w:tabs>
        <w:spacing w:line="360" w:lineRule="auto"/>
        <w:jc w:val="both"/>
        <w:rPr>
          <w:rFonts w:ascii="Arial" w:hAnsi="Arial" w:cs="Arial"/>
          <w:b/>
          <w:sz w:val="24"/>
          <w:szCs w:val="24"/>
        </w:rPr>
      </w:pPr>
      <w:r w:rsidRPr="004B0EE2">
        <w:rPr>
          <w:rFonts w:ascii="Arial" w:hAnsi="Arial" w:cs="Arial"/>
          <w:b/>
          <w:sz w:val="24"/>
          <w:szCs w:val="24"/>
        </w:rPr>
        <w:t xml:space="preserve"> </w:t>
      </w:r>
      <w:r w:rsidRPr="004B0EE2">
        <w:rPr>
          <w:rFonts w:ascii="Arial" w:hAnsi="Arial" w:cs="Arial"/>
          <w:sz w:val="24"/>
          <w:szCs w:val="24"/>
        </w:rPr>
        <w:t>¿De qué manera involucraron a la comunidad en la toma de decisiones en cuanto a la formulación del AMPR?</w:t>
      </w:r>
    </w:p>
    <w:p w:rsidR="00F30CF1" w:rsidRPr="004B0EE2" w:rsidRDefault="00F30CF1" w:rsidP="00F30CF1">
      <w:pPr>
        <w:pStyle w:val="Prrafodelista"/>
        <w:numPr>
          <w:ilvl w:val="0"/>
          <w:numId w:val="34"/>
        </w:numPr>
        <w:tabs>
          <w:tab w:val="left" w:pos="1305"/>
        </w:tabs>
        <w:spacing w:line="360" w:lineRule="auto"/>
        <w:jc w:val="both"/>
        <w:rPr>
          <w:rFonts w:ascii="Arial" w:hAnsi="Arial" w:cs="Arial"/>
          <w:b/>
          <w:sz w:val="24"/>
          <w:szCs w:val="24"/>
        </w:rPr>
      </w:pPr>
      <w:r w:rsidRPr="004B0EE2">
        <w:rPr>
          <w:rFonts w:ascii="Arial" w:hAnsi="Arial" w:cs="Arial"/>
          <w:sz w:val="24"/>
          <w:szCs w:val="24"/>
        </w:rPr>
        <w:t xml:space="preserve"> ¿Qué metodologías utilizaron?</w:t>
      </w:r>
    </w:p>
    <w:p w:rsidR="00F30CF1" w:rsidRPr="004B0EE2" w:rsidRDefault="00F30CF1" w:rsidP="00F30CF1">
      <w:pPr>
        <w:pStyle w:val="Prrafodelista"/>
        <w:numPr>
          <w:ilvl w:val="0"/>
          <w:numId w:val="34"/>
        </w:numPr>
        <w:tabs>
          <w:tab w:val="left" w:pos="1305"/>
        </w:tabs>
        <w:spacing w:line="360" w:lineRule="auto"/>
        <w:jc w:val="both"/>
        <w:rPr>
          <w:rFonts w:ascii="Arial" w:hAnsi="Arial" w:cs="Arial"/>
          <w:b/>
          <w:sz w:val="24"/>
          <w:szCs w:val="24"/>
        </w:rPr>
      </w:pPr>
      <w:r w:rsidRPr="004B0EE2">
        <w:rPr>
          <w:rFonts w:ascii="Arial" w:hAnsi="Arial" w:cs="Arial"/>
          <w:sz w:val="24"/>
          <w:szCs w:val="24"/>
        </w:rPr>
        <w:t xml:space="preserve"> ¿Concibe usted que es importante que la comunidad se involucre en los procesos de formulación del AMPR?</w:t>
      </w:r>
    </w:p>
    <w:p w:rsidR="00F30CF1" w:rsidRPr="004B0EE2" w:rsidRDefault="00F30CF1" w:rsidP="00F30CF1">
      <w:pPr>
        <w:pStyle w:val="Prrafodelista"/>
        <w:numPr>
          <w:ilvl w:val="0"/>
          <w:numId w:val="34"/>
        </w:numPr>
        <w:tabs>
          <w:tab w:val="left" w:pos="1305"/>
        </w:tabs>
        <w:spacing w:line="360" w:lineRule="auto"/>
        <w:jc w:val="both"/>
        <w:rPr>
          <w:rFonts w:ascii="Arial" w:hAnsi="Arial" w:cs="Arial"/>
          <w:b/>
          <w:sz w:val="24"/>
          <w:szCs w:val="24"/>
        </w:rPr>
      </w:pPr>
      <w:r w:rsidRPr="004B0EE2">
        <w:rPr>
          <w:rFonts w:ascii="Arial" w:hAnsi="Arial" w:cs="Arial"/>
          <w:sz w:val="24"/>
          <w:szCs w:val="24"/>
        </w:rPr>
        <w:t xml:space="preserve"> ¿Explican en su totalidad los aspectos técnicos y legales del AMPR a la comunidad? </w:t>
      </w:r>
    </w:p>
    <w:p w:rsidR="00F30CF1" w:rsidRPr="004B0EE2" w:rsidRDefault="00F30CF1" w:rsidP="00F30CF1">
      <w:pPr>
        <w:pStyle w:val="Prrafodelista"/>
        <w:numPr>
          <w:ilvl w:val="0"/>
          <w:numId w:val="34"/>
        </w:numPr>
        <w:tabs>
          <w:tab w:val="left" w:pos="1305"/>
        </w:tabs>
        <w:spacing w:line="360" w:lineRule="auto"/>
        <w:jc w:val="both"/>
        <w:rPr>
          <w:rFonts w:ascii="Arial" w:hAnsi="Arial" w:cs="Arial"/>
          <w:b/>
          <w:sz w:val="24"/>
          <w:szCs w:val="24"/>
        </w:rPr>
      </w:pPr>
      <w:r w:rsidRPr="004B0EE2">
        <w:rPr>
          <w:rFonts w:ascii="Arial" w:hAnsi="Arial" w:cs="Arial"/>
          <w:b/>
          <w:sz w:val="24"/>
          <w:szCs w:val="24"/>
        </w:rPr>
        <w:t xml:space="preserve"> </w:t>
      </w:r>
      <w:r w:rsidRPr="004B0EE2">
        <w:rPr>
          <w:rFonts w:ascii="Arial" w:hAnsi="Arial" w:cs="Arial"/>
          <w:sz w:val="24"/>
          <w:szCs w:val="24"/>
        </w:rPr>
        <w:t>¿Cómo ha sido la respuesta de la comunidad en cuanto a la implementación de este proyecto?</w:t>
      </w:r>
    </w:p>
    <w:p w:rsidR="00F30CF1" w:rsidRPr="00F30CF1" w:rsidRDefault="00F30CF1" w:rsidP="00F30CF1">
      <w:pPr>
        <w:pStyle w:val="Prrafodelista"/>
        <w:numPr>
          <w:ilvl w:val="0"/>
          <w:numId w:val="34"/>
        </w:numPr>
        <w:tabs>
          <w:tab w:val="left" w:pos="1305"/>
        </w:tabs>
        <w:spacing w:line="360" w:lineRule="auto"/>
        <w:jc w:val="both"/>
        <w:rPr>
          <w:rFonts w:ascii="Arial" w:hAnsi="Arial" w:cs="Arial"/>
          <w:szCs w:val="24"/>
        </w:rPr>
      </w:pPr>
      <w:r w:rsidRPr="004B0EE2">
        <w:rPr>
          <w:rFonts w:ascii="Arial" w:hAnsi="Arial" w:cs="Arial"/>
          <w:sz w:val="24"/>
          <w:szCs w:val="24"/>
        </w:rPr>
        <w:t xml:space="preserve"> ¿Existe un acompañamiento institucional luego de la implementaci</w:t>
      </w:r>
      <w:r>
        <w:rPr>
          <w:rFonts w:ascii="Arial" w:hAnsi="Arial" w:cs="Arial"/>
          <w:sz w:val="24"/>
          <w:szCs w:val="24"/>
        </w:rPr>
        <w:t>ón del AMPR en Paquera – Tambor?</w:t>
      </w:r>
    </w:p>
    <w:p w:rsidR="00F30CF1" w:rsidRDefault="00F30CF1" w:rsidP="00F30CF1">
      <w:pPr>
        <w:tabs>
          <w:tab w:val="left" w:pos="1305"/>
        </w:tabs>
        <w:spacing w:line="360" w:lineRule="auto"/>
        <w:ind w:left="360"/>
        <w:jc w:val="both"/>
        <w:rPr>
          <w:rFonts w:ascii="Arial" w:hAnsi="Arial" w:cs="Arial"/>
          <w:b/>
          <w:sz w:val="24"/>
          <w:szCs w:val="24"/>
        </w:rPr>
      </w:pPr>
      <w:r w:rsidRPr="00784D03">
        <w:rPr>
          <w:rFonts w:ascii="Arial" w:hAnsi="Arial" w:cs="Arial"/>
          <w:b/>
          <w:sz w:val="24"/>
          <w:szCs w:val="24"/>
        </w:rPr>
        <w:lastRenderedPageBreak/>
        <w:t xml:space="preserve">Anexo </w:t>
      </w:r>
      <w:r>
        <w:rPr>
          <w:rFonts w:ascii="Arial" w:hAnsi="Arial" w:cs="Arial"/>
          <w:b/>
          <w:sz w:val="24"/>
          <w:szCs w:val="24"/>
        </w:rPr>
        <w:t>4. Fotografías del trabajo de campo</w:t>
      </w:r>
    </w:p>
    <w:p w:rsidR="00F30CF1" w:rsidRDefault="00F30CF1" w:rsidP="00F30CF1">
      <w:pPr>
        <w:tabs>
          <w:tab w:val="left" w:pos="1305"/>
        </w:tabs>
        <w:spacing w:after="0" w:line="360" w:lineRule="auto"/>
        <w:ind w:left="360"/>
        <w:jc w:val="center"/>
        <w:rPr>
          <w:rFonts w:ascii="Arial" w:hAnsi="Arial" w:cs="Arial"/>
          <w:b/>
          <w:sz w:val="24"/>
          <w:szCs w:val="24"/>
        </w:rPr>
      </w:pPr>
      <w:r>
        <w:rPr>
          <w:noProof/>
          <w:lang w:eastAsia="es-CR"/>
        </w:rPr>
        <w:drawing>
          <wp:anchor distT="0" distB="0" distL="114300" distR="114300" simplePos="0" relativeHeight="251676672" behindDoc="0" locked="0" layoutInCell="1" allowOverlap="1" wp14:anchorId="5281A6C4" wp14:editId="52E782D8">
            <wp:simplePos x="0" y="0"/>
            <wp:positionH relativeFrom="column">
              <wp:posOffset>215265</wp:posOffset>
            </wp:positionH>
            <wp:positionV relativeFrom="paragraph">
              <wp:posOffset>243840</wp:posOffset>
            </wp:positionV>
            <wp:extent cx="5505450" cy="4276725"/>
            <wp:effectExtent l="0" t="0" r="0" b="9525"/>
            <wp:wrapSquare wrapText="bothSides"/>
            <wp:docPr id="23" name="Imagen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2">
                      <a:extLst>
                        <a:ext uri="{28A0092B-C50C-407E-A947-70E740481C1C}">
                          <a14:useLocalDpi xmlns:a14="http://schemas.microsoft.com/office/drawing/2010/main" val="0"/>
                        </a:ext>
                      </a:extLst>
                    </a:blip>
                    <a:stretch>
                      <a:fillRect/>
                    </a:stretch>
                  </pic:blipFill>
                  <pic:spPr>
                    <a:xfrm>
                      <a:off x="0" y="0"/>
                      <a:ext cx="5505450" cy="4276725"/>
                    </a:xfrm>
                    <a:prstGeom prst="rect">
                      <a:avLst/>
                    </a:prstGeom>
                  </pic:spPr>
                </pic:pic>
              </a:graphicData>
            </a:graphic>
            <wp14:sizeRelH relativeFrom="page">
              <wp14:pctWidth>0</wp14:pctWidth>
            </wp14:sizeRelH>
            <wp14:sizeRelV relativeFrom="page">
              <wp14:pctHeight>0</wp14:pctHeight>
            </wp14:sizeRelV>
          </wp:anchor>
        </w:drawing>
      </w:r>
      <w:r>
        <w:rPr>
          <w:rFonts w:ascii="Arial" w:hAnsi="Arial" w:cs="Arial"/>
          <w:b/>
          <w:sz w:val="24"/>
          <w:szCs w:val="24"/>
        </w:rPr>
        <w:t xml:space="preserve"> </w:t>
      </w:r>
    </w:p>
    <w:p w:rsidR="00F30CF1" w:rsidRDefault="00F30CF1" w:rsidP="00F30CF1">
      <w:pPr>
        <w:tabs>
          <w:tab w:val="left" w:pos="1305"/>
        </w:tabs>
        <w:spacing w:after="0" w:line="360" w:lineRule="auto"/>
        <w:ind w:left="360"/>
        <w:jc w:val="center"/>
        <w:rPr>
          <w:rFonts w:ascii="Arial" w:hAnsi="Arial" w:cs="Arial"/>
          <w:b/>
          <w:sz w:val="24"/>
          <w:szCs w:val="24"/>
        </w:rPr>
      </w:pPr>
    </w:p>
    <w:p w:rsidR="00F30CF1" w:rsidRPr="00600522" w:rsidRDefault="00F30CF1" w:rsidP="00F30CF1">
      <w:pPr>
        <w:tabs>
          <w:tab w:val="left" w:pos="1305"/>
        </w:tabs>
        <w:spacing w:line="360" w:lineRule="auto"/>
        <w:ind w:left="360"/>
        <w:jc w:val="center"/>
        <w:rPr>
          <w:rFonts w:ascii="Arial" w:hAnsi="Arial" w:cs="Arial"/>
          <w:szCs w:val="24"/>
        </w:rPr>
      </w:pPr>
      <w:r>
        <w:rPr>
          <w:rFonts w:ascii="Arial" w:hAnsi="Arial" w:cs="Arial"/>
          <w:szCs w:val="24"/>
        </w:rPr>
        <w:t>Figura N° 11</w:t>
      </w:r>
      <w:r w:rsidRPr="00600522">
        <w:rPr>
          <w:rFonts w:ascii="Arial" w:hAnsi="Arial" w:cs="Arial"/>
          <w:szCs w:val="24"/>
        </w:rPr>
        <w:t xml:space="preserve"> Muelle de Tambor</w:t>
      </w:r>
    </w:p>
    <w:p w:rsidR="00F30CF1" w:rsidRPr="0016315C" w:rsidRDefault="00F30CF1" w:rsidP="00F30CF1">
      <w:pPr>
        <w:tabs>
          <w:tab w:val="left" w:pos="1305"/>
        </w:tabs>
        <w:spacing w:after="0" w:line="360" w:lineRule="auto"/>
        <w:ind w:left="360"/>
        <w:jc w:val="center"/>
        <w:rPr>
          <w:rFonts w:ascii="Arial" w:hAnsi="Arial" w:cs="Arial"/>
          <w:b/>
          <w:sz w:val="24"/>
          <w:szCs w:val="24"/>
        </w:rPr>
      </w:pPr>
      <w:r>
        <w:rPr>
          <w:noProof/>
          <w:lang w:eastAsia="es-CR"/>
        </w:rPr>
        <w:drawing>
          <wp:anchor distT="0" distB="0" distL="114300" distR="114300" simplePos="0" relativeHeight="251677696" behindDoc="1" locked="0" layoutInCell="1" allowOverlap="1" wp14:anchorId="169389EA" wp14:editId="351E89A2">
            <wp:simplePos x="0" y="0"/>
            <wp:positionH relativeFrom="column">
              <wp:posOffset>329565</wp:posOffset>
            </wp:positionH>
            <wp:positionV relativeFrom="paragraph">
              <wp:posOffset>220345</wp:posOffset>
            </wp:positionV>
            <wp:extent cx="5191125" cy="1581150"/>
            <wp:effectExtent l="0" t="0" r="9525" b="0"/>
            <wp:wrapTight wrapText="bothSides">
              <wp:wrapPolygon edited="0">
                <wp:start x="0" y="0"/>
                <wp:lineTo x="0" y="21340"/>
                <wp:lineTo x="21560" y="21340"/>
                <wp:lineTo x="21560" y="0"/>
                <wp:lineTo x="0" y="0"/>
              </wp:wrapPolygon>
            </wp:wrapTight>
            <wp:docPr id="24" name="Imagen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3">
                      <a:extLst>
                        <a:ext uri="{28A0092B-C50C-407E-A947-70E740481C1C}">
                          <a14:useLocalDpi xmlns:a14="http://schemas.microsoft.com/office/drawing/2010/main" val="0"/>
                        </a:ext>
                      </a:extLst>
                    </a:blip>
                    <a:stretch>
                      <a:fillRect/>
                    </a:stretch>
                  </pic:blipFill>
                  <pic:spPr>
                    <a:xfrm>
                      <a:off x="0" y="0"/>
                      <a:ext cx="5191125" cy="1581150"/>
                    </a:xfrm>
                    <a:prstGeom prst="rect">
                      <a:avLst/>
                    </a:prstGeom>
                  </pic:spPr>
                </pic:pic>
              </a:graphicData>
            </a:graphic>
            <wp14:sizeRelH relativeFrom="page">
              <wp14:pctWidth>0</wp14:pctWidth>
            </wp14:sizeRelH>
            <wp14:sizeRelV relativeFrom="page">
              <wp14:pctHeight>0</wp14:pctHeight>
            </wp14:sizeRelV>
          </wp:anchor>
        </w:drawing>
      </w:r>
    </w:p>
    <w:p w:rsidR="00F30CF1" w:rsidRPr="00600522" w:rsidRDefault="00F30CF1" w:rsidP="00F30CF1">
      <w:pPr>
        <w:tabs>
          <w:tab w:val="left" w:pos="1305"/>
        </w:tabs>
        <w:spacing w:line="360" w:lineRule="auto"/>
        <w:ind w:left="360"/>
        <w:jc w:val="center"/>
        <w:rPr>
          <w:rFonts w:ascii="Arial" w:hAnsi="Arial" w:cs="Arial"/>
          <w:szCs w:val="24"/>
        </w:rPr>
      </w:pPr>
      <w:r>
        <w:rPr>
          <w:rFonts w:ascii="Arial" w:hAnsi="Arial" w:cs="Arial"/>
          <w:szCs w:val="24"/>
        </w:rPr>
        <w:t>Figura N° 12</w:t>
      </w:r>
      <w:r w:rsidRPr="00600522">
        <w:rPr>
          <w:rFonts w:ascii="Arial" w:hAnsi="Arial" w:cs="Arial"/>
          <w:szCs w:val="24"/>
        </w:rPr>
        <w:t xml:space="preserve"> Lanchas de pesca</w:t>
      </w:r>
    </w:p>
    <w:p w:rsidR="00F30CF1" w:rsidRDefault="00F30CF1" w:rsidP="00F30CF1">
      <w:pPr>
        <w:tabs>
          <w:tab w:val="left" w:pos="1305"/>
        </w:tabs>
        <w:spacing w:after="0" w:line="360" w:lineRule="auto"/>
        <w:ind w:left="360"/>
        <w:jc w:val="center"/>
        <w:rPr>
          <w:rFonts w:ascii="Arial" w:hAnsi="Arial" w:cs="Arial"/>
          <w:b/>
          <w:sz w:val="24"/>
          <w:szCs w:val="24"/>
        </w:rPr>
      </w:pPr>
    </w:p>
    <w:p w:rsidR="00F30CF1" w:rsidRDefault="00F30CF1" w:rsidP="00F30CF1">
      <w:pPr>
        <w:tabs>
          <w:tab w:val="left" w:pos="1305"/>
        </w:tabs>
        <w:spacing w:after="0" w:line="360" w:lineRule="auto"/>
        <w:ind w:left="360"/>
        <w:jc w:val="center"/>
        <w:rPr>
          <w:rFonts w:ascii="Arial" w:hAnsi="Arial" w:cs="Arial"/>
          <w:b/>
          <w:sz w:val="24"/>
          <w:szCs w:val="24"/>
        </w:rPr>
      </w:pPr>
    </w:p>
    <w:p w:rsidR="00F30CF1" w:rsidRPr="0016315C" w:rsidRDefault="00F30CF1" w:rsidP="00F30CF1">
      <w:pPr>
        <w:tabs>
          <w:tab w:val="left" w:pos="1305"/>
        </w:tabs>
        <w:spacing w:after="0" w:line="360" w:lineRule="auto"/>
        <w:ind w:left="360"/>
        <w:jc w:val="center"/>
        <w:rPr>
          <w:rFonts w:ascii="Arial" w:hAnsi="Arial" w:cs="Arial"/>
          <w:b/>
          <w:sz w:val="24"/>
          <w:szCs w:val="24"/>
        </w:rPr>
      </w:pPr>
      <w:r>
        <w:rPr>
          <w:noProof/>
          <w:lang w:eastAsia="es-CR"/>
        </w:rPr>
        <w:lastRenderedPageBreak/>
        <w:drawing>
          <wp:anchor distT="0" distB="0" distL="114300" distR="114300" simplePos="0" relativeHeight="251680768" behindDoc="0" locked="0" layoutInCell="1" allowOverlap="1" wp14:anchorId="6F92EB75" wp14:editId="725FDF03">
            <wp:simplePos x="0" y="0"/>
            <wp:positionH relativeFrom="margin">
              <wp:align>center</wp:align>
            </wp:positionH>
            <wp:positionV relativeFrom="paragraph">
              <wp:posOffset>253274</wp:posOffset>
            </wp:positionV>
            <wp:extent cx="4103370" cy="2631440"/>
            <wp:effectExtent l="0" t="0" r="0" b="0"/>
            <wp:wrapTopAndBottom/>
            <wp:docPr id="26" name="Imagen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4">
                      <a:extLst>
                        <a:ext uri="{28A0092B-C50C-407E-A947-70E740481C1C}">
                          <a14:useLocalDpi xmlns:a14="http://schemas.microsoft.com/office/drawing/2010/main" val="0"/>
                        </a:ext>
                      </a:extLst>
                    </a:blip>
                    <a:stretch>
                      <a:fillRect/>
                    </a:stretch>
                  </pic:blipFill>
                  <pic:spPr>
                    <a:xfrm>
                      <a:off x="0" y="0"/>
                      <a:ext cx="4103370" cy="2631440"/>
                    </a:xfrm>
                    <a:prstGeom prst="rect">
                      <a:avLst/>
                    </a:prstGeom>
                  </pic:spPr>
                </pic:pic>
              </a:graphicData>
            </a:graphic>
            <wp14:sizeRelH relativeFrom="margin">
              <wp14:pctWidth>0</wp14:pctWidth>
            </wp14:sizeRelH>
            <wp14:sizeRelV relativeFrom="margin">
              <wp14:pctHeight>0</wp14:pctHeight>
            </wp14:sizeRelV>
          </wp:anchor>
        </w:drawing>
      </w:r>
    </w:p>
    <w:p w:rsidR="00F30CF1" w:rsidRDefault="00F30CF1" w:rsidP="00F30CF1">
      <w:pPr>
        <w:tabs>
          <w:tab w:val="left" w:pos="1305"/>
        </w:tabs>
        <w:spacing w:line="360" w:lineRule="auto"/>
        <w:ind w:left="360"/>
        <w:jc w:val="center"/>
        <w:rPr>
          <w:rFonts w:ascii="Arial" w:hAnsi="Arial" w:cs="Arial"/>
          <w:sz w:val="24"/>
          <w:szCs w:val="24"/>
        </w:rPr>
      </w:pPr>
    </w:p>
    <w:p w:rsidR="00F30CF1" w:rsidRPr="00A61548" w:rsidRDefault="00F30CF1" w:rsidP="00F30CF1">
      <w:pPr>
        <w:tabs>
          <w:tab w:val="left" w:pos="1305"/>
        </w:tabs>
        <w:spacing w:line="360" w:lineRule="auto"/>
        <w:ind w:left="360"/>
        <w:jc w:val="center"/>
        <w:rPr>
          <w:rFonts w:ascii="Arial" w:hAnsi="Arial" w:cs="Arial"/>
          <w:sz w:val="24"/>
          <w:szCs w:val="24"/>
        </w:rPr>
      </w:pPr>
      <w:r w:rsidRPr="00A61548">
        <w:rPr>
          <w:rFonts w:ascii="Arial" w:hAnsi="Arial" w:cs="Arial"/>
          <w:sz w:val="24"/>
          <w:szCs w:val="24"/>
        </w:rPr>
        <w:t>Figura N° 13 Planta de Procesos</w:t>
      </w:r>
    </w:p>
    <w:p w:rsidR="00F30CF1" w:rsidRDefault="00F30CF1" w:rsidP="00F30CF1">
      <w:pPr>
        <w:tabs>
          <w:tab w:val="left" w:pos="1305"/>
        </w:tabs>
        <w:spacing w:after="0" w:line="360" w:lineRule="auto"/>
        <w:rPr>
          <w:rFonts w:ascii="Arial" w:hAnsi="Arial" w:cs="Arial"/>
          <w:b/>
          <w:sz w:val="24"/>
          <w:szCs w:val="24"/>
        </w:rPr>
      </w:pPr>
      <w:r w:rsidRPr="0016315C">
        <w:rPr>
          <w:b/>
          <w:noProof/>
          <w:lang w:eastAsia="es-CR"/>
        </w:rPr>
        <w:drawing>
          <wp:anchor distT="0" distB="0" distL="114300" distR="114300" simplePos="0" relativeHeight="251678720" behindDoc="1" locked="0" layoutInCell="1" allowOverlap="1" wp14:anchorId="62FB6B80" wp14:editId="6257FF9D">
            <wp:simplePos x="0" y="0"/>
            <wp:positionH relativeFrom="column">
              <wp:posOffset>253365</wp:posOffset>
            </wp:positionH>
            <wp:positionV relativeFrom="paragraph">
              <wp:posOffset>414020</wp:posOffset>
            </wp:positionV>
            <wp:extent cx="5612130" cy="2641600"/>
            <wp:effectExtent l="0" t="0" r="7620" b="6350"/>
            <wp:wrapTight wrapText="bothSides">
              <wp:wrapPolygon edited="0">
                <wp:start x="0" y="0"/>
                <wp:lineTo x="0" y="21496"/>
                <wp:lineTo x="21556" y="21496"/>
                <wp:lineTo x="21556" y="0"/>
                <wp:lineTo x="0" y="0"/>
              </wp:wrapPolygon>
            </wp:wrapTight>
            <wp:docPr id="27" name="Imagen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5">
                      <a:extLst>
                        <a:ext uri="{28A0092B-C50C-407E-A947-70E740481C1C}">
                          <a14:useLocalDpi xmlns:a14="http://schemas.microsoft.com/office/drawing/2010/main" val="0"/>
                        </a:ext>
                      </a:extLst>
                    </a:blip>
                    <a:stretch>
                      <a:fillRect/>
                    </a:stretch>
                  </pic:blipFill>
                  <pic:spPr>
                    <a:xfrm>
                      <a:off x="0" y="0"/>
                      <a:ext cx="5612130" cy="2641600"/>
                    </a:xfrm>
                    <a:prstGeom prst="rect">
                      <a:avLst/>
                    </a:prstGeom>
                  </pic:spPr>
                </pic:pic>
              </a:graphicData>
            </a:graphic>
            <wp14:sizeRelH relativeFrom="page">
              <wp14:pctWidth>0</wp14:pctWidth>
            </wp14:sizeRelH>
            <wp14:sizeRelV relativeFrom="page">
              <wp14:pctHeight>0</wp14:pctHeight>
            </wp14:sizeRelV>
          </wp:anchor>
        </w:drawing>
      </w:r>
    </w:p>
    <w:p w:rsidR="00F30CF1" w:rsidRPr="0016315C" w:rsidRDefault="00F30CF1" w:rsidP="00F30CF1">
      <w:pPr>
        <w:tabs>
          <w:tab w:val="left" w:pos="1305"/>
        </w:tabs>
        <w:spacing w:after="0" w:line="360" w:lineRule="auto"/>
        <w:ind w:left="360"/>
        <w:jc w:val="center"/>
        <w:rPr>
          <w:rFonts w:ascii="Arial" w:hAnsi="Arial" w:cs="Arial"/>
          <w:b/>
          <w:sz w:val="24"/>
          <w:szCs w:val="24"/>
        </w:rPr>
      </w:pPr>
    </w:p>
    <w:p w:rsidR="00F30CF1" w:rsidRPr="00A61548" w:rsidRDefault="00F30CF1" w:rsidP="00F30CF1">
      <w:pPr>
        <w:tabs>
          <w:tab w:val="left" w:pos="1305"/>
        </w:tabs>
        <w:spacing w:line="360" w:lineRule="auto"/>
        <w:ind w:left="360"/>
        <w:jc w:val="center"/>
        <w:rPr>
          <w:rFonts w:ascii="Arial" w:hAnsi="Arial" w:cs="Arial"/>
          <w:sz w:val="24"/>
          <w:szCs w:val="24"/>
        </w:rPr>
      </w:pPr>
      <w:r w:rsidRPr="00A61548">
        <w:rPr>
          <w:rFonts w:ascii="Arial" w:hAnsi="Arial" w:cs="Arial"/>
          <w:sz w:val="24"/>
          <w:szCs w:val="24"/>
        </w:rPr>
        <w:t>Figura N° 14 Guardacostas de Costa Rica</w:t>
      </w:r>
    </w:p>
    <w:p w:rsidR="00F30CF1" w:rsidRDefault="00F30CF1" w:rsidP="00F30CF1">
      <w:pPr>
        <w:tabs>
          <w:tab w:val="left" w:pos="1305"/>
        </w:tabs>
        <w:spacing w:line="360" w:lineRule="auto"/>
        <w:ind w:left="360"/>
        <w:jc w:val="right"/>
        <w:rPr>
          <w:rFonts w:ascii="Arial" w:hAnsi="Arial" w:cs="Arial"/>
          <w:sz w:val="20"/>
          <w:szCs w:val="24"/>
        </w:rPr>
      </w:pPr>
    </w:p>
    <w:p w:rsidR="00F30CF1" w:rsidRDefault="00F30CF1" w:rsidP="00F30CF1">
      <w:pPr>
        <w:tabs>
          <w:tab w:val="left" w:pos="1305"/>
        </w:tabs>
        <w:spacing w:line="360" w:lineRule="auto"/>
        <w:ind w:left="360"/>
        <w:jc w:val="right"/>
        <w:rPr>
          <w:rFonts w:ascii="Arial" w:hAnsi="Arial" w:cs="Arial"/>
          <w:sz w:val="20"/>
          <w:szCs w:val="24"/>
        </w:rPr>
      </w:pPr>
    </w:p>
    <w:p w:rsidR="00F30CF1" w:rsidRDefault="00F30CF1" w:rsidP="00F30CF1">
      <w:pPr>
        <w:tabs>
          <w:tab w:val="left" w:pos="1305"/>
        </w:tabs>
        <w:spacing w:line="360" w:lineRule="auto"/>
        <w:ind w:left="360"/>
        <w:jc w:val="right"/>
        <w:rPr>
          <w:rFonts w:ascii="Arial" w:hAnsi="Arial" w:cs="Arial"/>
          <w:sz w:val="20"/>
          <w:szCs w:val="24"/>
        </w:rPr>
      </w:pPr>
    </w:p>
    <w:p w:rsidR="00F30CF1" w:rsidRPr="00A61548" w:rsidRDefault="00F30CF1" w:rsidP="00F30CF1">
      <w:pPr>
        <w:tabs>
          <w:tab w:val="left" w:pos="1305"/>
        </w:tabs>
        <w:spacing w:after="0" w:line="360" w:lineRule="auto"/>
        <w:ind w:left="360"/>
        <w:jc w:val="center"/>
        <w:rPr>
          <w:rFonts w:ascii="Arial" w:hAnsi="Arial" w:cs="Arial"/>
          <w:b/>
          <w:sz w:val="28"/>
          <w:szCs w:val="24"/>
        </w:rPr>
      </w:pPr>
      <w:r>
        <w:rPr>
          <w:noProof/>
          <w:lang w:eastAsia="es-CR"/>
        </w:rPr>
        <w:lastRenderedPageBreak/>
        <w:drawing>
          <wp:anchor distT="0" distB="0" distL="114300" distR="114300" simplePos="0" relativeHeight="251679744" behindDoc="1" locked="0" layoutInCell="1" allowOverlap="1" wp14:anchorId="64F61C60" wp14:editId="50AB6FC2">
            <wp:simplePos x="1295400" y="1238250"/>
            <wp:positionH relativeFrom="margin">
              <wp:align>center</wp:align>
            </wp:positionH>
            <wp:positionV relativeFrom="margin">
              <wp:align>top</wp:align>
            </wp:positionV>
            <wp:extent cx="5612130" cy="3324860"/>
            <wp:effectExtent l="0" t="0" r="7620" b="8890"/>
            <wp:wrapTopAndBottom/>
            <wp:docPr id="28" name="Imagen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6">
                      <a:extLst>
                        <a:ext uri="{28A0092B-C50C-407E-A947-70E740481C1C}">
                          <a14:useLocalDpi xmlns:a14="http://schemas.microsoft.com/office/drawing/2010/main" val="0"/>
                        </a:ext>
                      </a:extLst>
                    </a:blip>
                    <a:stretch>
                      <a:fillRect/>
                    </a:stretch>
                  </pic:blipFill>
                  <pic:spPr>
                    <a:xfrm>
                      <a:off x="0" y="0"/>
                      <a:ext cx="5612130" cy="3324860"/>
                    </a:xfrm>
                    <a:prstGeom prst="rect">
                      <a:avLst/>
                    </a:prstGeom>
                  </pic:spPr>
                </pic:pic>
              </a:graphicData>
            </a:graphic>
            <wp14:sizeRelH relativeFrom="page">
              <wp14:pctWidth>0</wp14:pctWidth>
            </wp14:sizeRelH>
            <wp14:sizeRelV relativeFrom="page">
              <wp14:pctHeight>0</wp14:pctHeight>
            </wp14:sizeRelV>
          </wp:anchor>
        </w:drawing>
      </w:r>
    </w:p>
    <w:p w:rsidR="00F30CF1" w:rsidRPr="00A61548" w:rsidRDefault="00F30CF1" w:rsidP="00F30CF1">
      <w:pPr>
        <w:tabs>
          <w:tab w:val="left" w:pos="1305"/>
        </w:tabs>
        <w:spacing w:after="0" w:line="360" w:lineRule="auto"/>
        <w:ind w:left="360"/>
        <w:jc w:val="center"/>
        <w:rPr>
          <w:rFonts w:ascii="Arial" w:hAnsi="Arial" w:cs="Arial"/>
          <w:sz w:val="24"/>
          <w:szCs w:val="24"/>
        </w:rPr>
      </w:pPr>
      <w:r w:rsidRPr="00A61548">
        <w:rPr>
          <w:rFonts w:ascii="Arial" w:hAnsi="Arial" w:cs="Arial"/>
          <w:sz w:val="24"/>
          <w:szCs w:val="24"/>
        </w:rPr>
        <w:t>Figura N° 15 Infografía del AMPR Paquera - Tambor</w:t>
      </w:r>
    </w:p>
    <w:p w:rsidR="00F30CF1" w:rsidRPr="008E3BB1" w:rsidRDefault="00F30CF1" w:rsidP="00F30CF1">
      <w:pPr>
        <w:tabs>
          <w:tab w:val="left" w:pos="1305"/>
          <w:tab w:val="left" w:pos="5160"/>
        </w:tabs>
        <w:spacing w:after="0" w:line="360" w:lineRule="auto"/>
        <w:ind w:left="360"/>
        <w:rPr>
          <w:rFonts w:ascii="Arial" w:hAnsi="Arial" w:cs="Arial"/>
          <w:b/>
          <w:sz w:val="20"/>
          <w:szCs w:val="24"/>
        </w:rPr>
      </w:pPr>
      <w:r>
        <w:rPr>
          <w:rFonts w:ascii="Arial" w:hAnsi="Arial" w:cs="Arial"/>
          <w:b/>
          <w:sz w:val="20"/>
          <w:szCs w:val="24"/>
        </w:rPr>
        <w:tab/>
      </w:r>
      <w:r>
        <w:rPr>
          <w:rFonts w:ascii="Arial" w:hAnsi="Arial" w:cs="Arial"/>
          <w:b/>
          <w:sz w:val="20"/>
          <w:szCs w:val="24"/>
        </w:rPr>
        <w:tab/>
      </w:r>
    </w:p>
    <w:p w:rsidR="00F30CF1" w:rsidRDefault="00F30CF1" w:rsidP="00F30CF1">
      <w:pPr>
        <w:tabs>
          <w:tab w:val="left" w:pos="1260"/>
        </w:tabs>
        <w:rPr>
          <w:rFonts w:ascii="Arial" w:hAnsi="Arial" w:cs="Arial"/>
          <w:sz w:val="24"/>
          <w:szCs w:val="24"/>
        </w:rPr>
      </w:pPr>
    </w:p>
    <w:p w:rsidR="00F30CF1" w:rsidRDefault="00F30CF1"/>
    <w:sectPr w:rsidR="00F30CF1" w:rsidSect="00F30CF1">
      <w:pgSz w:w="12240" w:h="15840"/>
      <w:pgMar w:top="1418" w:right="1701" w:bottom="1418" w:left="170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B3EA4" w:rsidRDefault="00FB3EA4" w:rsidP="00477601">
      <w:pPr>
        <w:spacing w:after="0" w:line="240" w:lineRule="auto"/>
      </w:pPr>
      <w:r>
        <w:separator/>
      </w:r>
    </w:p>
  </w:endnote>
  <w:endnote w:type="continuationSeparator" w:id="0">
    <w:p w:rsidR="00FB3EA4" w:rsidRDefault="00FB3EA4" w:rsidP="0047760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OpenSymbol">
    <w:altName w:val="Arial Unicode MS"/>
    <w:charset w:val="01"/>
    <w:family w:val="roman"/>
    <w:pitch w:val="variable"/>
  </w:font>
  <w:font w:name="Calibri Light">
    <w:panose1 w:val="020F0302020204030204"/>
    <w:charset w:val="00"/>
    <w:family w:val="swiss"/>
    <w:pitch w:val="variable"/>
    <w:sig w:usb0="A00002EF" w:usb1="4000207B" w:usb2="00000000" w:usb3="00000000" w:csb0="0000019F" w:csb1="00000000"/>
  </w:font>
  <w:font w:name="Segoe UI">
    <w:panose1 w:val="020B0502040204020203"/>
    <w:charset w:val="00"/>
    <w:family w:val="swiss"/>
    <w:pitch w:val="variable"/>
    <w:sig w:usb0="E10022FF" w:usb1="C000E47F" w:usb2="00000029" w:usb3="00000000" w:csb0="000001DF" w:csb1="00000000"/>
  </w:font>
  <w:font w:name="DejaVu Sans">
    <w:altName w:val="Times New Roman"/>
    <w:panose1 w:val="00000000000000000000"/>
    <w:charset w:val="00"/>
    <w:family w:val="roman"/>
    <w:notTrueType/>
    <w:pitch w:val="default"/>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76F02" w:rsidRDefault="00476F02">
    <w:pPr>
      <w:pStyle w:val="Piedepgina"/>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742300162"/>
      <w:docPartObj>
        <w:docPartGallery w:val="Page Numbers (Bottom of Page)"/>
        <w:docPartUnique/>
      </w:docPartObj>
    </w:sdtPr>
    <w:sdtEndPr/>
    <w:sdtContent>
      <w:p w:rsidR="00424427" w:rsidRDefault="00424427">
        <w:pPr>
          <w:pStyle w:val="Piedepgina"/>
          <w:jc w:val="right"/>
        </w:pPr>
        <w:r>
          <w:fldChar w:fldCharType="begin"/>
        </w:r>
        <w:r>
          <w:instrText>PAGE   \* MERGEFORMAT</w:instrText>
        </w:r>
        <w:r>
          <w:fldChar w:fldCharType="separate"/>
        </w:r>
        <w:r w:rsidR="002D2DC2" w:rsidRPr="002D2DC2">
          <w:rPr>
            <w:noProof/>
            <w:lang w:val="es-ES"/>
          </w:rPr>
          <w:t>21</w:t>
        </w:r>
        <w:r>
          <w:fldChar w:fldCharType="end"/>
        </w:r>
      </w:p>
    </w:sdtContent>
  </w:sdt>
  <w:p w:rsidR="00424427" w:rsidRDefault="00424427" w:rsidP="00424427">
    <w:pPr>
      <w:pStyle w:val="Piedepgina"/>
      <w:jc w:val="right"/>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24427" w:rsidRDefault="00424427">
    <w:pPr>
      <w:pStyle w:val="Piedepgina"/>
      <w:jc w:val="right"/>
    </w:pPr>
  </w:p>
  <w:p w:rsidR="00424427" w:rsidRDefault="00424427" w:rsidP="00424427">
    <w:pPr>
      <w:pStyle w:val="Piedepgina"/>
      <w:jc w:val="right"/>
    </w:pPr>
  </w:p>
</w:ftr>
</file>

<file path=word/footer4.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24427" w:rsidRDefault="00424427">
    <w:pPr>
      <w:pStyle w:val="Piedepgina"/>
      <w:jc w:val="right"/>
    </w:pPr>
    <w:r>
      <w:t>56</w:t>
    </w:r>
  </w:p>
  <w:p w:rsidR="00424427" w:rsidRDefault="00424427" w:rsidP="00424427">
    <w:pPr>
      <w:pStyle w:val="Piedepgina"/>
      <w:jc w:val="right"/>
    </w:pPr>
  </w:p>
</w:ftr>
</file>

<file path=word/footer5.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24427" w:rsidRDefault="00424427">
    <w:pPr>
      <w:pStyle w:val="Piedepgina"/>
      <w:jc w:val="right"/>
    </w:pPr>
    <w:r>
      <w:fldChar w:fldCharType="begin"/>
    </w:r>
    <w:r>
      <w:instrText>PAGE</w:instrText>
    </w:r>
    <w:r>
      <w:fldChar w:fldCharType="separate"/>
    </w:r>
    <w:r w:rsidR="002D2DC2">
      <w:rPr>
        <w:noProof/>
      </w:rPr>
      <w:t>58</w:t>
    </w:r>
    <w:r>
      <w:fldChar w:fldCharType="end"/>
    </w:r>
  </w:p>
  <w:p w:rsidR="00424427" w:rsidRDefault="00424427">
    <w:pPr>
      <w:pStyle w:val="Piedepgina"/>
    </w:pPr>
  </w:p>
</w:ftr>
</file>

<file path=word/footer6.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24427" w:rsidRDefault="00424427" w:rsidP="00424427">
    <w:pPr>
      <w:pStyle w:val="Piedepgina"/>
      <w:jc w:val="right"/>
    </w:pPr>
    <w:r>
      <w:t>57</w:t>
    </w:r>
  </w:p>
</w:ftr>
</file>

<file path=word/footer7.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507287906"/>
      <w:docPartObj>
        <w:docPartGallery w:val="Page Numbers (Bottom of Page)"/>
        <w:docPartUnique/>
      </w:docPartObj>
    </w:sdtPr>
    <w:sdtEndPr/>
    <w:sdtContent>
      <w:p w:rsidR="00424427" w:rsidRDefault="00424427">
        <w:pPr>
          <w:pStyle w:val="Piedepgina"/>
          <w:jc w:val="right"/>
        </w:pPr>
        <w:r>
          <w:fldChar w:fldCharType="begin"/>
        </w:r>
        <w:r>
          <w:instrText>PAGE   \* MERGEFORMAT</w:instrText>
        </w:r>
        <w:r>
          <w:fldChar w:fldCharType="separate"/>
        </w:r>
        <w:r w:rsidR="002D2DC2" w:rsidRPr="002D2DC2">
          <w:rPr>
            <w:noProof/>
            <w:lang w:val="es-ES"/>
          </w:rPr>
          <w:t>68</w:t>
        </w:r>
        <w:r>
          <w:fldChar w:fldCharType="end"/>
        </w:r>
      </w:p>
    </w:sdtContent>
  </w:sdt>
  <w:p w:rsidR="00424427" w:rsidRDefault="00424427">
    <w:pPr>
      <w:pStyle w:val="Piedepgina"/>
    </w:pPr>
  </w:p>
</w:ftr>
</file>

<file path=word/footer8.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039BA" w:rsidRDefault="001039BA" w:rsidP="00424427">
    <w:pPr>
      <w:pStyle w:val="Piedepgina"/>
      <w:jc w:val="right"/>
    </w:pPr>
    <w:r>
      <w:t>107</w:t>
    </w:r>
  </w:p>
</w:ftr>
</file>

<file path=word/footer9.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24427" w:rsidRDefault="00424427" w:rsidP="00424427">
    <w:pPr>
      <w:pStyle w:val="Piedepgina"/>
      <w:jc w:val="right"/>
    </w:pPr>
    <w:r>
      <w:t>139</w:t>
    </w: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B3EA4" w:rsidRDefault="00FB3EA4" w:rsidP="00477601">
      <w:pPr>
        <w:spacing w:after="0" w:line="240" w:lineRule="auto"/>
      </w:pPr>
      <w:r>
        <w:separator/>
      </w:r>
    </w:p>
  </w:footnote>
  <w:footnote w:type="continuationSeparator" w:id="0">
    <w:p w:rsidR="00FB3EA4" w:rsidRDefault="00FB3EA4" w:rsidP="00477601">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76F02" w:rsidRDefault="00476F02">
    <w:pPr>
      <w:pStyle w:val="Encabezado"/>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76F02" w:rsidRDefault="00476F02">
    <w:pPr>
      <w:pStyle w:val="Encabezado"/>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24427" w:rsidRDefault="00424427" w:rsidP="00424427">
    <w:pPr>
      <w:pStyle w:val="Encabezado"/>
      <w:tabs>
        <w:tab w:val="clear" w:pos="4419"/>
        <w:tab w:val="clear" w:pos="8838"/>
        <w:tab w:val="left" w:pos="8850"/>
      </w:tabs>
    </w:pPr>
    <w:r>
      <w:tab/>
    </w:r>
  </w:p>
</w:hdr>
</file>

<file path=word/header4.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24427" w:rsidRDefault="00424427" w:rsidP="00424427">
    <w:pPr>
      <w:pStyle w:val="Encabezado"/>
      <w:tabs>
        <w:tab w:val="clear" w:pos="4419"/>
        <w:tab w:val="clear" w:pos="8838"/>
        <w:tab w:val="left" w:pos="4305"/>
        <w:tab w:val="left" w:pos="8850"/>
      </w:tabs>
    </w:pPr>
    <w:r>
      <w:tab/>
    </w:r>
    <w:r>
      <w:tab/>
    </w:r>
  </w:p>
</w:hdr>
</file>

<file path=word/header5.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24427" w:rsidRDefault="00424427">
    <w:pPr>
      <w:pStyle w:val="Encabezado"/>
      <w:tabs>
        <w:tab w:val="left" w:pos="5338"/>
      </w:tabs>
    </w:pPr>
    <w:r>
      <w:tab/>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732436D"/>
    <w:multiLevelType w:val="multilevel"/>
    <w:tmpl w:val="43B83BF0"/>
    <w:lvl w:ilvl="0">
      <w:start w:val="3"/>
      <w:numFmt w:val="decimal"/>
      <w:lvlText w:val="%1"/>
      <w:lvlJc w:val="left"/>
      <w:pPr>
        <w:ind w:left="360" w:hanging="360"/>
      </w:pPr>
    </w:lvl>
    <w:lvl w:ilvl="1">
      <w:start w:val="1"/>
      <w:numFmt w:val="decimal"/>
      <w:lvlText w:val="%1.%2"/>
      <w:lvlJc w:val="left"/>
      <w:pPr>
        <w:ind w:left="720" w:hanging="720"/>
      </w:pPr>
      <w:rPr>
        <w:rFonts w:ascii="Arial" w:hAnsi="Arial" w:cs="Arial" w:hint="default"/>
        <w:color w:val="auto"/>
      </w:rPr>
    </w:lvl>
    <w:lvl w:ilvl="2">
      <w:start w:val="1"/>
      <w:numFmt w:val="decimal"/>
      <w:lvlText w:val="%1.%2.%3"/>
      <w:lvlJc w:val="left"/>
      <w:pPr>
        <w:ind w:left="720" w:hanging="720"/>
      </w:pPr>
    </w:lvl>
    <w:lvl w:ilvl="3">
      <w:start w:val="1"/>
      <w:numFmt w:val="decimal"/>
      <w:lvlText w:val="%1.%2.%3.%4"/>
      <w:lvlJc w:val="left"/>
      <w:pPr>
        <w:ind w:left="1080" w:hanging="1080"/>
      </w:pPr>
    </w:lvl>
    <w:lvl w:ilvl="4">
      <w:start w:val="1"/>
      <w:numFmt w:val="decimal"/>
      <w:lvlText w:val="%1.%2.%3.%4.%5"/>
      <w:lvlJc w:val="left"/>
      <w:pPr>
        <w:ind w:left="1080" w:hanging="1080"/>
      </w:pPr>
    </w:lvl>
    <w:lvl w:ilvl="5">
      <w:start w:val="1"/>
      <w:numFmt w:val="decimal"/>
      <w:lvlText w:val="%1.%2.%3.%4.%5.%6"/>
      <w:lvlJc w:val="left"/>
      <w:pPr>
        <w:ind w:left="1440" w:hanging="1440"/>
      </w:pPr>
    </w:lvl>
    <w:lvl w:ilvl="6">
      <w:start w:val="1"/>
      <w:numFmt w:val="decimal"/>
      <w:lvlText w:val="%1.%2.%3.%4.%5.%6.%7"/>
      <w:lvlJc w:val="left"/>
      <w:pPr>
        <w:ind w:left="1800" w:hanging="1800"/>
      </w:pPr>
    </w:lvl>
    <w:lvl w:ilvl="7">
      <w:start w:val="1"/>
      <w:numFmt w:val="decimal"/>
      <w:lvlText w:val="%1.%2.%3.%4.%5.%6.%7.%8"/>
      <w:lvlJc w:val="left"/>
      <w:pPr>
        <w:ind w:left="1800" w:hanging="1800"/>
      </w:pPr>
    </w:lvl>
    <w:lvl w:ilvl="8">
      <w:start w:val="1"/>
      <w:numFmt w:val="decimal"/>
      <w:lvlText w:val="%1.%2.%3.%4.%5.%6.%7.%8.%9"/>
      <w:lvlJc w:val="left"/>
      <w:pPr>
        <w:ind w:left="2160" w:hanging="2160"/>
      </w:pPr>
    </w:lvl>
  </w:abstractNum>
  <w:abstractNum w:abstractNumId="1" w15:restartNumberingAfterBreak="0">
    <w:nsid w:val="07CE1AFE"/>
    <w:multiLevelType w:val="hybridMultilevel"/>
    <w:tmpl w:val="1E922F4A"/>
    <w:lvl w:ilvl="0" w:tplc="E676BF36">
      <w:numFmt w:val="bullet"/>
      <w:lvlText w:val="-"/>
      <w:lvlJc w:val="left"/>
      <w:pPr>
        <w:ind w:left="720" w:hanging="360"/>
      </w:pPr>
      <w:rPr>
        <w:rFonts w:ascii="Times New Roman" w:eastAsiaTheme="minorHAnsi" w:hAnsi="Times New Roman" w:cs="Times New Roman" w:hint="default"/>
        <w:sz w:val="24"/>
      </w:rPr>
    </w:lvl>
    <w:lvl w:ilvl="1" w:tplc="140A0003">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2" w15:restartNumberingAfterBreak="0">
    <w:nsid w:val="09083662"/>
    <w:multiLevelType w:val="multilevel"/>
    <w:tmpl w:val="CD3C2668"/>
    <w:lvl w:ilvl="0">
      <w:start w:val="1"/>
      <w:numFmt w:val="decimal"/>
      <w:lvlText w:val="%1"/>
      <w:lvlJc w:val="left"/>
      <w:pPr>
        <w:ind w:left="360" w:hanging="360"/>
      </w:pPr>
    </w:lvl>
    <w:lvl w:ilvl="1">
      <w:start w:val="1"/>
      <w:numFmt w:val="decimal"/>
      <w:lvlText w:val="%1.%2"/>
      <w:lvlJc w:val="left"/>
      <w:pPr>
        <w:ind w:left="720" w:hanging="720"/>
      </w:pPr>
      <w:rPr>
        <w:rFonts w:ascii="Arial" w:hAnsi="Arial" w:cs="Arial" w:hint="default"/>
        <w:color w:val="auto"/>
      </w:rPr>
    </w:lvl>
    <w:lvl w:ilvl="2">
      <w:start w:val="1"/>
      <w:numFmt w:val="decimal"/>
      <w:lvlText w:val="%1.%2.%3"/>
      <w:lvlJc w:val="left"/>
      <w:pPr>
        <w:ind w:left="720" w:hanging="720"/>
      </w:pPr>
    </w:lvl>
    <w:lvl w:ilvl="3">
      <w:start w:val="1"/>
      <w:numFmt w:val="decimal"/>
      <w:lvlText w:val="%1.%2.%3.%4"/>
      <w:lvlJc w:val="left"/>
      <w:pPr>
        <w:ind w:left="1080" w:hanging="1080"/>
      </w:pPr>
    </w:lvl>
    <w:lvl w:ilvl="4">
      <w:start w:val="1"/>
      <w:numFmt w:val="decimal"/>
      <w:lvlText w:val="%1.%2.%3.%4.%5"/>
      <w:lvlJc w:val="left"/>
      <w:pPr>
        <w:ind w:left="1080" w:hanging="1080"/>
      </w:pPr>
    </w:lvl>
    <w:lvl w:ilvl="5">
      <w:start w:val="1"/>
      <w:numFmt w:val="decimal"/>
      <w:lvlText w:val="%1.%2.%3.%4.%5.%6"/>
      <w:lvlJc w:val="left"/>
      <w:pPr>
        <w:ind w:left="1440" w:hanging="1440"/>
      </w:pPr>
    </w:lvl>
    <w:lvl w:ilvl="6">
      <w:start w:val="1"/>
      <w:numFmt w:val="decimal"/>
      <w:lvlText w:val="%1.%2.%3.%4.%5.%6.%7"/>
      <w:lvlJc w:val="left"/>
      <w:pPr>
        <w:ind w:left="1800" w:hanging="1800"/>
      </w:pPr>
    </w:lvl>
    <w:lvl w:ilvl="7">
      <w:start w:val="1"/>
      <w:numFmt w:val="decimal"/>
      <w:lvlText w:val="%1.%2.%3.%4.%5.%6.%7.%8"/>
      <w:lvlJc w:val="left"/>
      <w:pPr>
        <w:ind w:left="1800" w:hanging="1800"/>
      </w:pPr>
    </w:lvl>
    <w:lvl w:ilvl="8">
      <w:start w:val="1"/>
      <w:numFmt w:val="decimal"/>
      <w:lvlText w:val="%1.%2.%3.%4.%5.%6.%7.%8.%9"/>
      <w:lvlJc w:val="left"/>
      <w:pPr>
        <w:ind w:left="2160" w:hanging="2160"/>
      </w:pPr>
    </w:lvl>
  </w:abstractNum>
  <w:abstractNum w:abstractNumId="3" w15:restartNumberingAfterBreak="0">
    <w:nsid w:val="0AC60455"/>
    <w:multiLevelType w:val="hybridMultilevel"/>
    <w:tmpl w:val="DD384B26"/>
    <w:lvl w:ilvl="0" w:tplc="75FCC53E">
      <w:start w:val="1"/>
      <w:numFmt w:val="decimal"/>
      <w:lvlText w:val="%1."/>
      <w:lvlJc w:val="left"/>
      <w:pPr>
        <w:ind w:left="720" w:hanging="360"/>
      </w:pPr>
      <w:rPr>
        <w:rFonts w:hint="default"/>
        <w:b w:val="0"/>
        <w:sz w:val="24"/>
      </w:r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4" w15:restartNumberingAfterBreak="0">
    <w:nsid w:val="0EFC0FDA"/>
    <w:multiLevelType w:val="hybridMultilevel"/>
    <w:tmpl w:val="6406CAF4"/>
    <w:lvl w:ilvl="0" w:tplc="C0120E3C">
      <w:numFmt w:val="bullet"/>
      <w:lvlText w:val="-"/>
      <w:lvlJc w:val="left"/>
      <w:pPr>
        <w:ind w:left="720" w:hanging="360"/>
      </w:pPr>
      <w:rPr>
        <w:rFonts w:ascii="Times New Roman" w:eastAsiaTheme="minorHAnsi" w:hAnsi="Times New Roman" w:cs="Times New Roman"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5" w15:restartNumberingAfterBreak="0">
    <w:nsid w:val="0F8064E0"/>
    <w:multiLevelType w:val="multilevel"/>
    <w:tmpl w:val="881059F4"/>
    <w:lvl w:ilvl="0">
      <w:start w:val="1"/>
      <w:numFmt w:val="bullet"/>
      <w:lvlText w:val=""/>
      <w:lvlJc w:val="left"/>
      <w:pPr>
        <w:ind w:left="720" w:hanging="360"/>
      </w:pPr>
      <w:rPr>
        <w:rFonts w:ascii="Symbol" w:hAnsi="Symbol" w:cs="Symbol" w:hint="default"/>
        <w:b/>
        <w:sz w:val="24"/>
      </w:rPr>
    </w:lvl>
    <w:lvl w:ilvl="1">
      <w:start w:val="1"/>
      <w:numFmt w:val="bullet"/>
      <w:lvlText w:val=""/>
      <w:lvlJc w:val="left"/>
      <w:pPr>
        <w:ind w:left="1440" w:hanging="360"/>
      </w:pPr>
      <w:rPr>
        <w:rFonts w:ascii="Symbol" w:hAnsi="Symbol" w:cs="Symbol" w:hint="default"/>
        <w:sz w:val="24"/>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6" w15:restartNumberingAfterBreak="0">
    <w:nsid w:val="115B77A2"/>
    <w:multiLevelType w:val="multilevel"/>
    <w:tmpl w:val="93440BE6"/>
    <w:lvl w:ilvl="0">
      <w:start w:val="1"/>
      <w:numFmt w:val="bullet"/>
      <w:lvlText w:val="-"/>
      <w:lvlJc w:val="left"/>
      <w:pPr>
        <w:ind w:left="720" w:hanging="360"/>
      </w:pPr>
      <w:rPr>
        <w:rFonts w:ascii="Courier New" w:hAnsi="Courier New" w:cs="Courier New" w:hint="default"/>
        <w:sz w:val="24"/>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7" w15:restartNumberingAfterBreak="0">
    <w:nsid w:val="17CC140F"/>
    <w:multiLevelType w:val="hybridMultilevel"/>
    <w:tmpl w:val="770C67AC"/>
    <w:lvl w:ilvl="0" w:tplc="EEA6D5E4">
      <w:start w:val="1"/>
      <w:numFmt w:val="bullet"/>
      <w:lvlText w:val="-"/>
      <w:lvlJc w:val="left"/>
      <w:pPr>
        <w:ind w:left="720" w:hanging="360"/>
      </w:pPr>
      <w:rPr>
        <w:rFonts w:ascii="Courier New" w:hAnsi="Courier New"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8" w15:restartNumberingAfterBreak="0">
    <w:nsid w:val="1AFC6F40"/>
    <w:multiLevelType w:val="multilevel"/>
    <w:tmpl w:val="90EC5388"/>
    <w:lvl w:ilvl="0">
      <w:start w:val="1"/>
      <w:numFmt w:val="bullet"/>
      <w:lvlText w:val="-"/>
      <w:lvlJc w:val="left"/>
      <w:pPr>
        <w:ind w:left="720" w:hanging="360"/>
      </w:pPr>
      <w:rPr>
        <w:rFonts w:ascii="Arial" w:hAnsi="Arial" w:cs="Arial" w:hint="default"/>
        <w:sz w:val="24"/>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9" w15:restartNumberingAfterBreak="0">
    <w:nsid w:val="211A281E"/>
    <w:multiLevelType w:val="multilevel"/>
    <w:tmpl w:val="90406EB2"/>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0" w15:restartNumberingAfterBreak="0">
    <w:nsid w:val="230A68E9"/>
    <w:multiLevelType w:val="multilevel"/>
    <w:tmpl w:val="17B007F2"/>
    <w:lvl w:ilvl="0">
      <w:start w:val="1"/>
      <w:numFmt w:val="bullet"/>
      <w:lvlText w:val="-"/>
      <w:lvlJc w:val="left"/>
      <w:pPr>
        <w:ind w:left="720" w:hanging="360"/>
      </w:pPr>
      <w:rPr>
        <w:rFonts w:ascii="Times New Roman" w:hAnsi="Times New Roman" w:cs="Times New Roman" w:hint="default"/>
        <w:sz w:val="24"/>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11" w15:restartNumberingAfterBreak="0">
    <w:nsid w:val="239E0C9C"/>
    <w:multiLevelType w:val="multilevel"/>
    <w:tmpl w:val="B0B6E242"/>
    <w:lvl w:ilvl="0">
      <w:start w:val="1"/>
      <w:numFmt w:val="bullet"/>
      <w:lvlText w:val="-"/>
      <w:lvlJc w:val="left"/>
      <w:pPr>
        <w:ind w:left="720" w:hanging="360"/>
      </w:pPr>
      <w:rPr>
        <w:rFonts w:ascii="Arial" w:hAnsi="Arial" w:cs="Arial" w:hint="default"/>
        <w:b/>
        <w:sz w:val="24"/>
      </w:rPr>
    </w:lvl>
    <w:lvl w:ilvl="1">
      <w:start w:val="1"/>
      <w:numFmt w:val="bullet"/>
      <w:lvlText w:val="-"/>
      <w:lvlJc w:val="left"/>
      <w:pPr>
        <w:ind w:left="1440" w:hanging="360"/>
      </w:pPr>
      <w:rPr>
        <w:rFonts w:ascii="Courier New" w:hAnsi="Courier New" w:cs="Symbol" w:hint="default"/>
        <w:sz w:val="24"/>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12" w15:restartNumberingAfterBreak="0">
    <w:nsid w:val="29990D21"/>
    <w:multiLevelType w:val="multilevel"/>
    <w:tmpl w:val="990E13CE"/>
    <w:lvl w:ilvl="0">
      <w:start w:val="1"/>
      <w:numFmt w:val="bullet"/>
      <w:lvlText w:val="-"/>
      <w:lvlJc w:val="left"/>
      <w:pPr>
        <w:ind w:left="720" w:hanging="360"/>
      </w:pPr>
      <w:rPr>
        <w:rFonts w:ascii="Arial" w:hAnsi="Arial" w:cs="Arial" w:hint="default"/>
        <w:sz w:val="24"/>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13" w15:restartNumberingAfterBreak="0">
    <w:nsid w:val="2C573C8B"/>
    <w:multiLevelType w:val="hybridMultilevel"/>
    <w:tmpl w:val="F53E04BA"/>
    <w:lvl w:ilvl="0" w:tplc="AD3E9D8E">
      <w:start w:val="1"/>
      <w:numFmt w:val="decimal"/>
      <w:lvlText w:val="%1."/>
      <w:lvlJc w:val="left"/>
      <w:pPr>
        <w:ind w:left="720" w:hanging="360"/>
      </w:pPr>
      <w:rPr>
        <w:rFonts w:hint="default"/>
        <w:b w:val="0"/>
        <w:sz w:val="24"/>
        <w:szCs w:val="24"/>
      </w:r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14" w15:restartNumberingAfterBreak="0">
    <w:nsid w:val="2DB53A9D"/>
    <w:multiLevelType w:val="multilevel"/>
    <w:tmpl w:val="D730F63A"/>
    <w:lvl w:ilvl="0">
      <w:start w:val="4"/>
      <w:numFmt w:val="decimal"/>
      <w:lvlText w:val="%1"/>
      <w:lvlJc w:val="left"/>
      <w:pPr>
        <w:ind w:left="360" w:hanging="360"/>
      </w:pPr>
    </w:lvl>
    <w:lvl w:ilvl="1">
      <w:start w:val="4"/>
      <w:numFmt w:val="decimal"/>
      <w:lvlText w:val="%1.%2"/>
      <w:lvlJc w:val="left"/>
      <w:pPr>
        <w:ind w:left="720" w:hanging="720"/>
      </w:pPr>
      <w:rPr>
        <w:rFonts w:ascii="Arial" w:hAnsi="Arial" w:cs="Arial" w:hint="default"/>
        <w:b/>
        <w:color w:val="auto"/>
      </w:rPr>
    </w:lvl>
    <w:lvl w:ilvl="2">
      <w:start w:val="1"/>
      <w:numFmt w:val="decimal"/>
      <w:lvlText w:val="%1.%2.%3"/>
      <w:lvlJc w:val="left"/>
      <w:pPr>
        <w:ind w:left="720" w:hanging="720"/>
      </w:pPr>
    </w:lvl>
    <w:lvl w:ilvl="3">
      <w:start w:val="1"/>
      <w:numFmt w:val="decimal"/>
      <w:lvlText w:val="%1.%2.%3.%4"/>
      <w:lvlJc w:val="left"/>
      <w:pPr>
        <w:ind w:left="1080" w:hanging="1080"/>
      </w:pPr>
    </w:lvl>
    <w:lvl w:ilvl="4">
      <w:start w:val="1"/>
      <w:numFmt w:val="decimal"/>
      <w:lvlText w:val="%1.%2.%3.%4.%5"/>
      <w:lvlJc w:val="left"/>
      <w:pPr>
        <w:ind w:left="1080" w:hanging="1080"/>
      </w:pPr>
    </w:lvl>
    <w:lvl w:ilvl="5">
      <w:start w:val="1"/>
      <w:numFmt w:val="decimal"/>
      <w:lvlText w:val="%1.%2.%3.%4.%5.%6"/>
      <w:lvlJc w:val="left"/>
      <w:pPr>
        <w:ind w:left="1440" w:hanging="1440"/>
      </w:pPr>
    </w:lvl>
    <w:lvl w:ilvl="6">
      <w:start w:val="1"/>
      <w:numFmt w:val="decimal"/>
      <w:lvlText w:val="%1.%2.%3.%4.%5.%6.%7"/>
      <w:lvlJc w:val="left"/>
      <w:pPr>
        <w:ind w:left="1800" w:hanging="1800"/>
      </w:pPr>
    </w:lvl>
    <w:lvl w:ilvl="7">
      <w:start w:val="1"/>
      <w:numFmt w:val="decimal"/>
      <w:lvlText w:val="%1.%2.%3.%4.%5.%6.%7.%8"/>
      <w:lvlJc w:val="left"/>
      <w:pPr>
        <w:ind w:left="1800" w:hanging="1800"/>
      </w:pPr>
    </w:lvl>
    <w:lvl w:ilvl="8">
      <w:start w:val="1"/>
      <w:numFmt w:val="decimal"/>
      <w:lvlText w:val="%1.%2.%3.%4.%5.%6.%7.%8.%9"/>
      <w:lvlJc w:val="left"/>
      <w:pPr>
        <w:ind w:left="2160" w:hanging="2160"/>
      </w:pPr>
    </w:lvl>
  </w:abstractNum>
  <w:abstractNum w:abstractNumId="15" w15:restartNumberingAfterBreak="0">
    <w:nsid w:val="38AD7E01"/>
    <w:multiLevelType w:val="multilevel"/>
    <w:tmpl w:val="6BAC473E"/>
    <w:lvl w:ilvl="0">
      <w:start w:val="4"/>
      <w:numFmt w:val="decimal"/>
      <w:lvlText w:val="%1"/>
      <w:lvlJc w:val="left"/>
      <w:pPr>
        <w:ind w:left="360" w:hanging="360"/>
      </w:pPr>
    </w:lvl>
    <w:lvl w:ilvl="1">
      <w:start w:val="1"/>
      <w:numFmt w:val="decimal"/>
      <w:lvlText w:val="%1.%2"/>
      <w:lvlJc w:val="left"/>
      <w:pPr>
        <w:ind w:left="720" w:hanging="720"/>
      </w:pPr>
    </w:lvl>
    <w:lvl w:ilvl="2">
      <w:start w:val="1"/>
      <w:numFmt w:val="decimal"/>
      <w:lvlText w:val="%1.%2.%3"/>
      <w:lvlJc w:val="left"/>
      <w:pPr>
        <w:ind w:left="720" w:hanging="720"/>
      </w:pPr>
    </w:lvl>
    <w:lvl w:ilvl="3">
      <w:start w:val="1"/>
      <w:numFmt w:val="decimal"/>
      <w:lvlText w:val="%1.%2.%3.%4"/>
      <w:lvlJc w:val="left"/>
      <w:pPr>
        <w:ind w:left="1080" w:hanging="1080"/>
      </w:pPr>
    </w:lvl>
    <w:lvl w:ilvl="4">
      <w:start w:val="1"/>
      <w:numFmt w:val="decimal"/>
      <w:lvlText w:val="%1.%2.%3.%4.%5"/>
      <w:lvlJc w:val="left"/>
      <w:pPr>
        <w:ind w:left="1080" w:hanging="1080"/>
      </w:pPr>
    </w:lvl>
    <w:lvl w:ilvl="5">
      <w:start w:val="1"/>
      <w:numFmt w:val="decimal"/>
      <w:lvlText w:val="%1.%2.%3.%4.%5.%6"/>
      <w:lvlJc w:val="left"/>
      <w:pPr>
        <w:ind w:left="1440" w:hanging="1440"/>
      </w:pPr>
    </w:lvl>
    <w:lvl w:ilvl="6">
      <w:start w:val="1"/>
      <w:numFmt w:val="decimal"/>
      <w:lvlText w:val="%1.%2.%3.%4.%5.%6.%7"/>
      <w:lvlJc w:val="left"/>
      <w:pPr>
        <w:ind w:left="1800" w:hanging="1800"/>
      </w:pPr>
    </w:lvl>
    <w:lvl w:ilvl="7">
      <w:start w:val="1"/>
      <w:numFmt w:val="decimal"/>
      <w:lvlText w:val="%1.%2.%3.%4.%5.%6.%7.%8"/>
      <w:lvlJc w:val="left"/>
      <w:pPr>
        <w:ind w:left="1800" w:hanging="1800"/>
      </w:pPr>
    </w:lvl>
    <w:lvl w:ilvl="8">
      <w:start w:val="1"/>
      <w:numFmt w:val="decimal"/>
      <w:lvlText w:val="%1.%2.%3.%4.%5.%6.%7.%8.%9"/>
      <w:lvlJc w:val="left"/>
      <w:pPr>
        <w:ind w:left="2160" w:hanging="2160"/>
      </w:pPr>
    </w:lvl>
  </w:abstractNum>
  <w:abstractNum w:abstractNumId="16" w15:restartNumberingAfterBreak="0">
    <w:nsid w:val="39FB177B"/>
    <w:multiLevelType w:val="multilevel"/>
    <w:tmpl w:val="FCBC40E0"/>
    <w:lvl w:ilvl="0">
      <w:start w:val="5"/>
      <w:numFmt w:val="decimal"/>
      <w:lvlText w:val="%1"/>
      <w:lvlJc w:val="left"/>
      <w:pPr>
        <w:ind w:left="360" w:hanging="360"/>
      </w:pPr>
    </w:lvl>
    <w:lvl w:ilvl="1">
      <w:start w:val="1"/>
      <w:numFmt w:val="decimal"/>
      <w:lvlText w:val="%1.%2"/>
      <w:lvlJc w:val="left"/>
      <w:pPr>
        <w:ind w:left="720" w:hanging="720"/>
      </w:pPr>
      <w:rPr>
        <w:rFonts w:ascii="Arial" w:hAnsi="Arial" w:cs="Arial" w:hint="default"/>
        <w:b/>
        <w:color w:val="auto"/>
      </w:rPr>
    </w:lvl>
    <w:lvl w:ilvl="2">
      <w:start w:val="1"/>
      <w:numFmt w:val="decimal"/>
      <w:lvlText w:val="%1.%2.%3"/>
      <w:lvlJc w:val="left"/>
      <w:pPr>
        <w:ind w:left="720" w:hanging="720"/>
      </w:pPr>
    </w:lvl>
    <w:lvl w:ilvl="3">
      <w:start w:val="1"/>
      <w:numFmt w:val="decimal"/>
      <w:lvlText w:val="%1.%2.%3.%4"/>
      <w:lvlJc w:val="left"/>
      <w:pPr>
        <w:ind w:left="1080" w:hanging="1080"/>
      </w:pPr>
    </w:lvl>
    <w:lvl w:ilvl="4">
      <w:start w:val="1"/>
      <w:numFmt w:val="decimal"/>
      <w:lvlText w:val="%1.%2.%3.%4.%5"/>
      <w:lvlJc w:val="left"/>
      <w:pPr>
        <w:ind w:left="1080" w:hanging="1080"/>
      </w:pPr>
    </w:lvl>
    <w:lvl w:ilvl="5">
      <w:start w:val="1"/>
      <w:numFmt w:val="decimal"/>
      <w:lvlText w:val="%1.%2.%3.%4.%5.%6"/>
      <w:lvlJc w:val="left"/>
      <w:pPr>
        <w:ind w:left="1440" w:hanging="1440"/>
      </w:pPr>
    </w:lvl>
    <w:lvl w:ilvl="6">
      <w:start w:val="1"/>
      <w:numFmt w:val="decimal"/>
      <w:lvlText w:val="%1.%2.%3.%4.%5.%6.%7"/>
      <w:lvlJc w:val="left"/>
      <w:pPr>
        <w:ind w:left="1800" w:hanging="1800"/>
      </w:pPr>
    </w:lvl>
    <w:lvl w:ilvl="7">
      <w:start w:val="1"/>
      <w:numFmt w:val="decimal"/>
      <w:lvlText w:val="%1.%2.%3.%4.%5.%6.%7.%8"/>
      <w:lvlJc w:val="left"/>
      <w:pPr>
        <w:ind w:left="1800" w:hanging="1800"/>
      </w:pPr>
    </w:lvl>
    <w:lvl w:ilvl="8">
      <w:start w:val="1"/>
      <w:numFmt w:val="decimal"/>
      <w:lvlText w:val="%1.%2.%3.%4.%5.%6.%7.%8.%9"/>
      <w:lvlJc w:val="left"/>
      <w:pPr>
        <w:ind w:left="2160" w:hanging="2160"/>
      </w:pPr>
    </w:lvl>
  </w:abstractNum>
  <w:abstractNum w:abstractNumId="17" w15:restartNumberingAfterBreak="0">
    <w:nsid w:val="3C762D40"/>
    <w:multiLevelType w:val="multilevel"/>
    <w:tmpl w:val="31BEACA0"/>
    <w:lvl w:ilvl="0">
      <w:start w:val="4"/>
      <w:numFmt w:val="decimal"/>
      <w:lvlText w:val="%1"/>
      <w:lvlJc w:val="left"/>
      <w:pPr>
        <w:ind w:left="360" w:hanging="360"/>
      </w:pPr>
    </w:lvl>
    <w:lvl w:ilvl="1">
      <w:start w:val="5"/>
      <w:numFmt w:val="decimal"/>
      <w:lvlText w:val="%1.%2"/>
      <w:lvlJc w:val="left"/>
      <w:pPr>
        <w:ind w:left="720" w:hanging="720"/>
      </w:pPr>
    </w:lvl>
    <w:lvl w:ilvl="2">
      <w:start w:val="1"/>
      <w:numFmt w:val="decimal"/>
      <w:lvlText w:val="%1.%2.%3"/>
      <w:lvlJc w:val="left"/>
      <w:pPr>
        <w:ind w:left="720" w:hanging="720"/>
      </w:pPr>
    </w:lvl>
    <w:lvl w:ilvl="3">
      <w:start w:val="1"/>
      <w:numFmt w:val="decimal"/>
      <w:lvlText w:val="%1.%2.%3.%4"/>
      <w:lvlJc w:val="left"/>
      <w:pPr>
        <w:ind w:left="1080" w:hanging="1080"/>
      </w:pPr>
    </w:lvl>
    <w:lvl w:ilvl="4">
      <w:start w:val="1"/>
      <w:numFmt w:val="decimal"/>
      <w:lvlText w:val="%1.%2.%3.%4.%5"/>
      <w:lvlJc w:val="left"/>
      <w:pPr>
        <w:ind w:left="1080" w:hanging="1080"/>
      </w:pPr>
    </w:lvl>
    <w:lvl w:ilvl="5">
      <w:start w:val="1"/>
      <w:numFmt w:val="decimal"/>
      <w:lvlText w:val="%1.%2.%3.%4.%5.%6"/>
      <w:lvlJc w:val="left"/>
      <w:pPr>
        <w:ind w:left="1440" w:hanging="1440"/>
      </w:pPr>
    </w:lvl>
    <w:lvl w:ilvl="6">
      <w:start w:val="1"/>
      <w:numFmt w:val="decimal"/>
      <w:lvlText w:val="%1.%2.%3.%4.%5.%6.%7"/>
      <w:lvlJc w:val="left"/>
      <w:pPr>
        <w:ind w:left="1800" w:hanging="1800"/>
      </w:pPr>
    </w:lvl>
    <w:lvl w:ilvl="7">
      <w:start w:val="1"/>
      <w:numFmt w:val="decimal"/>
      <w:lvlText w:val="%1.%2.%3.%4.%5.%6.%7.%8"/>
      <w:lvlJc w:val="left"/>
      <w:pPr>
        <w:ind w:left="1800" w:hanging="1800"/>
      </w:pPr>
    </w:lvl>
    <w:lvl w:ilvl="8">
      <w:start w:val="1"/>
      <w:numFmt w:val="decimal"/>
      <w:lvlText w:val="%1.%2.%3.%4.%5.%6.%7.%8.%9"/>
      <w:lvlJc w:val="left"/>
      <w:pPr>
        <w:ind w:left="2160" w:hanging="2160"/>
      </w:pPr>
    </w:lvl>
  </w:abstractNum>
  <w:abstractNum w:abstractNumId="18" w15:restartNumberingAfterBreak="0">
    <w:nsid w:val="3E9109A9"/>
    <w:multiLevelType w:val="multilevel"/>
    <w:tmpl w:val="8EA85834"/>
    <w:lvl w:ilvl="0">
      <w:start w:val="4"/>
      <w:numFmt w:val="decimal"/>
      <w:lvlText w:val="%1"/>
      <w:lvlJc w:val="left"/>
      <w:pPr>
        <w:ind w:left="360" w:hanging="360"/>
      </w:pPr>
    </w:lvl>
    <w:lvl w:ilvl="1">
      <w:start w:val="2"/>
      <w:numFmt w:val="decimal"/>
      <w:lvlText w:val="%1.%2"/>
      <w:lvlJc w:val="left"/>
      <w:pPr>
        <w:ind w:left="1080" w:hanging="720"/>
      </w:pPr>
    </w:lvl>
    <w:lvl w:ilvl="2">
      <w:start w:val="1"/>
      <w:numFmt w:val="decimal"/>
      <w:lvlText w:val="%1.%2.%3"/>
      <w:lvlJc w:val="left"/>
      <w:pPr>
        <w:ind w:left="1440" w:hanging="720"/>
      </w:pPr>
    </w:lvl>
    <w:lvl w:ilvl="3">
      <w:start w:val="1"/>
      <w:numFmt w:val="decimal"/>
      <w:lvlText w:val="%1.%2.%3.%4"/>
      <w:lvlJc w:val="left"/>
      <w:pPr>
        <w:ind w:left="2160" w:hanging="1080"/>
      </w:pPr>
    </w:lvl>
    <w:lvl w:ilvl="4">
      <w:start w:val="1"/>
      <w:numFmt w:val="decimal"/>
      <w:lvlText w:val="%1.%2.%3.%4.%5"/>
      <w:lvlJc w:val="left"/>
      <w:pPr>
        <w:ind w:left="2520" w:hanging="1080"/>
      </w:pPr>
    </w:lvl>
    <w:lvl w:ilvl="5">
      <w:start w:val="1"/>
      <w:numFmt w:val="decimal"/>
      <w:lvlText w:val="%1.%2.%3.%4.%5.%6"/>
      <w:lvlJc w:val="left"/>
      <w:pPr>
        <w:ind w:left="3240" w:hanging="1440"/>
      </w:pPr>
    </w:lvl>
    <w:lvl w:ilvl="6">
      <w:start w:val="1"/>
      <w:numFmt w:val="decimal"/>
      <w:lvlText w:val="%1.%2.%3.%4.%5.%6.%7"/>
      <w:lvlJc w:val="left"/>
      <w:pPr>
        <w:ind w:left="3960" w:hanging="1800"/>
      </w:pPr>
    </w:lvl>
    <w:lvl w:ilvl="7">
      <w:start w:val="1"/>
      <w:numFmt w:val="decimal"/>
      <w:lvlText w:val="%1.%2.%3.%4.%5.%6.%7.%8"/>
      <w:lvlJc w:val="left"/>
      <w:pPr>
        <w:ind w:left="4320" w:hanging="1800"/>
      </w:pPr>
    </w:lvl>
    <w:lvl w:ilvl="8">
      <w:start w:val="1"/>
      <w:numFmt w:val="decimal"/>
      <w:lvlText w:val="%1.%2.%3.%4.%5.%6.%7.%8.%9"/>
      <w:lvlJc w:val="left"/>
      <w:pPr>
        <w:ind w:left="5040" w:hanging="2160"/>
      </w:pPr>
    </w:lvl>
  </w:abstractNum>
  <w:abstractNum w:abstractNumId="19" w15:restartNumberingAfterBreak="0">
    <w:nsid w:val="3EAC0DBA"/>
    <w:multiLevelType w:val="multilevel"/>
    <w:tmpl w:val="972E5408"/>
    <w:lvl w:ilvl="0">
      <w:start w:val="1"/>
      <w:numFmt w:val="bullet"/>
      <w:lvlText w:val="-"/>
      <w:lvlJc w:val="left"/>
      <w:pPr>
        <w:ind w:left="720" w:hanging="360"/>
      </w:pPr>
      <w:rPr>
        <w:rFonts w:ascii="Times New Roman" w:hAnsi="Times New Roman" w:cs="Times New Roman" w:hint="default"/>
        <w:sz w:val="24"/>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20" w15:restartNumberingAfterBreak="0">
    <w:nsid w:val="4129001E"/>
    <w:multiLevelType w:val="multilevel"/>
    <w:tmpl w:val="6A8867E8"/>
    <w:lvl w:ilvl="0">
      <w:start w:val="1"/>
      <w:numFmt w:val="bullet"/>
      <w:lvlText w:val=""/>
      <w:lvlJc w:val="left"/>
      <w:pPr>
        <w:tabs>
          <w:tab w:val="num" w:pos="720"/>
        </w:tabs>
        <w:ind w:left="720" w:hanging="360"/>
      </w:pPr>
      <w:rPr>
        <w:rFonts w:ascii="Symbol" w:hAnsi="Symbol" w:cs="OpenSymbol" w:hint="default"/>
      </w:rPr>
    </w:lvl>
    <w:lvl w:ilvl="1">
      <w:start w:val="1"/>
      <w:numFmt w:val="bullet"/>
      <w:lvlText w:val=""/>
      <w:lvlJc w:val="left"/>
      <w:pPr>
        <w:tabs>
          <w:tab w:val="num" w:pos="1080"/>
        </w:tabs>
        <w:ind w:left="1080" w:hanging="360"/>
      </w:pPr>
      <w:rPr>
        <w:rFonts w:ascii="Symbol" w:hAnsi="Symbol" w:cs="Symbol" w:hint="default"/>
        <w:b w:val="0"/>
      </w:rPr>
    </w:lvl>
    <w:lvl w:ilvl="2">
      <w:start w:val="1"/>
      <w:numFmt w:val="bullet"/>
      <w:lvlText w:val="▪"/>
      <w:lvlJc w:val="left"/>
      <w:pPr>
        <w:tabs>
          <w:tab w:val="num" w:pos="1440"/>
        </w:tabs>
        <w:ind w:left="1440" w:hanging="360"/>
      </w:pPr>
      <w:rPr>
        <w:rFonts w:ascii="OpenSymbol" w:hAnsi="OpenSymbol" w:cs="OpenSymbol" w:hint="default"/>
      </w:rPr>
    </w:lvl>
    <w:lvl w:ilvl="3">
      <w:start w:val="1"/>
      <w:numFmt w:val="bullet"/>
      <w:lvlText w:val=""/>
      <w:lvlJc w:val="left"/>
      <w:pPr>
        <w:tabs>
          <w:tab w:val="num" w:pos="1800"/>
        </w:tabs>
        <w:ind w:left="1800" w:hanging="360"/>
      </w:pPr>
      <w:rPr>
        <w:rFonts w:ascii="Symbol" w:hAnsi="Symbol" w:cs="OpenSymbol" w:hint="default"/>
      </w:rPr>
    </w:lvl>
    <w:lvl w:ilvl="4">
      <w:start w:val="1"/>
      <w:numFmt w:val="bullet"/>
      <w:lvlText w:val="◦"/>
      <w:lvlJc w:val="left"/>
      <w:pPr>
        <w:tabs>
          <w:tab w:val="num" w:pos="2160"/>
        </w:tabs>
        <w:ind w:left="2160" w:hanging="360"/>
      </w:pPr>
      <w:rPr>
        <w:rFonts w:ascii="OpenSymbol" w:hAnsi="OpenSymbol" w:cs="OpenSymbol" w:hint="default"/>
      </w:rPr>
    </w:lvl>
    <w:lvl w:ilvl="5">
      <w:start w:val="1"/>
      <w:numFmt w:val="bullet"/>
      <w:lvlText w:val="▪"/>
      <w:lvlJc w:val="left"/>
      <w:pPr>
        <w:tabs>
          <w:tab w:val="num" w:pos="2520"/>
        </w:tabs>
        <w:ind w:left="2520" w:hanging="360"/>
      </w:pPr>
      <w:rPr>
        <w:rFonts w:ascii="OpenSymbol" w:hAnsi="OpenSymbol" w:cs="OpenSymbol" w:hint="default"/>
      </w:rPr>
    </w:lvl>
    <w:lvl w:ilvl="6">
      <w:start w:val="1"/>
      <w:numFmt w:val="bullet"/>
      <w:lvlText w:val=""/>
      <w:lvlJc w:val="left"/>
      <w:pPr>
        <w:tabs>
          <w:tab w:val="num" w:pos="2880"/>
        </w:tabs>
        <w:ind w:left="2880" w:hanging="360"/>
      </w:pPr>
      <w:rPr>
        <w:rFonts w:ascii="Symbol" w:hAnsi="Symbol" w:cs="OpenSymbol" w:hint="default"/>
      </w:rPr>
    </w:lvl>
    <w:lvl w:ilvl="7">
      <w:start w:val="1"/>
      <w:numFmt w:val="bullet"/>
      <w:lvlText w:val="◦"/>
      <w:lvlJc w:val="left"/>
      <w:pPr>
        <w:tabs>
          <w:tab w:val="num" w:pos="3240"/>
        </w:tabs>
        <w:ind w:left="3240" w:hanging="360"/>
      </w:pPr>
      <w:rPr>
        <w:rFonts w:ascii="OpenSymbol" w:hAnsi="OpenSymbol" w:cs="OpenSymbol" w:hint="default"/>
      </w:rPr>
    </w:lvl>
    <w:lvl w:ilvl="8">
      <w:start w:val="1"/>
      <w:numFmt w:val="bullet"/>
      <w:lvlText w:val="▪"/>
      <w:lvlJc w:val="left"/>
      <w:pPr>
        <w:tabs>
          <w:tab w:val="num" w:pos="3600"/>
        </w:tabs>
        <w:ind w:left="3600" w:hanging="360"/>
      </w:pPr>
      <w:rPr>
        <w:rFonts w:ascii="OpenSymbol" w:hAnsi="OpenSymbol" w:cs="OpenSymbol" w:hint="default"/>
      </w:rPr>
    </w:lvl>
  </w:abstractNum>
  <w:abstractNum w:abstractNumId="21" w15:restartNumberingAfterBreak="0">
    <w:nsid w:val="474B3B50"/>
    <w:multiLevelType w:val="multilevel"/>
    <w:tmpl w:val="3D0429BC"/>
    <w:lvl w:ilvl="0">
      <w:start w:val="1"/>
      <w:numFmt w:val="bullet"/>
      <w:lvlText w:val=""/>
      <w:lvlJc w:val="left"/>
      <w:pPr>
        <w:ind w:left="720" w:hanging="360"/>
      </w:pPr>
      <w:rPr>
        <w:rFonts w:ascii="Symbol" w:hAnsi="Symbol" w:cs="Symbol" w:hint="default"/>
        <w:b/>
        <w:sz w:val="24"/>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22" w15:restartNumberingAfterBreak="0">
    <w:nsid w:val="4B1F35E3"/>
    <w:multiLevelType w:val="multilevel"/>
    <w:tmpl w:val="3D902F6E"/>
    <w:lvl w:ilvl="0">
      <w:start w:val="2"/>
      <w:numFmt w:val="decimal"/>
      <w:lvlText w:val="%1"/>
      <w:lvlJc w:val="left"/>
      <w:pPr>
        <w:ind w:left="360" w:hanging="360"/>
      </w:pPr>
    </w:lvl>
    <w:lvl w:ilvl="1">
      <w:start w:val="1"/>
      <w:numFmt w:val="decimal"/>
      <w:lvlText w:val="%1.%2"/>
      <w:lvlJc w:val="left"/>
      <w:pPr>
        <w:ind w:left="720" w:hanging="720"/>
      </w:pPr>
      <w:rPr>
        <w:rFonts w:ascii="Arial" w:hAnsi="Arial" w:cs="Arial" w:hint="default"/>
        <w:color w:val="auto"/>
      </w:rPr>
    </w:lvl>
    <w:lvl w:ilvl="2">
      <w:start w:val="1"/>
      <w:numFmt w:val="decimal"/>
      <w:lvlText w:val="%1.%2.%3"/>
      <w:lvlJc w:val="left"/>
      <w:pPr>
        <w:ind w:left="720" w:hanging="720"/>
      </w:pPr>
    </w:lvl>
    <w:lvl w:ilvl="3">
      <w:start w:val="1"/>
      <w:numFmt w:val="decimal"/>
      <w:lvlText w:val="%1.%2.%3.%4"/>
      <w:lvlJc w:val="left"/>
      <w:pPr>
        <w:ind w:left="1080" w:hanging="1080"/>
      </w:pPr>
    </w:lvl>
    <w:lvl w:ilvl="4">
      <w:start w:val="1"/>
      <w:numFmt w:val="decimal"/>
      <w:lvlText w:val="%1.%2.%3.%4.%5"/>
      <w:lvlJc w:val="left"/>
      <w:pPr>
        <w:ind w:left="1080" w:hanging="1080"/>
      </w:pPr>
    </w:lvl>
    <w:lvl w:ilvl="5">
      <w:start w:val="1"/>
      <w:numFmt w:val="decimal"/>
      <w:lvlText w:val="%1.%2.%3.%4.%5.%6"/>
      <w:lvlJc w:val="left"/>
      <w:pPr>
        <w:ind w:left="1440" w:hanging="1440"/>
      </w:pPr>
    </w:lvl>
    <w:lvl w:ilvl="6">
      <w:start w:val="1"/>
      <w:numFmt w:val="decimal"/>
      <w:lvlText w:val="%1.%2.%3.%4.%5.%6.%7"/>
      <w:lvlJc w:val="left"/>
      <w:pPr>
        <w:ind w:left="1800" w:hanging="1800"/>
      </w:pPr>
    </w:lvl>
    <w:lvl w:ilvl="7">
      <w:start w:val="1"/>
      <w:numFmt w:val="decimal"/>
      <w:lvlText w:val="%1.%2.%3.%4.%5.%6.%7.%8"/>
      <w:lvlJc w:val="left"/>
      <w:pPr>
        <w:ind w:left="1800" w:hanging="1800"/>
      </w:pPr>
    </w:lvl>
    <w:lvl w:ilvl="8">
      <w:start w:val="1"/>
      <w:numFmt w:val="decimal"/>
      <w:lvlText w:val="%1.%2.%3.%4.%5.%6.%7.%8.%9"/>
      <w:lvlJc w:val="left"/>
      <w:pPr>
        <w:ind w:left="2160" w:hanging="2160"/>
      </w:pPr>
    </w:lvl>
  </w:abstractNum>
  <w:abstractNum w:abstractNumId="23" w15:restartNumberingAfterBreak="0">
    <w:nsid w:val="57941FF4"/>
    <w:multiLevelType w:val="multilevel"/>
    <w:tmpl w:val="FDA67764"/>
    <w:lvl w:ilvl="0">
      <w:start w:val="1"/>
      <w:numFmt w:val="bullet"/>
      <w:lvlText w:val=""/>
      <w:lvlJc w:val="left"/>
      <w:pPr>
        <w:ind w:left="720" w:hanging="360"/>
      </w:pPr>
      <w:rPr>
        <w:rFonts w:ascii="Symbol" w:hAnsi="Symbol" w:cs="Symbol" w:hint="default"/>
        <w:sz w:val="24"/>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24" w15:restartNumberingAfterBreak="0">
    <w:nsid w:val="5B9D6F38"/>
    <w:multiLevelType w:val="multilevel"/>
    <w:tmpl w:val="00DAE9C2"/>
    <w:lvl w:ilvl="0">
      <w:start w:val="1"/>
      <w:numFmt w:val="bullet"/>
      <w:lvlText w:val="-"/>
      <w:lvlJc w:val="left"/>
      <w:pPr>
        <w:ind w:left="720" w:hanging="360"/>
      </w:pPr>
      <w:rPr>
        <w:rFonts w:ascii="Times New Roman" w:hAnsi="Times New Roman" w:cs="Times New Roman" w:hint="default"/>
        <w:b/>
        <w:sz w:val="24"/>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25" w15:restartNumberingAfterBreak="0">
    <w:nsid w:val="5C754FE0"/>
    <w:multiLevelType w:val="multilevel"/>
    <w:tmpl w:val="1EE8F0BA"/>
    <w:lvl w:ilvl="0">
      <w:start w:val="1"/>
      <w:numFmt w:val="bullet"/>
      <w:lvlText w:val=""/>
      <w:lvlJc w:val="left"/>
      <w:pPr>
        <w:tabs>
          <w:tab w:val="num" w:pos="720"/>
        </w:tabs>
        <w:ind w:left="720" w:hanging="360"/>
      </w:pPr>
      <w:rPr>
        <w:rFonts w:ascii="Symbol" w:hAnsi="Symbol" w:cs="OpenSymbol" w:hint="default"/>
      </w:rPr>
    </w:lvl>
    <w:lvl w:ilvl="1">
      <w:start w:val="1"/>
      <w:numFmt w:val="bullet"/>
      <w:lvlText w:val=""/>
      <w:lvlJc w:val="left"/>
      <w:pPr>
        <w:tabs>
          <w:tab w:val="num" w:pos="1080"/>
        </w:tabs>
        <w:ind w:left="1080" w:hanging="360"/>
      </w:pPr>
      <w:rPr>
        <w:rFonts w:ascii="Symbol" w:hAnsi="Symbol" w:cs="Symbol" w:hint="default"/>
      </w:rPr>
    </w:lvl>
    <w:lvl w:ilvl="2">
      <w:start w:val="1"/>
      <w:numFmt w:val="bullet"/>
      <w:lvlText w:val="▪"/>
      <w:lvlJc w:val="left"/>
      <w:pPr>
        <w:tabs>
          <w:tab w:val="num" w:pos="1440"/>
        </w:tabs>
        <w:ind w:left="1440" w:hanging="360"/>
      </w:pPr>
      <w:rPr>
        <w:rFonts w:ascii="OpenSymbol" w:hAnsi="OpenSymbol" w:cs="OpenSymbol" w:hint="default"/>
      </w:rPr>
    </w:lvl>
    <w:lvl w:ilvl="3">
      <w:start w:val="1"/>
      <w:numFmt w:val="bullet"/>
      <w:lvlText w:val=""/>
      <w:lvlJc w:val="left"/>
      <w:pPr>
        <w:tabs>
          <w:tab w:val="num" w:pos="1800"/>
        </w:tabs>
        <w:ind w:left="1800" w:hanging="360"/>
      </w:pPr>
      <w:rPr>
        <w:rFonts w:ascii="Symbol" w:hAnsi="Symbol" w:cs="OpenSymbol" w:hint="default"/>
      </w:rPr>
    </w:lvl>
    <w:lvl w:ilvl="4">
      <w:start w:val="1"/>
      <w:numFmt w:val="bullet"/>
      <w:lvlText w:val="◦"/>
      <w:lvlJc w:val="left"/>
      <w:pPr>
        <w:tabs>
          <w:tab w:val="num" w:pos="2160"/>
        </w:tabs>
        <w:ind w:left="2160" w:hanging="360"/>
      </w:pPr>
      <w:rPr>
        <w:rFonts w:ascii="OpenSymbol" w:hAnsi="OpenSymbol" w:cs="OpenSymbol" w:hint="default"/>
      </w:rPr>
    </w:lvl>
    <w:lvl w:ilvl="5">
      <w:start w:val="1"/>
      <w:numFmt w:val="bullet"/>
      <w:lvlText w:val="▪"/>
      <w:lvlJc w:val="left"/>
      <w:pPr>
        <w:tabs>
          <w:tab w:val="num" w:pos="2520"/>
        </w:tabs>
        <w:ind w:left="2520" w:hanging="360"/>
      </w:pPr>
      <w:rPr>
        <w:rFonts w:ascii="OpenSymbol" w:hAnsi="OpenSymbol" w:cs="OpenSymbol" w:hint="default"/>
      </w:rPr>
    </w:lvl>
    <w:lvl w:ilvl="6">
      <w:start w:val="1"/>
      <w:numFmt w:val="bullet"/>
      <w:lvlText w:val=""/>
      <w:lvlJc w:val="left"/>
      <w:pPr>
        <w:tabs>
          <w:tab w:val="num" w:pos="2880"/>
        </w:tabs>
        <w:ind w:left="2880" w:hanging="360"/>
      </w:pPr>
      <w:rPr>
        <w:rFonts w:ascii="Symbol" w:hAnsi="Symbol" w:cs="OpenSymbol" w:hint="default"/>
      </w:rPr>
    </w:lvl>
    <w:lvl w:ilvl="7">
      <w:start w:val="1"/>
      <w:numFmt w:val="bullet"/>
      <w:lvlText w:val="◦"/>
      <w:lvlJc w:val="left"/>
      <w:pPr>
        <w:tabs>
          <w:tab w:val="num" w:pos="3240"/>
        </w:tabs>
        <w:ind w:left="3240" w:hanging="360"/>
      </w:pPr>
      <w:rPr>
        <w:rFonts w:ascii="OpenSymbol" w:hAnsi="OpenSymbol" w:cs="OpenSymbol" w:hint="default"/>
      </w:rPr>
    </w:lvl>
    <w:lvl w:ilvl="8">
      <w:start w:val="1"/>
      <w:numFmt w:val="bullet"/>
      <w:lvlText w:val="▪"/>
      <w:lvlJc w:val="left"/>
      <w:pPr>
        <w:tabs>
          <w:tab w:val="num" w:pos="3600"/>
        </w:tabs>
        <w:ind w:left="3600" w:hanging="360"/>
      </w:pPr>
      <w:rPr>
        <w:rFonts w:ascii="OpenSymbol" w:hAnsi="OpenSymbol" w:cs="OpenSymbol" w:hint="default"/>
      </w:rPr>
    </w:lvl>
  </w:abstractNum>
  <w:abstractNum w:abstractNumId="26" w15:restartNumberingAfterBreak="0">
    <w:nsid w:val="5EB641A8"/>
    <w:multiLevelType w:val="multilevel"/>
    <w:tmpl w:val="201E8322"/>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7" w15:restartNumberingAfterBreak="0">
    <w:nsid w:val="5F1B537B"/>
    <w:multiLevelType w:val="multilevel"/>
    <w:tmpl w:val="AA3E9898"/>
    <w:lvl w:ilvl="0">
      <w:start w:val="1"/>
      <w:numFmt w:val="bullet"/>
      <w:lvlText w:val=""/>
      <w:lvlJc w:val="left"/>
      <w:pPr>
        <w:ind w:left="720" w:hanging="360"/>
      </w:pPr>
      <w:rPr>
        <w:rFonts w:ascii="Symbol" w:hAnsi="Symbol" w:cs="Symbol" w:hint="default"/>
        <w:sz w:val="24"/>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28" w15:restartNumberingAfterBreak="0">
    <w:nsid w:val="66412205"/>
    <w:multiLevelType w:val="multilevel"/>
    <w:tmpl w:val="85AC9930"/>
    <w:lvl w:ilvl="0">
      <w:start w:val="1"/>
      <w:numFmt w:val="bullet"/>
      <w:lvlText w:val=""/>
      <w:lvlJc w:val="left"/>
      <w:pPr>
        <w:tabs>
          <w:tab w:val="num" w:pos="720"/>
        </w:tabs>
        <w:ind w:left="720" w:hanging="360"/>
      </w:pPr>
      <w:rPr>
        <w:rFonts w:ascii="Symbol" w:hAnsi="Symbol" w:cs="OpenSymbol" w:hint="default"/>
      </w:rPr>
    </w:lvl>
    <w:lvl w:ilvl="1">
      <w:start w:val="1"/>
      <w:numFmt w:val="bullet"/>
      <w:lvlText w:val="◦"/>
      <w:lvlJc w:val="left"/>
      <w:pPr>
        <w:tabs>
          <w:tab w:val="num" w:pos="1080"/>
        </w:tabs>
        <w:ind w:left="1080" w:hanging="360"/>
      </w:pPr>
      <w:rPr>
        <w:rFonts w:ascii="OpenSymbol" w:hAnsi="OpenSymbol" w:cs="OpenSymbol" w:hint="default"/>
        <w:sz w:val="24"/>
      </w:rPr>
    </w:lvl>
    <w:lvl w:ilvl="2">
      <w:start w:val="1"/>
      <w:numFmt w:val="bullet"/>
      <w:lvlText w:val="▪"/>
      <w:lvlJc w:val="left"/>
      <w:pPr>
        <w:tabs>
          <w:tab w:val="num" w:pos="1440"/>
        </w:tabs>
        <w:ind w:left="1440" w:hanging="360"/>
      </w:pPr>
      <w:rPr>
        <w:rFonts w:ascii="OpenSymbol" w:hAnsi="OpenSymbol" w:cs="OpenSymbol" w:hint="default"/>
      </w:rPr>
    </w:lvl>
    <w:lvl w:ilvl="3">
      <w:start w:val="1"/>
      <w:numFmt w:val="bullet"/>
      <w:lvlText w:val=""/>
      <w:lvlJc w:val="left"/>
      <w:pPr>
        <w:tabs>
          <w:tab w:val="num" w:pos="1800"/>
        </w:tabs>
        <w:ind w:left="1800" w:hanging="360"/>
      </w:pPr>
      <w:rPr>
        <w:rFonts w:ascii="Symbol" w:hAnsi="Symbol" w:cs="OpenSymbol" w:hint="default"/>
      </w:rPr>
    </w:lvl>
    <w:lvl w:ilvl="4">
      <w:start w:val="1"/>
      <w:numFmt w:val="bullet"/>
      <w:lvlText w:val="◦"/>
      <w:lvlJc w:val="left"/>
      <w:pPr>
        <w:tabs>
          <w:tab w:val="num" w:pos="2160"/>
        </w:tabs>
        <w:ind w:left="2160" w:hanging="360"/>
      </w:pPr>
      <w:rPr>
        <w:rFonts w:ascii="OpenSymbol" w:hAnsi="OpenSymbol" w:cs="OpenSymbol" w:hint="default"/>
      </w:rPr>
    </w:lvl>
    <w:lvl w:ilvl="5">
      <w:start w:val="1"/>
      <w:numFmt w:val="bullet"/>
      <w:lvlText w:val="▪"/>
      <w:lvlJc w:val="left"/>
      <w:pPr>
        <w:tabs>
          <w:tab w:val="num" w:pos="2520"/>
        </w:tabs>
        <w:ind w:left="2520" w:hanging="360"/>
      </w:pPr>
      <w:rPr>
        <w:rFonts w:ascii="OpenSymbol" w:hAnsi="OpenSymbol" w:cs="OpenSymbol" w:hint="default"/>
      </w:rPr>
    </w:lvl>
    <w:lvl w:ilvl="6">
      <w:start w:val="1"/>
      <w:numFmt w:val="bullet"/>
      <w:lvlText w:val=""/>
      <w:lvlJc w:val="left"/>
      <w:pPr>
        <w:tabs>
          <w:tab w:val="num" w:pos="2880"/>
        </w:tabs>
        <w:ind w:left="2880" w:hanging="360"/>
      </w:pPr>
      <w:rPr>
        <w:rFonts w:ascii="Symbol" w:hAnsi="Symbol" w:cs="OpenSymbol" w:hint="default"/>
      </w:rPr>
    </w:lvl>
    <w:lvl w:ilvl="7">
      <w:start w:val="1"/>
      <w:numFmt w:val="bullet"/>
      <w:lvlText w:val="◦"/>
      <w:lvlJc w:val="left"/>
      <w:pPr>
        <w:tabs>
          <w:tab w:val="num" w:pos="3240"/>
        </w:tabs>
        <w:ind w:left="3240" w:hanging="360"/>
      </w:pPr>
      <w:rPr>
        <w:rFonts w:ascii="OpenSymbol" w:hAnsi="OpenSymbol" w:cs="OpenSymbol" w:hint="default"/>
      </w:rPr>
    </w:lvl>
    <w:lvl w:ilvl="8">
      <w:start w:val="1"/>
      <w:numFmt w:val="bullet"/>
      <w:lvlText w:val="▪"/>
      <w:lvlJc w:val="left"/>
      <w:pPr>
        <w:tabs>
          <w:tab w:val="num" w:pos="3600"/>
        </w:tabs>
        <w:ind w:left="3600" w:hanging="360"/>
      </w:pPr>
      <w:rPr>
        <w:rFonts w:ascii="OpenSymbol" w:hAnsi="OpenSymbol" w:cs="OpenSymbol" w:hint="default"/>
      </w:rPr>
    </w:lvl>
  </w:abstractNum>
  <w:abstractNum w:abstractNumId="29" w15:restartNumberingAfterBreak="0">
    <w:nsid w:val="700A0FD3"/>
    <w:multiLevelType w:val="multilevel"/>
    <w:tmpl w:val="A80EA21E"/>
    <w:lvl w:ilvl="0">
      <w:start w:val="1"/>
      <w:numFmt w:val="bullet"/>
      <w:lvlText w:val="-"/>
      <w:lvlJc w:val="left"/>
      <w:pPr>
        <w:ind w:left="720" w:hanging="360"/>
      </w:pPr>
      <w:rPr>
        <w:rFonts w:ascii="Arial" w:hAnsi="Arial" w:cs="Arial" w:hint="default"/>
        <w:sz w:val="24"/>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30" w15:restartNumberingAfterBreak="0">
    <w:nsid w:val="71046BA7"/>
    <w:multiLevelType w:val="multilevel"/>
    <w:tmpl w:val="681A2B9E"/>
    <w:lvl w:ilvl="0">
      <w:start w:val="1"/>
      <w:numFmt w:val="bullet"/>
      <w:lvlText w:val="-"/>
      <w:lvlJc w:val="left"/>
      <w:pPr>
        <w:ind w:left="720" w:hanging="360"/>
      </w:pPr>
      <w:rPr>
        <w:rFonts w:ascii="Arial" w:hAnsi="Arial" w:cs="Arial" w:hint="default"/>
        <w:sz w:val="24"/>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31" w15:restartNumberingAfterBreak="0">
    <w:nsid w:val="7CA2206F"/>
    <w:multiLevelType w:val="multilevel"/>
    <w:tmpl w:val="18E68D88"/>
    <w:lvl w:ilvl="0">
      <w:start w:val="1"/>
      <w:numFmt w:val="decimal"/>
      <w:lvlText w:val="%1"/>
      <w:lvlJc w:val="left"/>
      <w:pPr>
        <w:ind w:left="360" w:hanging="36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2" w15:restartNumberingAfterBreak="0">
    <w:nsid w:val="7D6A29EC"/>
    <w:multiLevelType w:val="hybridMultilevel"/>
    <w:tmpl w:val="16F04980"/>
    <w:lvl w:ilvl="0" w:tplc="140A0017">
      <w:start w:val="1"/>
      <w:numFmt w:val="lowerLetter"/>
      <w:lvlText w:val="%1)"/>
      <w:lvlJc w:val="left"/>
      <w:pPr>
        <w:ind w:left="720" w:hanging="360"/>
      </w:p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33" w15:restartNumberingAfterBreak="0">
    <w:nsid w:val="7DF744CE"/>
    <w:multiLevelType w:val="multilevel"/>
    <w:tmpl w:val="8CB81908"/>
    <w:lvl w:ilvl="0">
      <w:start w:val="1"/>
      <w:numFmt w:val="bullet"/>
      <w:lvlText w:val=""/>
      <w:lvlJc w:val="left"/>
      <w:pPr>
        <w:ind w:left="720" w:hanging="360"/>
      </w:pPr>
      <w:rPr>
        <w:rFonts w:ascii="Symbol" w:hAnsi="Symbol" w:cs="Symbol" w:hint="default"/>
        <w:sz w:val="24"/>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num w:numId="1">
    <w:abstractNumId w:val="4"/>
  </w:num>
  <w:num w:numId="2">
    <w:abstractNumId w:val="1"/>
  </w:num>
  <w:num w:numId="3">
    <w:abstractNumId w:val="7"/>
  </w:num>
  <w:num w:numId="4">
    <w:abstractNumId w:val="32"/>
  </w:num>
  <w:num w:numId="5">
    <w:abstractNumId w:val="31"/>
  </w:num>
  <w:num w:numId="6">
    <w:abstractNumId w:val="19"/>
  </w:num>
  <w:num w:numId="7">
    <w:abstractNumId w:val="10"/>
  </w:num>
  <w:num w:numId="8">
    <w:abstractNumId w:val="6"/>
  </w:num>
  <w:num w:numId="9">
    <w:abstractNumId w:val="26"/>
  </w:num>
  <w:num w:numId="10">
    <w:abstractNumId w:val="2"/>
  </w:num>
  <w:num w:numId="11">
    <w:abstractNumId w:val="8"/>
  </w:num>
  <w:num w:numId="12">
    <w:abstractNumId w:val="29"/>
  </w:num>
  <w:num w:numId="13">
    <w:abstractNumId w:val="30"/>
  </w:num>
  <w:num w:numId="14">
    <w:abstractNumId w:val="22"/>
  </w:num>
  <w:num w:numId="15">
    <w:abstractNumId w:val="24"/>
  </w:num>
  <w:num w:numId="16">
    <w:abstractNumId w:val="0"/>
  </w:num>
  <w:num w:numId="17">
    <w:abstractNumId w:val="11"/>
  </w:num>
  <w:num w:numId="18">
    <w:abstractNumId w:val="5"/>
  </w:num>
  <w:num w:numId="19">
    <w:abstractNumId w:val="9"/>
  </w:num>
  <w:num w:numId="20">
    <w:abstractNumId w:val="12"/>
  </w:num>
  <w:num w:numId="21">
    <w:abstractNumId w:val="18"/>
  </w:num>
  <w:num w:numId="22">
    <w:abstractNumId w:val="15"/>
  </w:num>
  <w:num w:numId="23">
    <w:abstractNumId w:val="20"/>
  </w:num>
  <w:num w:numId="24">
    <w:abstractNumId w:val="25"/>
  </w:num>
  <w:num w:numId="25">
    <w:abstractNumId w:val="14"/>
  </w:num>
  <w:num w:numId="26">
    <w:abstractNumId w:val="21"/>
  </w:num>
  <w:num w:numId="27">
    <w:abstractNumId w:val="17"/>
  </w:num>
  <w:num w:numId="28">
    <w:abstractNumId w:val="28"/>
  </w:num>
  <w:num w:numId="29">
    <w:abstractNumId w:val="16"/>
  </w:num>
  <w:num w:numId="30">
    <w:abstractNumId w:val="33"/>
  </w:num>
  <w:num w:numId="31">
    <w:abstractNumId w:val="23"/>
  </w:num>
  <w:num w:numId="32">
    <w:abstractNumId w:val="27"/>
  </w:num>
  <w:num w:numId="33">
    <w:abstractNumId w:val="13"/>
  </w:num>
  <w:num w:numId="3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77601"/>
    <w:rsid w:val="001039BA"/>
    <w:rsid w:val="002D2DC2"/>
    <w:rsid w:val="00392909"/>
    <w:rsid w:val="003C36DD"/>
    <w:rsid w:val="00424427"/>
    <w:rsid w:val="00437508"/>
    <w:rsid w:val="00476F02"/>
    <w:rsid w:val="00477601"/>
    <w:rsid w:val="0067549E"/>
    <w:rsid w:val="009718CC"/>
    <w:rsid w:val="00A510B5"/>
    <w:rsid w:val="00A76CF9"/>
    <w:rsid w:val="00DA5E14"/>
    <w:rsid w:val="00F30CF1"/>
    <w:rsid w:val="00FB3EA4"/>
  </w:rsids>
  <m:mathPr>
    <m:mathFont m:val="Cambria Math"/>
    <m:brkBin m:val="before"/>
    <m:brkBinSub m:val="--"/>
    <m:smallFrac m:val="0"/>
    <m:dispDef/>
    <m:lMargin m:val="0"/>
    <m:rMargin m:val="0"/>
    <m:defJc m:val="centerGroup"/>
    <m:wrapIndent m:val="1440"/>
    <m:intLim m:val="subSup"/>
    <m:naryLim m:val="undOvr"/>
  </m:mathPr>
  <w:themeFontLang w:val="es-CR"/>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4B1B10B"/>
  <w15:chartTrackingRefBased/>
  <w15:docId w15:val="{C7576F0A-C85A-4EA8-B1EF-1544F563831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C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477601"/>
  </w:style>
  <w:style w:type="paragraph" w:styleId="Ttulo1">
    <w:name w:val="heading 1"/>
    <w:basedOn w:val="Normal"/>
    <w:next w:val="Normal"/>
    <w:link w:val="Ttulo1Car"/>
    <w:uiPriority w:val="9"/>
    <w:qFormat/>
    <w:rsid w:val="00477601"/>
    <w:pPr>
      <w:keepNext/>
      <w:keepLines/>
      <w:spacing w:before="240" w:after="0"/>
      <w:jc w:val="center"/>
      <w:outlineLvl w:val="0"/>
    </w:pPr>
    <w:rPr>
      <w:rFonts w:ascii="Arial" w:eastAsiaTheme="majorEastAsia" w:hAnsi="Arial" w:cstheme="majorBidi"/>
      <w:b/>
      <w:sz w:val="28"/>
      <w:szCs w:val="32"/>
    </w:rPr>
  </w:style>
  <w:style w:type="paragraph" w:styleId="Ttulo2">
    <w:name w:val="heading 2"/>
    <w:basedOn w:val="Normal"/>
    <w:next w:val="Normal"/>
    <w:link w:val="Ttulo2Car"/>
    <w:uiPriority w:val="9"/>
    <w:semiHidden/>
    <w:unhideWhenUsed/>
    <w:qFormat/>
    <w:rsid w:val="00477601"/>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Ttulo3">
    <w:name w:val="heading 3"/>
    <w:basedOn w:val="Normal"/>
    <w:next w:val="Normal"/>
    <w:link w:val="Ttulo3Car"/>
    <w:uiPriority w:val="9"/>
    <w:semiHidden/>
    <w:unhideWhenUsed/>
    <w:qFormat/>
    <w:rsid w:val="00477601"/>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nhideWhenUsed/>
    <w:rsid w:val="00477601"/>
    <w:pPr>
      <w:tabs>
        <w:tab w:val="center" w:pos="4419"/>
        <w:tab w:val="right" w:pos="8838"/>
      </w:tabs>
      <w:spacing w:after="0" w:line="240" w:lineRule="auto"/>
    </w:pPr>
  </w:style>
  <w:style w:type="character" w:customStyle="1" w:styleId="EncabezadoCar">
    <w:name w:val="Encabezado Car"/>
    <w:basedOn w:val="Fuentedeprrafopredeter"/>
    <w:link w:val="Encabezado"/>
    <w:rsid w:val="00477601"/>
  </w:style>
  <w:style w:type="paragraph" w:styleId="Piedepgina">
    <w:name w:val="footer"/>
    <w:basedOn w:val="Normal"/>
    <w:link w:val="PiedepginaCar"/>
    <w:uiPriority w:val="99"/>
    <w:unhideWhenUsed/>
    <w:rsid w:val="00477601"/>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477601"/>
  </w:style>
  <w:style w:type="character" w:customStyle="1" w:styleId="Ttulo1Car">
    <w:name w:val="Título 1 Car"/>
    <w:basedOn w:val="Fuentedeprrafopredeter"/>
    <w:link w:val="Ttulo1"/>
    <w:uiPriority w:val="9"/>
    <w:rsid w:val="00477601"/>
    <w:rPr>
      <w:rFonts w:ascii="Arial" w:eastAsiaTheme="majorEastAsia" w:hAnsi="Arial" w:cstheme="majorBidi"/>
      <w:b/>
      <w:sz w:val="28"/>
      <w:szCs w:val="32"/>
    </w:rPr>
  </w:style>
  <w:style w:type="character" w:customStyle="1" w:styleId="Ttulo2Car">
    <w:name w:val="Título 2 Car"/>
    <w:basedOn w:val="Fuentedeprrafopredeter"/>
    <w:link w:val="Ttulo2"/>
    <w:uiPriority w:val="9"/>
    <w:semiHidden/>
    <w:rsid w:val="00477601"/>
    <w:rPr>
      <w:rFonts w:asciiTheme="majorHAnsi" w:eastAsiaTheme="majorEastAsia" w:hAnsiTheme="majorHAnsi" w:cstheme="majorBidi"/>
      <w:color w:val="2E74B5" w:themeColor="accent1" w:themeShade="BF"/>
      <w:sz w:val="26"/>
      <w:szCs w:val="26"/>
    </w:rPr>
  </w:style>
  <w:style w:type="character" w:customStyle="1" w:styleId="Ttulo3Car">
    <w:name w:val="Título 3 Car"/>
    <w:basedOn w:val="Fuentedeprrafopredeter"/>
    <w:link w:val="Ttulo3"/>
    <w:uiPriority w:val="9"/>
    <w:semiHidden/>
    <w:rsid w:val="00477601"/>
    <w:rPr>
      <w:rFonts w:asciiTheme="majorHAnsi" w:eastAsiaTheme="majorEastAsia" w:hAnsiTheme="majorHAnsi" w:cstheme="majorBidi"/>
      <w:color w:val="1F4D78" w:themeColor="accent1" w:themeShade="7F"/>
      <w:sz w:val="24"/>
      <w:szCs w:val="24"/>
    </w:rPr>
  </w:style>
  <w:style w:type="paragraph" w:styleId="TDC3">
    <w:name w:val="toc 3"/>
    <w:basedOn w:val="Normal"/>
    <w:next w:val="Normal"/>
    <w:autoRedefine/>
    <w:uiPriority w:val="39"/>
    <w:unhideWhenUsed/>
    <w:rsid w:val="00424427"/>
    <w:pPr>
      <w:tabs>
        <w:tab w:val="right" w:leader="dot" w:pos="8828"/>
      </w:tabs>
      <w:spacing w:after="100" w:line="360" w:lineRule="auto"/>
      <w:ind w:left="708"/>
      <w:jc w:val="center"/>
    </w:pPr>
    <w:rPr>
      <w:rFonts w:ascii="Arial" w:hAnsi="Arial" w:cs="Arial"/>
      <w:b/>
      <w:noProof/>
    </w:rPr>
  </w:style>
  <w:style w:type="paragraph" w:styleId="Prrafodelista">
    <w:name w:val="List Paragraph"/>
    <w:basedOn w:val="Normal"/>
    <w:uiPriority w:val="34"/>
    <w:qFormat/>
    <w:rsid w:val="00477601"/>
    <w:pPr>
      <w:ind w:left="720"/>
      <w:contextualSpacing/>
    </w:pPr>
  </w:style>
  <w:style w:type="table" w:styleId="Tablaconcuadrcula">
    <w:name w:val="Table Grid"/>
    <w:basedOn w:val="Tablanormal"/>
    <w:uiPriority w:val="39"/>
    <w:rsid w:val="0047760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qFormat/>
    <w:rsid w:val="00477601"/>
    <w:pPr>
      <w:spacing w:before="280" w:after="280" w:line="240" w:lineRule="auto"/>
    </w:pPr>
    <w:rPr>
      <w:rFonts w:ascii="Times New Roman" w:eastAsia="Times New Roman" w:hAnsi="Times New Roman" w:cs="Times New Roman"/>
      <w:color w:val="00000A"/>
      <w:sz w:val="24"/>
      <w:szCs w:val="24"/>
      <w:lang w:eastAsia="es-MX"/>
    </w:rPr>
  </w:style>
  <w:style w:type="character" w:customStyle="1" w:styleId="apple-converted-space">
    <w:name w:val="apple-converted-space"/>
    <w:basedOn w:val="Fuentedeprrafopredeter"/>
    <w:qFormat/>
    <w:rsid w:val="00477601"/>
  </w:style>
  <w:style w:type="character" w:customStyle="1" w:styleId="InternetLink">
    <w:name w:val="Internet Link"/>
    <w:basedOn w:val="Fuentedeprrafopredeter"/>
    <w:rsid w:val="00477601"/>
    <w:rPr>
      <w:color w:val="0000FF"/>
      <w:u w:val="single"/>
    </w:rPr>
  </w:style>
  <w:style w:type="character" w:styleId="Hipervnculo">
    <w:name w:val="Hyperlink"/>
    <w:basedOn w:val="Fuentedeprrafopredeter"/>
    <w:uiPriority w:val="99"/>
    <w:unhideWhenUsed/>
    <w:rsid w:val="00477601"/>
    <w:rPr>
      <w:color w:val="0563C1" w:themeColor="hyperlink"/>
      <w:u w:val="single"/>
    </w:rPr>
  </w:style>
  <w:style w:type="paragraph" w:styleId="TtuloTDC">
    <w:name w:val="TOC Heading"/>
    <w:basedOn w:val="Ttulo1"/>
    <w:next w:val="Normal"/>
    <w:uiPriority w:val="39"/>
    <w:unhideWhenUsed/>
    <w:qFormat/>
    <w:rsid w:val="00477601"/>
    <w:pPr>
      <w:jc w:val="left"/>
      <w:outlineLvl w:val="9"/>
    </w:pPr>
    <w:rPr>
      <w:rFonts w:asciiTheme="majorHAnsi" w:hAnsiTheme="majorHAnsi"/>
      <w:b w:val="0"/>
      <w:color w:val="2E74B5" w:themeColor="accent1" w:themeShade="BF"/>
      <w:sz w:val="32"/>
      <w:lang w:eastAsia="es-CR"/>
    </w:rPr>
  </w:style>
  <w:style w:type="paragraph" w:styleId="TDC1">
    <w:name w:val="toc 1"/>
    <w:basedOn w:val="Normal"/>
    <w:next w:val="Normal"/>
    <w:autoRedefine/>
    <w:uiPriority w:val="39"/>
    <w:unhideWhenUsed/>
    <w:rsid w:val="00477601"/>
    <w:pPr>
      <w:tabs>
        <w:tab w:val="right" w:leader="dot" w:pos="8828"/>
      </w:tabs>
      <w:spacing w:after="100" w:line="360" w:lineRule="auto"/>
    </w:pPr>
    <w:rPr>
      <w:rFonts w:ascii="Arial" w:hAnsi="Arial" w:cs="Arial"/>
      <w:b/>
      <w:noProof/>
      <w:sz w:val="24"/>
      <w:szCs w:val="24"/>
    </w:rPr>
  </w:style>
  <w:style w:type="paragraph" w:styleId="TDC2">
    <w:name w:val="toc 2"/>
    <w:basedOn w:val="Normal"/>
    <w:next w:val="Normal"/>
    <w:autoRedefine/>
    <w:uiPriority w:val="39"/>
    <w:unhideWhenUsed/>
    <w:rsid w:val="00477601"/>
    <w:pPr>
      <w:spacing w:after="100"/>
      <w:ind w:left="220"/>
    </w:pPr>
  </w:style>
  <w:style w:type="character" w:styleId="Refdecomentario">
    <w:name w:val="annotation reference"/>
    <w:basedOn w:val="Fuentedeprrafopredeter"/>
    <w:uiPriority w:val="99"/>
    <w:semiHidden/>
    <w:unhideWhenUsed/>
    <w:rsid w:val="00477601"/>
    <w:rPr>
      <w:sz w:val="16"/>
      <w:szCs w:val="16"/>
    </w:rPr>
  </w:style>
  <w:style w:type="paragraph" w:styleId="Textocomentario">
    <w:name w:val="annotation text"/>
    <w:basedOn w:val="Normal"/>
    <w:link w:val="TextocomentarioCar"/>
    <w:uiPriority w:val="99"/>
    <w:semiHidden/>
    <w:unhideWhenUsed/>
    <w:rsid w:val="00477601"/>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477601"/>
    <w:rPr>
      <w:sz w:val="20"/>
      <w:szCs w:val="20"/>
    </w:rPr>
  </w:style>
  <w:style w:type="paragraph" w:styleId="Asuntodelcomentario">
    <w:name w:val="annotation subject"/>
    <w:basedOn w:val="Textocomentario"/>
    <w:next w:val="Textocomentario"/>
    <w:link w:val="AsuntodelcomentarioCar"/>
    <w:uiPriority w:val="99"/>
    <w:semiHidden/>
    <w:unhideWhenUsed/>
    <w:rsid w:val="00477601"/>
    <w:rPr>
      <w:b/>
      <w:bCs/>
    </w:rPr>
  </w:style>
  <w:style w:type="character" w:customStyle="1" w:styleId="AsuntodelcomentarioCar">
    <w:name w:val="Asunto del comentario Car"/>
    <w:basedOn w:val="TextocomentarioCar"/>
    <w:link w:val="Asuntodelcomentario"/>
    <w:uiPriority w:val="99"/>
    <w:semiHidden/>
    <w:rsid w:val="00477601"/>
    <w:rPr>
      <w:b/>
      <w:bCs/>
      <w:sz w:val="20"/>
      <w:szCs w:val="20"/>
    </w:rPr>
  </w:style>
  <w:style w:type="paragraph" w:styleId="Textodeglobo">
    <w:name w:val="Balloon Text"/>
    <w:basedOn w:val="Normal"/>
    <w:link w:val="TextodegloboCar"/>
    <w:uiPriority w:val="99"/>
    <w:semiHidden/>
    <w:unhideWhenUsed/>
    <w:rsid w:val="00477601"/>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477601"/>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8.png"/><Relationship Id="rId21" Type="http://schemas.openxmlformats.org/officeDocument/2006/relationships/footer" Target="footer4.xml"/><Relationship Id="rId34" Type="http://schemas.openxmlformats.org/officeDocument/2006/relationships/footer" Target="footer7.xml"/><Relationship Id="rId42" Type="http://schemas.openxmlformats.org/officeDocument/2006/relationships/hyperlink" Target="http://www.repositorio.usac.edu.gt/4192/1/15_1330.pdf" TargetMode="External"/><Relationship Id="rId47" Type="http://schemas.openxmlformats.org/officeDocument/2006/relationships/hyperlink" Target="http://www.spentamexico.org/v4-n1/4(1)%20179-193.pdf" TargetMode="External"/><Relationship Id="rId50" Type="http://schemas.openxmlformats.org/officeDocument/2006/relationships/hyperlink" Target="http://www.ub.edu/geocrit/sn/sn-278.htm" TargetMode="External"/><Relationship Id="rId55" Type="http://schemas.openxmlformats.org/officeDocument/2006/relationships/hyperlink" Target="http://www.scielo.br/pdf/soc/n16/a03n16" TargetMode="External"/><Relationship Id="rId63" Type="http://schemas.openxmlformats.org/officeDocument/2006/relationships/image" Target="media/image18.png"/><Relationship Id="rId68" Type="http://schemas.openxmlformats.org/officeDocument/2006/relationships/theme" Target="theme/theme1.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footer" Target="footer2.xml"/><Relationship Id="rId29" Type="http://schemas.openxmlformats.org/officeDocument/2006/relationships/image" Target="media/image11.png"/><Relationship Id="rId11" Type="http://schemas.openxmlformats.org/officeDocument/2006/relationships/image" Target="media/image4.png"/><Relationship Id="rId24" Type="http://schemas.openxmlformats.org/officeDocument/2006/relationships/footer" Target="footer6.xml"/><Relationship Id="rId32" Type="http://schemas.openxmlformats.org/officeDocument/2006/relationships/image" Target="media/image14.png"/><Relationship Id="rId37" Type="http://schemas.openxmlformats.org/officeDocument/2006/relationships/hyperlink" Target="http://marviva.net/sites/default/files/documentos/manual_legislacion_marino_costera_y_pesquera_2010.pdf" TargetMode="External"/><Relationship Id="rId40" Type="http://schemas.openxmlformats.org/officeDocument/2006/relationships/hyperlink" Target="http://www.ceppia.com.co/Herramientas/Herramientas/Cartilla-gestion-publica-local.pdf" TargetMode="External"/><Relationship Id="rId45" Type="http://schemas.openxmlformats.org/officeDocument/2006/relationships/hyperlink" Target="http://unpan1.un.org/intradoc/groups/public/documents/CLAD/clad0043429.pdf" TargetMode="External"/><Relationship Id="rId53" Type="http://schemas.openxmlformats.org/officeDocument/2006/relationships/hyperlink" Target="https://www.incopesca.go.cr/acerca_incopesca/transparencia_institucional/participacion_ciudadana/seg_gestion_contraloria_servicios/seguimiento_gestion_ciudadana_2014.pdf" TargetMode="External"/><Relationship Id="rId58" Type="http://schemas.openxmlformats.org/officeDocument/2006/relationships/hyperlink" Target="http://www.edeca.una.ac.cr/files/EDECA/Gestion%20desarrollo%20local/FLACSO-Descentralizacion_y_desarrollo_local.pdf" TargetMode="External"/><Relationship Id="rId66" Type="http://schemas.openxmlformats.org/officeDocument/2006/relationships/image" Target="media/image21.png"/><Relationship Id="rId5" Type="http://schemas.openxmlformats.org/officeDocument/2006/relationships/webSettings" Target="webSettings.xml"/><Relationship Id="rId61" Type="http://schemas.openxmlformats.org/officeDocument/2006/relationships/footer" Target="footer9.xml"/><Relationship Id="rId19" Type="http://schemas.openxmlformats.org/officeDocument/2006/relationships/image" Target="media/image6.png"/><Relationship Id="rId14" Type="http://schemas.openxmlformats.org/officeDocument/2006/relationships/header" Target="header2.xml"/><Relationship Id="rId22" Type="http://schemas.openxmlformats.org/officeDocument/2006/relationships/header" Target="header5.xml"/><Relationship Id="rId27" Type="http://schemas.openxmlformats.org/officeDocument/2006/relationships/image" Target="media/image9.png"/><Relationship Id="rId30" Type="http://schemas.openxmlformats.org/officeDocument/2006/relationships/image" Target="media/image12.png"/><Relationship Id="rId35" Type="http://schemas.openxmlformats.org/officeDocument/2006/relationships/image" Target="media/image16.png"/><Relationship Id="rId43" Type="http://schemas.openxmlformats.org/officeDocument/2006/relationships/hyperlink" Target="http://www.spentamexico.org/v4-n1/4(1)%20179-193.pdf" TargetMode="External"/><Relationship Id="rId48" Type="http://schemas.openxmlformats.org/officeDocument/2006/relationships/hyperlink" Target="http://repositorio.cepal.org/bitstream/handle/11362/6085/S047600_es.pdf" TargetMode="External"/><Relationship Id="rId56" Type="http://schemas.openxmlformats.org/officeDocument/2006/relationships/hyperlink" Target="http://www.scielo.org.mx/scielo.php?script=sci_arttext&amp;pid=S1405-10792009000200007" TargetMode="External"/><Relationship Id="rId64" Type="http://schemas.openxmlformats.org/officeDocument/2006/relationships/image" Target="media/image19.png"/><Relationship Id="rId8" Type="http://schemas.openxmlformats.org/officeDocument/2006/relationships/image" Target="media/image1.jpeg"/><Relationship Id="rId51" Type="http://schemas.openxmlformats.org/officeDocument/2006/relationships/hyperlink" Target="https://www.inder.go.cr/territorio-peninsular/Caracterizacion-Paquera-Cobano-Lepanto-Chira.pdf" TargetMode="External"/><Relationship Id="rId3" Type="http://schemas.openxmlformats.org/officeDocument/2006/relationships/styles" Target="styles.xml"/><Relationship Id="rId12" Type="http://schemas.openxmlformats.org/officeDocument/2006/relationships/image" Target="media/image5.png"/><Relationship Id="rId17" Type="http://schemas.openxmlformats.org/officeDocument/2006/relationships/header" Target="header3.xml"/><Relationship Id="rId25" Type="http://schemas.openxmlformats.org/officeDocument/2006/relationships/image" Target="media/image7.png"/><Relationship Id="rId33" Type="http://schemas.openxmlformats.org/officeDocument/2006/relationships/image" Target="media/image15.png"/><Relationship Id="rId38" Type="http://schemas.openxmlformats.org/officeDocument/2006/relationships/hyperlink" Target="https://repositorio.cepal.org/bitstream/handle/11362/1863/1/S3092C678G_es.pdf" TargetMode="External"/><Relationship Id="rId46" Type="http://schemas.openxmlformats.org/officeDocument/2006/relationships/hyperlink" Target="file:///C:\Users\user\Downloads\7025-Texto%20del%20art&#237;culo-9625-1-10-20130128.pdf" TargetMode="External"/><Relationship Id="rId59" Type="http://schemas.openxmlformats.org/officeDocument/2006/relationships/hyperlink" Target="http://biblioteca.clacso.edu.ar/clacso/gt/20101029062411/ziccardi.pdf" TargetMode="External"/><Relationship Id="rId67" Type="http://schemas.openxmlformats.org/officeDocument/2006/relationships/fontTable" Target="fontTable.xml"/><Relationship Id="rId20" Type="http://schemas.openxmlformats.org/officeDocument/2006/relationships/header" Target="header4.xml"/><Relationship Id="rId41" Type="http://schemas.openxmlformats.org/officeDocument/2006/relationships/hyperlink" Target="https://repositorio.cepal.org/bitstream/handle/11362/40398/1/RVE119_Fernandez.pdf" TargetMode="External"/><Relationship Id="rId54" Type="http://schemas.openxmlformats.org/officeDocument/2006/relationships/hyperlink" Target="http://relial.org/uploads/biblioteca/44dbee76837e79a6c07bb8219d021843.pdf" TargetMode="External"/><Relationship Id="rId62" Type="http://schemas.openxmlformats.org/officeDocument/2006/relationships/image" Target="media/image17.png"/><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footer" Target="footer1.xml"/><Relationship Id="rId23" Type="http://schemas.openxmlformats.org/officeDocument/2006/relationships/footer" Target="footer5.xml"/><Relationship Id="rId28" Type="http://schemas.openxmlformats.org/officeDocument/2006/relationships/image" Target="media/image10.png"/><Relationship Id="rId36" Type="http://schemas.openxmlformats.org/officeDocument/2006/relationships/hyperlink" Target="http://repositorio.sibdi.ucr.ac.cr:8080/jspui/bitstream/123456789/3038/1/38884.pdf" TargetMode="External"/><Relationship Id="rId49" Type="http://schemas.openxmlformats.org/officeDocument/2006/relationships/hyperlink" Target="http://www.cr.undp.org/content/dam/costa_rica/docs/undp_cr_contribucion_debate_cr.pdf" TargetMode="External"/><Relationship Id="rId57" Type="http://schemas.openxmlformats.org/officeDocument/2006/relationships/hyperlink" Target="http://www.funcionpublica.gov.co/eva/admon/files/empresas/ZW1wcmVzYV83Ng==/imgproductos/1450056996_ce38e6d218235ac89d6c8a14907a5a9c.pdf" TargetMode="External"/><Relationship Id="rId10" Type="http://schemas.openxmlformats.org/officeDocument/2006/relationships/image" Target="media/image3.png"/><Relationship Id="rId31" Type="http://schemas.openxmlformats.org/officeDocument/2006/relationships/image" Target="media/image13.png"/><Relationship Id="rId44" Type="http://schemas.openxmlformats.org/officeDocument/2006/relationships/hyperlink" Target="https://llrodriguezalgans.blogspot.com/2010/04/planificacion-anarquista-para-las.html" TargetMode="External"/><Relationship Id="rId52" Type="http://schemas.openxmlformats.org/officeDocument/2006/relationships/hyperlink" Target="http://ortegaygasset.edu/fog/ver/1205/circunstancia/ano-ix---n--26---septiembre-2011/articulos/capacidades--instituciones-y-gobernanza-democratica-local--elementos-para-el-estudio-de-los-gobiernos-locales-en-america-latina&#180;" TargetMode="External"/><Relationship Id="rId60" Type="http://schemas.openxmlformats.org/officeDocument/2006/relationships/footer" Target="footer8.xml"/><Relationship Id="rId65" Type="http://schemas.openxmlformats.org/officeDocument/2006/relationships/image" Target="media/image20.png"/><Relationship Id="rId4" Type="http://schemas.openxmlformats.org/officeDocument/2006/relationships/settings" Target="settings.xml"/><Relationship Id="rId9" Type="http://schemas.openxmlformats.org/officeDocument/2006/relationships/image" Target="media/image2.jpeg"/><Relationship Id="rId13" Type="http://schemas.openxmlformats.org/officeDocument/2006/relationships/header" Target="header1.xml"/><Relationship Id="rId18" Type="http://schemas.openxmlformats.org/officeDocument/2006/relationships/footer" Target="footer3.xml"/><Relationship Id="rId39" Type="http://schemas.openxmlformats.org/officeDocument/2006/relationships/hyperlink" Target="http://www.aprchile.cl/pdfs/autogestion%20comunitaria.pdf"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6F7672E-5D06-4CB3-AD78-87248ECE9B5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37542</Words>
  <Characters>206485</Characters>
  <Application>Microsoft Office Word</Application>
  <DocSecurity>0</DocSecurity>
  <Lines>1720</Lines>
  <Paragraphs>487</Paragraphs>
  <ScaleCrop>false</ScaleCrop>
  <HeadingPairs>
    <vt:vector size="2" baseType="variant">
      <vt:variant>
        <vt:lpstr>Título</vt:lpstr>
      </vt:variant>
      <vt:variant>
        <vt:i4>1</vt:i4>
      </vt:variant>
    </vt:vector>
  </HeadingPairs>
  <TitlesOfParts>
    <vt:vector size="1" baseType="lpstr">
      <vt:lpstr/>
    </vt:vector>
  </TitlesOfParts>
  <Company>Microsoft</Company>
  <LinksUpToDate>false</LinksUpToDate>
  <CharactersWithSpaces>243540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Greivin Azofeifa Hernández</dc:creator>
  <cp:keywords/>
  <dc:description/>
  <cp:lastModifiedBy>User</cp:lastModifiedBy>
  <cp:revision>3</cp:revision>
  <dcterms:created xsi:type="dcterms:W3CDTF">2021-07-12T20:35:00Z</dcterms:created>
  <dcterms:modified xsi:type="dcterms:W3CDTF">2021-07-12T20:35:00Z</dcterms:modified>
</cp:coreProperties>
</file>